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5879A6" w14:textId="77777777" w:rsidR="00F61F8E" w:rsidRPr="002B3F36" w:rsidRDefault="000F264B">
      <w:pPr>
        <w:tabs>
          <w:tab w:val="left" w:pos="4140"/>
        </w:tabs>
        <w:ind w:right="-27"/>
        <w:jc w:val="center"/>
        <w:rPr>
          <w:rFonts w:ascii="Arial" w:hAnsi="Arial" w:cs="Arial"/>
          <w:b/>
          <w:sz w:val="28"/>
          <w:szCs w:val="28"/>
        </w:rPr>
      </w:pPr>
      <w:bookmarkStart w:id="0" w:name="_heading=h.vg4g14n0zziv" w:colFirst="0" w:colLast="0"/>
      <w:bookmarkEnd w:id="0"/>
      <w:r w:rsidRPr="002B3F36">
        <w:rPr>
          <w:rFonts w:ascii="Arial" w:hAnsi="Arial" w:cs="Arial"/>
          <w:b/>
          <w:sz w:val="28"/>
          <w:szCs w:val="28"/>
        </w:rPr>
        <w:t>REPUBLIC of KAZAKHSTAN</w:t>
      </w:r>
    </w:p>
    <w:p w14:paraId="633F9F55" w14:textId="77777777" w:rsidR="00F61F8E" w:rsidRPr="002B3F36" w:rsidRDefault="00F61F8E">
      <w:pPr>
        <w:tabs>
          <w:tab w:val="left" w:pos="4140"/>
        </w:tabs>
        <w:ind w:right="-27"/>
        <w:rPr>
          <w:rFonts w:ascii="Arial" w:hAnsi="Arial" w:cs="Arial"/>
          <w:b/>
          <w:sz w:val="28"/>
          <w:szCs w:val="28"/>
        </w:rPr>
      </w:pPr>
    </w:p>
    <w:p w14:paraId="1AD06B67" w14:textId="77777777" w:rsidR="00F61F8E" w:rsidRPr="002B3F36" w:rsidRDefault="000F264B">
      <w:pPr>
        <w:tabs>
          <w:tab w:val="left" w:pos="4140"/>
        </w:tabs>
        <w:ind w:right="-27"/>
        <w:jc w:val="center"/>
        <w:rPr>
          <w:rFonts w:ascii="Arial" w:hAnsi="Arial" w:cs="Arial"/>
        </w:rPr>
      </w:pPr>
      <w:r w:rsidRPr="002B3F36">
        <w:rPr>
          <w:rFonts w:ascii="Arial" w:hAnsi="Arial" w:cs="Arial"/>
          <w:b/>
          <w:noProof/>
          <w:sz w:val="28"/>
          <w:szCs w:val="28"/>
        </w:rPr>
        <w:drawing>
          <wp:inline distT="0" distB="0" distL="0" distR="0" wp14:anchorId="259DA633" wp14:editId="1390A886">
            <wp:extent cx="2240280" cy="1895475"/>
            <wp:effectExtent l="0" t="0" r="7620" b="9525"/>
            <wp:docPr id="1026" name="image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1.png"/>
                    <pic:cNvPicPr/>
                  </pic:nvPicPr>
                  <pic:blipFill rotWithShape="1">
                    <a:blip r:embed="rId14" cstate="email">
                      <a:extLst>
                        <a:ext uri="{28A0092B-C50C-407E-A947-70E740481C1C}">
                          <a14:useLocalDpi xmlns:a14="http://schemas.microsoft.com/office/drawing/2010/main"/>
                        </a:ext>
                      </a:extLst>
                    </a:blip>
                    <a:srcRect l="3465" r="3937"/>
                    <a:stretch/>
                  </pic:blipFill>
                  <pic:spPr bwMode="auto">
                    <a:xfrm>
                      <a:off x="0" y="0"/>
                      <a:ext cx="2240280" cy="1895475"/>
                    </a:xfrm>
                    <a:prstGeom prst="rect">
                      <a:avLst/>
                    </a:prstGeom>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8B51AFF" w14:textId="77777777" w:rsidR="00F61F8E" w:rsidRPr="002B3F36" w:rsidRDefault="000F264B">
      <w:pPr>
        <w:jc w:val="center"/>
        <w:rPr>
          <w:rFonts w:ascii="Arial" w:hAnsi="Arial" w:cs="Arial"/>
          <w:b/>
          <w:sz w:val="28"/>
          <w:szCs w:val="28"/>
        </w:rPr>
      </w:pPr>
      <w:bookmarkStart w:id="1" w:name="_Hlk204925783"/>
      <w:r w:rsidRPr="002B3F36">
        <w:rPr>
          <w:rFonts w:ascii="Arial" w:hAnsi="Arial" w:cs="Arial"/>
          <w:b/>
          <w:sz w:val="28"/>
          <w:szCs w:val="28"/>
        </w:rPr>
        <w:t xml:space="preserve">KAZAKHSTAN TEMIR ZHOLY </w:t>
      </w:r>
      <w:bookmarkEnd w:id="1"/>
      <w:r w:rsidRPr="002B3F36">
        <w:rPr>
          <w:rFonts w:ascii="Arial" w:hAnsi="Arial" w:cs="Arial"/>
          <w:b/>
          <w:sz w:val="28"/>
          <w:szCs w:val="28"/>
        </w:rPr>
        <w:t>"KTZ"</w:t>
      </w:r>
    </w:p>
    <w:p w14:paraId="66D97489" w14:textId="77777777" w:rsidR="00F61F8E" w:rsidRPr="002B3F36" w:rsidRDefault="00F61F8E">
      <w:pPr>
        <w:rPr>
          <w:rFonts w:ascii="Arial" w:hAnsi="Arial" w:cs="Arial"/>
          <w:sz w:val="40"/>
          <w:szCs w:val="40"/>
        </w:rPr>
      </w:pPr>
    </w:p>
    <w:p w14:paraId="3F58AC0C" w14:textId="77777777" w:rsidR="00F61F8E" w:rsidRPr="002B3F36" w:rsidRDefault="000F264B">
      <w:pPr>
        <w:tabs>
          <w:tab w:val="left" w:pos="3780"/>
        </w:tabs>
        <w:spacing w:before="240" w:after="240"/>
        <w:ind w:right="-20"/>
        <w:jc w:val="center"/>
        <w:rPr>
          <w:rFonts w:ascii="Arial" w:hAnsi="Arial" w:cs="Arial"/>
          <w:b/>
          <w:sz w:val="44"/>
          <w:szCs w:val="44"/>
        </w:rPr>
      </w:pPr>
      <w:r w:rsidRPr="002B3F36">
        <w:rPr>
          <w:rFonts w:ascii="Arial" w:hAnsi="Arial" w:cs="Arial"/>
          <w:b/>
          <w:sz w:val="44"/>
          <w:szCs w:val="44"/>
        </w:rPr>
        <w:t>Preparation of ESIA / ESMP for</w:t>
      </w:r>
    </w:p>
    <w:p w14:paraId="47CD2100" w14:textId="4538EED7" w:rsidR="00F61F8E" w:rsidRPr="002B3F36" w:rsidRDefault="000F264B">
      <w:pPr>
        <w:tabs>
          <w:tab w:val="left" w:pos="3780"/>
        </w:tabs>
        <w:spacing w:before="240" w:after="240"/>
        <w:ind w:right="-20"/>
        <w:jc w:val="center"/>
        <w:rPr>
          <w:rFonts w:ascii="Arial" w:hAnsi="Arial" w:cs="Arial"/>
          <w:b/>
          <w:sz w:val="44"/>
          <w:szCs w:val="44"/>
        </w:rPr>
      </w:pPr>
      <w:r w:rsidRPr="002B3F36">
        <w:rPr>
          <w:rFonts w:ascii="Arial" w:hAnsi="Arial" w:cs="Arial"/>
          <w:b/>
          <w:sz w:val="44"/>
          <w:szCs w:val="44"/>
        </w:rPr>
        <w:t>Mointy–Kyzylzhar Railway Construction Greenfield Project</w:t>
      </w:r>
      <w:r w:rsidR="00CB3756" w:rsidRPr="002B3F36">
        <w:rPr>
          <w:rFonts w:ascii="Arial" w:hAnsi="Arial" w:cs="Arial"/>
          <w:b/>
          <w:sz w:val="44"/>
          <w:szCs w:val="44"/>
        </w:rPr>
        <w:t xml:space="preserve"> – Preliminary Report</w:t>
      </w:r>
    </w:p>
    <w:p w14:paraId="2377D245" w14:textId="0B100120" w:rsidR="00F61F8E" w:rsidRPr="002B3F36" w:rsidRDefault="000F264B">
      <w:pPr>
        <w:tabs>
          <w:tab w:val="left" w:pos="3780"/>
        </w:tabs>
        <w:ind w:right="-27"/>
        <w:jc w:val="center"/>
        <w:rPr>
          <w:rFonts w:ascii="Arial" w:hAnsi="Arial" w:cs="Arial"/>
          <w:b/>
          <w:sz w:val="40"/>
          <w:szCs w:val="40"/>
        </w:rPr>
      </w:pPr>
      <w:r w:rsidRPr="002B3F36">
        <w:rPr>
          <w:rFonts w:ascii="Arial" w:hAnsi="Arial" w:cs="Arial"/>
          <w:noProof/>
        </w:rPr>
        <mc:AlternateContent>
          <mc:Choice Requires="wps">
            <w:drawing>
              <wp:anchor distT="0" distB="0" distL="0" distR="0" simplePos="0" relativeHeight="251658240" behindDoc="0" locked="0" layoutInCell="1" allowOverlap="1" wp14:anchorId="79289F89" wp14:editId="32070828">
                <wp:simplePos x="0" y="0"/>
                <wp:positionH relativeFrom="column">
                  <wp:posOffset>533400</wp:posOffset>
                </wp:positionH>
                <wp:positionV relativeFrom="paragraph">
                  <wp:posOffset>64134</wp:posOffset>
                </wp:positionV>
                <wp:extent cx="5715635" cy="1417320"/>
                <wp:effectExtent l="19050" t="19050" r="75565" b="68580"/>
                <wp:wrapNone/>
                <wp:docPr id="1027" name="Rectangle: Rounded Corners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635" cy="1417320"/>
                        </a:xfrm>
                        <a:prstGeom prst="roundRect">
                          <a:avLst>
                            <a:gd name="adj" fmla="val 16667"/>
                          </a:avLst>
                        </a:prstGeom>
                        <a:gradFill flip="none" rotWithShape="0">
                          <a:gsLst>
                            <a:gs pos="0">
                              <a:srgbClr val="00B050"/>
                            </a:gs>
                            <a:gs pos="50000">
                              <a:srgbClr val="FFFF00">
                                <a:alpha val="98040"/>
                              </a:srgbClr>
                            </a:gs>
                            <a:gs pos="100000">
                              <a:srgbClr val="00B050"/>
                            </a:gs>
                          </a:gsLst>
                          <a:lin ang="5400000" scaled="0"/>
                        </a:gradFill>
                        <a:ln w="57150" cap="flat" cmpd="thinThick">
                          <a:solidFill>
                            <a:srgbClr val="FF0000"/>
                          </a:solidFill>
                          <a:prstDash val="solid"/>
                          <a:round/>
                          <a:headEnd type="none" w="sm" len="sm"/>
                          <a:tailEnd type="none" w="sm" len="sm"/>
                        </a:ln>
                        <a:effectLst>
                          <a:outerShdw dist="50800" dir="2700000" algn="ctr" rotWithShape="0">
                            <a:srgbClr val="0070C0"/>
                          </a:outerShdw>
                        </a:effectLst>
                      </wps:spPr>
                      <wps:txbx>
                        <w:txbxContent>
                          <w:p w14:paraId="26A7E3B8" w14:textId="77777777" w:rsidR="00EB4816" w:rsidRDefault="00EB4816">
                            <w:pPr>
                              <w:spacing w:before="240" w:after="240" w:line="275" w:lineRule="auto"/>
                              <w:jc w:val="center"/>
                              <w:textDirection w:val="btLr"/>
                              <w:rPr>
                                <w:sz w:val="20"/>
                              </w:rPr>
                            </w:pPr>
                            <w:r>
                              <w:rPr>
                                <w:b/>
                                <w:color w:val="1F497D"/>
                                <w:sz w:val="72"/>
                              </w:rPr>
                              <w:t>Draft Final Report</w:t>
                            </w:r>
                          </w:p>
                        </w:txbxContent>
                      </wps:txbx>
                      <wps:bodyPr wrap="square" lIns="91425" tIns="91425" rIns="91425" bIns="91425"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289F89" id="Rectangle: Rounded Corners 382" o:spid="_x0000_s1026" style="position:absolute;left:0;text-align:left;margin-left:42pt;margin-top:5.05pt;width:450.05pt;height:111.6pt;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" fillcolor="#00b050" strokecolor="red" strokeweight="4.5pt">
                <v:fill color2="yellow" o:opacity2="64251f" focus="50%" type="gradient">
                  <o:fill v:ext="view" type="gradientUnscaled"/>
                </v:fill>
                <v:stroke startarrowwidth="narrow" startarrowlength="short" endarrowwidth="narrow" endarrowlength="short" linestyle="thinThick"/>
                <v:shadow on="t" color="#0070c0" offset=".99781mm,.99781mm"/>
                <v:path arrowok="t"/>
                <v:textbox inset="2.53958mm,2.53958mm,2.53958mm,2.53958mm">
                  <w:txbxContent>
                    <w:p w14:paraId="26A7E3B8" w14:textId="77777777" w:rsidR="00EB4816" w:rsidRDefault="00EB4816">
                      <w:pPr>
                        <w:spacing w:before="240" w:after="240" w:line="275" w:lineRule="auto"/>
                        <w:jc w:val="center"/>
                        <w:textDirection w:val="btLr"/>
                        <w:rPr>
                          <w:sz w:val="20"/>
                        </w:rPr>
                      </w:pPr>
                      <w:r>
                        <w:rPr>
                          <w:b/>
                          <w:color w:val="1F497D"/>
                          <w:sz w:val="72"/>
                        </w:rPr>
                        <w:t>Draft Final Report</w:t>
                      </w:r>
                    </w:p>
                  </w:txbxContent>
                </v:textbox>
              </v:roundrect>
            </w:pict>
          </mc:Fallback>
        </mc:AlternateContent>
      </w:r>
    </w:p>
    <w:p w14:paraId="11D7CCC2" w14:textId="77777777" w:rsidR="00F61F8E" w:rsidRPr="002B3F36" w:rsidRDefault="00F61F8E">
      <w:pPr>
        <w:rPr>
          <w:rFonts w:ascii="Arial" w:hAnsi="Arial" w:cs="Arial"/>
        </w:rPr>
      </w:pPr>
    </w:p>
    <w:p w14:paraId="1ED6E9D2" w14:textId="77777777" w:rsidR="00F61F8E" w:rsidRPr="002B3F36" w:rsidRDefault="00F61F8E">
      <w:pPr>
        <w:jc w:val="center"/>
        <w:rPr>
          <w:rFonts w:ascii="Arial" w:hAnsi="Arial" w:cs="Arial"/>
          <w:b/>
          <w:sz w:val="28"/>
          <w:szCs w:val="28"/>
        </w:rPr>
      </w:pPr>
    </w:p>
    <w:p w14:paraId="35D4F1BC" w14:textId="77777777" w:rsidR="00F61F8E" w:rsidRPr="002B3F36" w:rsidRDefault="00F61F8E">
      <w:pPr>
        <w:jc w:val="center"/>
        <w:rPr>
          <w:rFonts w:ascii="Arial" w:hAnsi="Arial" w:cs="Arial"/>
          <w:b/>
          <w:sz w:val="28"/>
          <w:szCs w:val="28"/>
        </w:rPr>
      </w:pPr>
    </w:p>
    <w:p w14:paraId="454A87F9" w14:textId="77777777" w:rsidR="00F61F8E" w:rsidRPr="002B3F36" w:rsidRDefault="00F61F8E">
      <w:pPr>
        <w:tabs>
          <w:tab w:val="left" w:pos="6840"/>
        </w:tabs>
        <w:ind w:right="-27"/>
        <w:jc w:val="right"/>
        <w:rPr>
          <w:rFonts w:ascii="Arial" w:hAnsi="Arial" w:cs="Arial"/>
          <w:b/>
          <w:sz w:val="28"/>
          <w:szCs w:val="28"/>
        </w:rPr>
      </w:pPr>
    </w:p>
    <w:p w14:paraId="574F2AA8" w14:textId="77777777" w:rsidR="00F61F8E" w:rsidRPr="002B3F36" w:rsidRDefault="00F61F8E">
      <w:pPr>
        <w:jc w:val="center"/>
        <w:rPr>
          <w:rFonts w:ascii="Arial" w:hAnsi="Arial" w:cs="Arial"/>
          <w:b/>
          <w:sz w:val="28"/>
          <w:szCs w:val="28"/>
        </w:rPr>
      </w:pPr>
    </w:p>
    <w:p w14:paraId="132448A6" w14:textId="77777777" w:rsidR="00F61F8E" w:rsidRPr="002B3F36" w:rsidRDefault="00F61F8E">
      <w:pPr>
        <w:jc w:val="center"/>
        <w:rPr>
          <w:rFonts w:ascii="Arial" w:hAnsi="Arial" w:cs="Arial"/>
          <w:b/>
          <w:sz w:val="28"/>
          <w:szCs w:val="28"/>
        </w:rPr>
      </w:pPr>
    </w:p>
    <w:p w14:paraId="7203C512" w14:textId="77777777" w:rsidR="00F61F8E" w:rsidRPr="002B3F36" w:rsidRDefault="00F61F8E">
      <w:pPr>
        <w:rPr>
          <w:rFonts w:ascii="Arial" w:hAnsi="Arial" w:cs="Arial"/>
          <w:b/>
          <w:sz w:val="28"/>
          <w:szCs w:val="28"/>
        </w:rPr>
      </w:pPr>
    </w:p>
    <w:p w14:paraId="15AC294B" w14:textId="75E0476B" w:rsidR="00F61F8E" w:rsidRPr="002B3F36" w:rsidRDefault="00CA6BB4">
      <w:pPr>
        <w:jc w:val="center"/>
        <w:rPr>
          <w:rFonts w:ascii="Arial" w:hAnsi="Arial" w:cs="Arial"/>
          <w:b/>
          <w:sz w:val="28"/>
          <w:szCs w:val="28"/>
        </w:rPr>
      </w:pPr>
      <w:r w:rsidRPr="002B3F36">
        <w:rPr>
          <w:rFonts w:ascii="Arial" w:hAnsi="Arial" w:cs="Arial"/>
          <w:b/>
          <w:sz w:val="28"/>
          <w:szCs w:val="28"/>
        </w:rPr>
        <w:t xml:space="preserve">October </w:t>
      </w:r>
      <w:r w:rsidR="000F264B" w:rsidRPr="002B3F36">
        <w:rPr>
          <w:rFonts w:ascii="Arial" w:hAnsi="Arial" w:cs="Arial"/>
          <w:b/>
          <w:sz w:val="28"/>
          <w:szCs w:val="28"/>
        </w:rPr>
        <w:t>2025</w:t>
      </w:r>
    </w:p>
    <w:p w14:paraId="08B8EF80" w14:textId="77777777" w:rsidR="00F61F8E" w:rsidRPr="002B3F36" w:rsidRDefault="000F264B">
      <w:pPr>
        <w:jc w:val="center"/>
        <w:rPr>
          <w:rFonts w:ascii="Arial" w:hAnsi="Arial" w:cs="Arial"/>
          <w:b/>
          <w:sz w:val="28"/>
          <w:szCs w:val="28"/>
        </w:rPr>
      </w:pPr>
      <w:r w:rsidRPr="002B3F36">
        <w:rPr>
          <w:rFonts w:ascii="Arial" w:hAnsi="Arial" w:cs="Arial"/>
          <w:b/>
          <w:noProof/>
          <w:sz w:val="28"/>
          <w:szCs w:val="28"/>
        </w:rPr>
        <w:drawing>
          <wp:inline distT="0" distB="0" distL="0" distR="0" wp14:anchorId="52D0AA31" wp14:editId="2A1DF477">
            <wp:extent cx="3456406" cy="1995339"/>
            <wp:effectExtent l="0" t="0" r="0" b="0"/>
            <wp:docPr id="1028" name="image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5.png"/>
                    <pic:cNvPicPr/>
                  </pic:nvPicPr>
                  <pic:blipFill>
                    <a:blip r:embed="rId15" cstate="print"/>
                    <a:srcRect/>
                    <a:stretch/>
                  </pic:blipFill>
                  <pic:spPr>
                    <a:xfrm>
                      <a:off x="0" y="0"/>
                      <a:ext cx="3456406" cy="1995339"/>
                    </a:xfrm>
                    <a:prstGeom prst="rect">
                      <a:avLst/>
                    </a:prstGeom>
                    <a:ln w="9525" cap="flat" cmpd="sng">
                      <a:solidFill>
                        <a:srgbClr val="000000"/>
                      </a:solidFill>
                      <a:prstDash val="solid"/>
                      <a:round/>
                      <a:headEnd/>
                      <a:tailEnd/>
                    </a:ln>
                  </pic:spPr>
                </pic:pic>
              </a:graphicData>
            </a:graphic>
          </wp:inline>
        </w:drawing>
      </w:r>
    </w:p>
    <w:p w14:paraId="39C8BF64" w14:textId="77777777" w:rsidR="00F61F8E" w:rsidRPr="002B3F36" w:rsidRDefault="00F61F8E">
      <w:pPr>
        <w:tabs>
          <w:tab w:val="left" w:pos="3780"/>
        </w:tabs>
        <w:ind w:right="-27"/>
        <w:jc w:val="both"/>
        <w:rPr>
          <w:rFonts w:ascii="Arial" w:hAnsi="Arial" w:cs="Arial"/>
          <w:b/>
          <w:noProof/>
          <w:sz w:val="40"/>
          <w:szCs w:val="40"/>
        </w:rPr>
      </w:pPr>
    </w:p>
    <w:p w14:paraId="0C927EFF" w14:textId="77777777" w:rsidR="00F61F8E" w:rsidRPr="002B3F36" w:rsidRDefault="00F61F8E">
      <w:pPr>
        <w:ind w:left="143"/>
        <w:jc w:val="both"/>
        <w:rPr>
          <w:rFonts w:ascii="Arial" w:hAnsi="Arial" w:cs="Arial"/>
          <w:position w:val="32"/>
          <w:sz w:val="20"/>
        </w:rPr>
        <w:sectPr w:rsidR="00F61F8E" w:rsidRPr="002B3F36">
          <w:headerReference w:type="default" r:id="rId16"/>
          <w:footerReference w:type="even" r:id="rId17"/>
          <w:footerReference w:type="default" r:id="rId18"/>
          <w:type w:val="continuous"/>
          <w:pgSz w:w="11910" w:h="16840"/>
          <w:pgMar w:top="840" w:right="708" w:bottom="1000" w:left="708" w:header="0" w:footer="807" w:gutter="0"/>
          <w:pgNumType w:start="1"/>
          <w:cols w:space="720"/>
        </w:sectPr>
      </w:pPr>
    </w:p>
    <w:p w14:paraId="6C35104B" w14:textId="4483A734" w:rsidR="00B947A4" w:rsidRPr="002B3F36" w:rsidRDefault="00B23613" w:rsidP="00B23613">
      <w:pPr>
        <w:suppressAutoHyphens/>
        <w:ind w:left="720" w:hanging="720"/>
        <w:jc w:val="center"/>
        <w:rPr>
          <w:rFonts w:ascii="Arial" w:eastAsiaTheme="minorEastAsia" w:hAnsi="Arial" w:cs="Arial"/>
          <w:b/>
          <w:bCs/>
          <w:sz w:val="28"/>
          <w:szCs w:val="28"/>
        </w:rPr>
      </w:pPr>
      <w:r w:rsidRPr="002B3F36">
        <w:rPr>
          <w:rFonts w:ascii="Arial" w:eastAsiaTheme="minorEastAsia" w:hAnsi="Arial" w:cs="Arial"/>
          <w:b/>
          <w:bCs/>
          <w:sz w:val="28"/>
          <w:szCs w:val="28"/>
        </w:rPr>
        <w:lastRenderedPageBreak/>
        <w:t>TABLE OF CONTENTS</w:t>
      </w:r>
    </w:p>
    <w:p w14:paraId="2B0F562F" w14:textId="025E9F4A" w:rsidR="008704B1" w:rsidRDefault="00B947A4">
      <w:pPr>
        <w:pStyle w:val="11"/>
        <w:tabs>
          <w:tab w:val="left" w:pos="735"/>
          <w:tab w:val="right" w:leader="dot" w:pos="9260"/>
        </w:tabs>
        <w:rPr>
          <w:rFonts w:asciiTheme="minorHAnsi" w:eastAsiaTheme="minorEastAsia" w:hAnsiTheme="minorHAnsi" w:cstheme="minorBidi"/>
          <w:b w:val="0"/>
          <w:noProof/>
          <w:sz w:val="22"/>
          <w:szCs w:val="22"/>
          <w:lang w:val="en-PH" w:eastAsia="en-PH"/>
        </w:rPr>
      </w:pPr>
      <w:r w:rsidRPr="002B3F36">
        <w:rPr>
          <w:rFonts w:ascii="Arial" w:eastAsia="MS Mincho" w:hAnsi="Arial" w:cs="Arial"/>
          <w:color w:val="2B579A"/>
          <w:shd w:val="clear" w:color="auto" w:fill="E6E6E6"/>
        </w:rPr>
        <w:fldChar w:fldCharType="begin"/>
      </w:r>
      <w:r w:rsidRPr="002B3F36">
        <w:rPr>
          <w:rFonts w:ascii="Arial" w:eastAsia="MS Mincho" w:hAnsi="Arial" w:cs="Arial"/>
        </w:rPr>
        <w:instrText xml:space="preserve"> TOC \o "1-4" \h \z \u </w:instrText>
      </w:r>
      <w:r w:rsidRPr="002B3F36">
        <w:rPr>
          <w:rFonts w:ascii="Arial" w:eastAsia="MS Mincho" w:hAnsi="Arial" w:cs="Arial"/>
          <w:color w:val="2B579A"/>
          <w:shd w:val="clear" w:color="auto" w:fill="E6E6E6"/>
        </w:rPr>
        <w:fldChar w:fldCharType="separate"/>
      </w:r>
      <w:hyperlink w:anchor="_Toc210589384" w:history="1">
        <w:r w:rsidR="008704B1" w:rsidRPr="00274472">
          <w:rPr>
            <w:rStyle w:val="aff6"/>
            <w:rFonts w:cs="Arial"/>
            <w:noProof/>
          </w:rPr>
          <w:t>1</w:t>
        </w:r>
        <w:r w:rsidR="008704B1">
          <w:rPr>
            <w:rFonts w:asciiTheme="minorHAnsi" w:eastAsiaTheme="minorEastAsia" w:hAnsiTheme="minorHAnsi" w:cstheme="minorBidi"/>
            <w:b w:val="0"/>
            <w:noProof/>
            <w:sz w:val="22"/>
            <w:szCs w:val="22"/>
            <w:lang w:val="en-PH" w:eastAsia="en-PH"/>
          </w:rPr>
          <w:tab/>
        </w:r>
        <w:r w:rsidR="008704B1" w:rsidRPr="00274472">
          <w:rPr>
            <w:rStyle w:val="aff6"/>
            <w:rFonts w:cs="Arial"/>
            <w:noProof/>
          </w:rPr>
          <w:t>INTRODUCTION</w:t>
        </w:r>
        <w:r w:rsidR="008704B1">
          <w:rPr>
            <w:noProof/>
            <w:webHidden/>
          </w:rPr>
          <w:tab/>
        </w:r>
        <w:r w:rsidR="008704B1">
          <w:rPr>
            <w:noProof/>
            <w:webHidden/>
          </w:rPr>
          <w:fldChar w:fldCharType="begin"/>
        </w:r>
        <w:r w:rsidR="008704B1">
          <w:rPr>
            <w:noProof/>
            <w:webHidden/>
          </w:rPr>
          <w:instrText xml:space="preserve"> PAGEREF _Toc210589384 \h </w:instrText>
        </w:r>
        <w:r w:rsidR="008704B1">
          <w:rPr>
            <w:noProof/>
            <w:webHidden/>
          </w:rPr>
        </w:r>
        <w:r w:rsidR="008704B1">
          <w:rPr>
            <w:noProof/>
            <w:webHidden/>
          </w:rPr>
          <w:fldChar w:fldCharType="separate"/>
        </w:r>
        <w:r w:rsidR="008704B1">
          <w:rPr>
            <w:noProof/>
            <w:webHidden/>
          </w:rPr>
          <w:t>1</w:t>
        </w:r>
        <w:r w:rsidR="008704B1">
          <w:rPr>
            <w:noProof/>
            <w:webHidden/>
          </w:rPr>
          <w:fldChar w:fldCharType="end"/>
        </w:r>
      </w:hyperlink>
    </w:p>
    <w:p w14:paraId="066A173A" w14:textId="2BCADE17" w:rsidR="008704B1" w:rsidRDefault="008704B1">
      <w:pPr>
        <w:pStyle w:val="25"/>
        <w:rPr>
          <w:rFonts w:asciiTheme="minorHAnsi" w:eastAsiaTheme="minorEastAsia" w:hAnsiTheme="minorHAnsi" w:cstheme="minorBidi"/>
          <w:noProof/>
          <w:color w:val="auto"/>
          <w:sz w:val="22"/>
          <w:szCs w:val="22"/>
          <w:lang w:val="en-PH" w:eastAsia="en-PH"/>
        </w:rPr>
      </w:pPr>
      <w:hyperlink w:anchor="_Toc210589385" w:history="1">
        <w:r w:rsidRPr="00274472">
          <w:rPr>
            <w:rStyle w:val="aff6"/>
            <w:noProof/>
          </w:rPr>
          <w:t>1.1</w:t>
        </w:r>
        <w:r>
          <w:rPr>
            <w:rFonts w:asciiTheme="minorHAnsi" w:eastAsiaTheme="minorEastAsia" w:hAnsiTheme="minorHAnsi" w:cstheme="minorBidi"/>
            <w:noProof/>
            <w:color w:val="auto"/>
            <w:sz w:val="22"/>
            <w:szCs w:val="22"/>
            <w:lang w:val="en-PH" w:eastAsia="en-PH"/>
          </w:rPr>
          <w:tab/>
        </w:r>
        <w:r w:rsidRPr="00274472">
          <w:rPr>
            <w:rStyle w:val="aff6"/>
            <w:noProof/>
          </w:rPr>
          <w:t>Preamble</w:t>
        </w:r>
        <w:r>
          <w:rPr>
            <w:noProof/>
            <w:webHidden/>
          </w:rPr>
          <w:tab/>
        </w:r>
        <w:r>
          <w:rPr>
            <w:noProof/>
            <w:webHidden/>
          </w:rPr>
          <w:fldChar w:fldCharType="begin"/>
        </w:r>
        <w:r>
          <w:rPr>
            <w:noProof/>
            <w:webHidden/>
          </w:rPr>
          <w:instrText xml:space="preserve"> PAGEREF _Toc210589385 \h </w:instrText>
        </w:r>
        <w:r>
          <w:rPr>
            <w:noProof/>
            <w:webHidden/>
          </w:rPr>
        </w:r>
        <w:r>
          <w:rPr>
            <w:noProof/>
            <w:webHidden/>
          </w:rPr>
          <w:fldChar w:fldCharType="separate"/>
        </w:r>
        <w:r>
          <w:rPr>
            <w:noProof/>
            <w:webHidden/>
          </w:rPr>
          <w:t>1</w:t>
        </w:r>
        <w:r>
          <w:rPr>
            <w:noProof/>
            <w:webHidden/>
          </w:rPr>
          <w:fldChar w:fldCharType="end"/>
        </w:r>
      </w:hyperlink>
    </w:p>
    <w:p w14:paraId="2F09D0DB" w14:textId="5F8AC90E" w:rsidR="008704B1" w:rsidRDefault="008704B1">
      <w:pPr>
        <w:pStyle w:val="25"/>
        <w:rPr>
          <w:rFonts w:asciiTheme="minorHAnsi" w:eastAsiaTheme="minorEastAsia" w:hAnsiTheme="minorHAnsi" w:cstheme="minorBidi"/>
          <w:noProof/>
          <w:color w:val="auto"/>
          <w:sz w:val="22"/>
          <w:szCs w:val="22"/>
          <w:lang w:val="en-PH" w:eastAsia="en-PH"/>
        </w:rPr>
      </w:pPr>
      <w:hyperlink w:anchor="_Toc210589386" w:history="1">
        <w:r w:rsidRPr="00274472">
          <w:rPr>
            <w:rStyle w:val="aff6"/>
            <w:noProof/>
          </w:rPr>
          <w:t>1.2</w:t>
        </w:r>
        <w:r>
          <w:rPr>
            <w:rFonts w:asciiTheme="minorHAnsi" w:eastAsiaTheme="minorEastAsia" w:hAnsiTheme="minorHAnsi" w:cstheme="minorBidi"/>
            <w:noProof/>
            <w:color w:val="auto"/>
            <w:sz w:val="22"/>
            <w:szCs w:val="22"/>
            <w:lang w:val="en-PH" w:eastAsia="en-PH"/>
          </w:rPr>
          <w:tab/>
        </w:r>
        <w:r w:rsidRPr="00274472">
          <w:rPr>
            <w:rStyle w:val="aff6"/>
            <w:noProof/>
          </w:rPr>
          <w:t>Project overview</w:t>
        </w:r>
        <w:r>
          <w:rPr>
            <w:noProof/>
            <w:webHidden/>
          </w:rPr>
          <w:tab/>
        </w:r>
        <w:r>
          <w:rPr>
            <w:noProof/>
            <w:webHidden/>
          </w:rPr>
          <w:fldChar w:fldCharType="begin"/>
        </w:r>
        <w:r>
          <w:rPr>
            <w:noProof/>
            <w:webHidden/>
          </w:rPr>
          <w:instrText xml:space="preserve"> PAGEREF _Toc210589386 \h </w:instrText>
        </w:r>
        <w:r>
          <w:rPr>
            <w:noProof/>
            <w:webHidden/>
          </w:rPr>
        </w:r>
        <w:r>
          <w:rPr>
            <w:noProof/>
            <w:webHidden/>
          </w:rPr>
          <w:fldChar w:fldCharType="separate"/>
        </w:r>
        <w:r>
          <w:rPr>
            <w:noProof/>
            <w:webHidden/>
          </w:rPr>
          <w:t>2</w:t>
        </w:r>
        <w:r>
          <w:rPr>
            <w:noProof/>
            <w:webHidden/>
          </w:rPr>
          <w:fldChar w:fldCharType="end"/>
        </w:r>
      </w:hyperlink>
    </w:p>
    <w:p w14:paraId="269E31A9" w14:textId="1B19CD63" w:rsidR="008704B1" w:rsidRDefault="008704B1">
      <w:pPr>
        <w:pStyle w:val="25"/>
        <w:rPr>
          <w:rFonts w:asciiTheme="minorHAnsi" w:eastAsiaTheme="minorEastAsia" w:hAnsiTheme="minorHAnsi" w:cstheme="minorBidi"/>
          <w:noProof/>
          <w:color w:val="auto"/>
          <w:sz w:val="22"/>
          <w:szCs w:val="22"/>
          <w:lang w:val="en-PH" w:eastAsia="en-PH"/>
        </w:rPr>
      </w:pPr>
      <w:hyperlink w:anchor="_Toc210589387" w:history="1">
        <w:r w:rsidRPr="00274472">
          <w:rPr>
            <w:rStyle w:val="aff6"/>
            <w:noProof/>
          </w:rPr>
          <w:t>1.3</w:t>
        </w:r>
        <w:r>
          <w:rPr>
            <w:rFonts w:asciiTheme="minorHAnsi" w:eastAsiaTheme="minorEastAsia" w:hAnsiTheme="minorHAnsi" w:cstheme="minorBidi"/>
            <w:noProof/>
            <w:color w:val="auto"/>
            <w:sz w:val="22"/>
            <w:szCs w:val="22"/>
            <w:lang w:val="en-PH" w:eastAsia="en-PH"/>
          </w:rPr>
          <w:tab/>
        </w:r>
        <w:r w:rsidRPr="00274472">
          <w:rPr>
            <w:rStyle w:val="aff6"/>
            <w:noProof/>
          </w:rPr>
          <w:t>Limitations of the ESIA</w:t>
        </w:r>
        <w:r>
          <w:rPr>
            <w:noProof/>
            <w:webHidden/>
          </w:rPr>
          <w:tab/>
        </w:r>
        <w:r>
          <w:rPr>
            <w:noProof/>
            <w:webHidden/>
          </w:rPr>
          <w:fldChar w:fldCharType="begin"/>
        </w:r>
        <w:r>
          <w:rPr>
            <w:noProof/>
            <w:webHidden/>
          </w:rPr>
          <w:instrText xml:space="preserve"> PAGEREF _Toc210589387 \h </w:instrText>
        </w:r>
        <w:r>
          <w:rPr>
            <w:noProof/>
            <w:webHidden/>
          </w:rPr>
        </w:r>
        <w:r>
          <w:rPr>
            <w:noProof/>
            <w:webHidden/>
          </w:rPr>
          <w:fldChar w:fldCharType="separate"/>
        </w:r>
        <w:r>
          <w:rPr>
            <w:noProof/>
            <w:webHidden/>
          </w:rPr>
          <w:t>3</w:t>
        </w:r>
        <w:r>
          <w:rPr>
            <w:noProof/>
            <w:webHidden/>
          </w:rPr>
          <w:fldChar w:fldCharType="end"/>
        </w:r>
      </w:hyperlink>
    </w:p>
    <w:p w14:paraId="1DE3DA8B" w14:textId="6243D14D" w:rsidR="008704B1" w:rsidRDefault="008704B1">
      <w:pPr>
        <w:pStyle w:val="25"/>
        <w:rPr>
          <w:rFonts w:asciiTheme="minorHAnsi" w:eastAsiaTheme="minorEastAsia" w:hAnsiTheme="minorHAnsi" w:cstheme="minorBidi"/>
          <w:noProof/>
          <w:color w:val="auto"/>
          <w:sz w:val="22"/>
          <w:szCs w:val="22"/>
          <w:lang w:val="en-PH" w:eastAsia="en-PH"/>
        </w:rPr>
      </w:pPr>
      <w:hyperlink w:anchor="_Toc210589388" w:history="1">
        <w:r w:rsidRPr="00274472">
          <w:rPr>
            <w:rStyle w:val="aff6"/>
            <w:noProof/>
          </w:rPr>
          <w:t>1.4</w:t>
        </w:r>
        <w:r>
          <w:rPr>
            <w:rFonts w:asciiTheme="minorHAnsi" w:eastAsiaTheme="minorEastAsia" w:hAnsiTheme="minorHAnsi" w:cstheme="minorBidi"/>
            <w:noProof/>
            <w:color w:val="auto"/>
            <w:sz w:val="22"/>
            <w:szCs w:val="22"/>
            <w:lang w:val="en-PH" w:eastAsia="en-PH"/>
          </w:rPr>
          <w:tab/>
        </w:r>
        <w:r w:rsidRPr="00274472">
          <w:rPr>
            <w:rStyle w:val="aff6"/>
            <w:noProof/>
          </w:rPr>
          <w:t>Purpose of this Report</w:t>
        </w:r>
        <w:r>
          <w:rPr>
            <w:noProof/>
            <w:webHidden/>
          </w:rPr>
          <w:tab/>
        </w:r>
        <w:r>
          <w:rPr>
            <w:noProof/>
            <w:webHidden/>
          </w:rPr>
          <w:fldChar w:fldCharType="begin"/>
        </w:r>
        <w:r>
          <w:rPr>
            <w:noProof/>
            <w:webHidden/>
          </w:rPr>
          <w:instrText xml:space="preserve"> PAGEREF _Toc210589388 \h </w:instrText>
        </w:r>
        <w:r>
          <w:rPr>
            <w:noProof/>
            <w:webHidden/>
          </w:rPr>
        </w:r>
        <w:r>
          <w:rPr>
            <w:noProof/>
            <w:webHidden/>
          </w:rPr>
          <w:fldChar w:fldCharType="separate"/>
        </w:r>
        <w:r>
          <w:rPr>
            <w:noProof/>
            <w:webHidden/>
          </w:rPr>
          <w:t>5</w:t>
        </w:r>
        <w:r>
          <w:rPr>
            <w:noProof/>
            <w:webHidden/>
          </w:rPr>
          <w:fldChar w:fldCharType="end"/>
        </w:r>
      </w:hyperlink>
    </w:p>
    <w:p w14:paraId="4943B82C" w14:textId="71433651"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389" w:history="1">
        <w:r w:rsidRPr="00274472">
          <w:rPr>
            <w:rStyle w:val="aff6"/>
            <w:rFonts w:cs="Arial"/>
            <w:noProof/>
          </w:rPr>
          <w:t>2</w:t>
        </w:r>
        <w:r>
          <w:rPr>
            <w:rFonts w:asciiTheme="minorHAnsi" w:eastAsiaTheme="minorEastAsia" w:hAnsiTheme="minorHAnsi" w:cstheme="minorBidi"/>
            <w:b w:val="0"/>
            <w:noProof/>
            <w:sz w:val="22"/>
            <w:szCs w:val="22"/>
            <w:lang w:val="en-PH" w:eastAsia="en-PH"/>
          </w:rPr>
          <w:tab/>
        </w:r>
        <w:r w:rsidRPr="00274472">
          <w:rPr>
            <w:rStyle w:val="aff6"/>
            <w:rFonts w:cs="Arial"/>
            <w:noProof/>
          </w:rPr>
          <w:t>PROJECT DESCRIPTION</w:t>
        </w:r>
        <w:r>
          <w:rPr>
            <w:noProof/>
            <w:webHidden/>
          </w:rPr>
          <w:tab/>
        </w:r>
        <w:r>
          <w:rPr>
            <w:noProof/>
            <w:webHidden/>
          </w:rPr>
          <w:fldChar w:fldCharType="begin"/>
        </w:r>
        <w:r>
          <w:rPr>
            <w:noProof/>
            <w:webHidden/>
          </w:rPr>
          <w:instrText xml:space="preserve"> PAGEREF _Toc210589389 \h </w:instrText>
        </w:r>
        <w:r>
          <w:rPr>
            <w:noProof/>
            <w:webHidden/>
          </w:rPr>
        </w:r>
        <w:r>
          <w:rPr>
            <w:noProof/>
            <w:webHidden/>
          </w:rPr>
          <w:fldChar w:fldCharType="separate"/>
        </w:r>
        <w:r>
          <w:rPr>
            <w:noProof/>
            <w:webHidden/>
          </w:rPr>
          <w:t>7</w:t>
        </w:r>
        <w:r>
          <w:rPr>
            <w:noProof/>
            <w:webHidden/>
          </w:rPr>
          <w:fldChar w:fldCharType="end"/>
        </w:r>
      </w:hyperlink>
    </w:p>
    <w:p w14:paraId="45FD5A3C" w14:textId="4FC2868E" w:rsidR="008704B1" w:rsidRDefault="008704B1">
      <w:pPr>
        <w:pStyle w:val="25"/>
        <w:rPr>
          <w:rFonts w:asciiTheme="minorHAnsi" w:eastAsiaTheme="minorEastAsia" w:hAnsiTheme="minorHAnsi" w:cstheme="minorBidi"/>
          <w:noProof/>
          <w:color w:val="auto"/>
          <w:sz w:val="22"/>
          <w:szCs w:val="22"/>
          <w:lang w:val="en-PH" w:eastAsia="en-PH"/>
        </w:rPr>
      </w:pPr>
      <w:hyperlink w:anchor="_Toc210589390" w:history="1">
        <w:r w:rsidRPr="00274472">
          <w:rPr>
            <w:rStyle w:val="aff6"/>
            <w:noProof/>
          </w:rPr>
          <w:t>2.1</w:t>
        </w:r>
        <w:r>
          <w:rPr>
            <w:rFonts w:asciiTheme="minorHAnsi" w:eastAsiaTheme="minorEastAsia" w:hAnsiTheme="minorHAnsi" w:cstheme="minorBidi"/>
            <w:noProof/>
            <w:color w:val="auto"/>
            <w:sz w:val="22"/>
            <w:szCs w:val="22"/>
            <w:lang w:val="en-PH" w:eastAsia="en-PH"/>
          </w:rPr>
          <w:tab/>
        </w:r>
        <w:r w:rsidRPr="00274472">
          <w:rPr>
            <w:rStyle w:val="aff6"/>
            <w:noProof/>
          </w:rPr>
          <w:t>The Project Setting</w:t>
        </w:r>
        <w:r>
          <w:rPr>
            <w:noProof/>
            <w:webHidden/>
          </w:rPr>
          <w:tab/>
        </w:r>
        <w:r>
          <w:rPr>
            <w:noProof/>
            <w:webHidden/>
          </w:rPr>
          <w:fldChar w:fldCharType="begin"/>
        </w:r>
        <w:r>
          <w:rPr>
            <w:noProof/>
            <w:webHidden/>
          </w:rPr>
          <w:instrText xml:space="preserve"> PAGEREF _Toc210589390 \h </w:instrText>
        </w:r>
        <w:r>
          <w:rPr>
            <w:noProof/>
            <w:webHidden/>
          </w:rPr>
        </w:r>
        <w:r>
          <w:rPr>
            <w:noProof/>
            <w:webHidden/>
          </w:rPr>
          <w:fldChar w:fldCharType="separate"/>
        </w:r>
        <w:r>
          <w:rPr>
            <w:noProof/>
            <w:webHidden/>
          </w:rPr>
          <w:t>7</w:t>
        </w:r>
        <w:r>
          <w:rPr>
            <w:noProof/>
            <w:webHidden/>
          </w:rPr>
          <w:fldChar w:fldCharType="end"/>
        </w:r>
      </w:hyperlink>
    </w:p>
    <w:p w14:paraId="237B7901" w14:textId="308E28F1"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39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2.1.1</w:t>
        </w:r>
        <w:r>
          <w:rPr>
            <w:rFonts w:asciiTheme="minorHAnsi" w:eastAsiaTheme="minorEastAsia" w:hAnsiTheme="minorHAnsi" w:cstheme="minorBidi"/>
            <w:noProof/>
            <w:sz w:val="22"/>
            <w:szCs w:val="22"/>
            <w:lang w:val="en-PH" w:eastAsia="en-PH"/>
          </w:rPr>
          <w:tab/>
        </w:r>
        <w:r w:rsidRPr="00274472">
          <w:rPr>
            <w:rStyle w:val="aff6"/>
            <w:noProof/>
          </w:rPr>
          <w:t>Rail Infrastructure in Kazakhstan</w:t>
        </w:r>
        <w:r>
          <w:rPr>
            <w:noProof/>
            <w:webHidden/>
          </w:rPr>
          <w:tab/>
        </w:r>
        <w:r>
          <w:rPr>
            <w:noProof/>
            <w:webHidden/>
          </w:rPr>
          <w:fldChar w:fldCharType="begin"/>
        </w:r>
        <w:r>
          <w:rPr>
            <w:noProof/>
            <w:webHidden/>
          </w:rPr>
          <w:instrText xml:space="preserve"> PAGEREF _Toc210589391 \h </w:instrText>
        </w:r>
        <w:r>
          <w:rPr>
            <w:noProof/>
            <w:webHidden/>
          </w:rPr>
        </w:r>
        <w:r>
          <w:rPr>
            <w:noProof/>
            <w:webHidden/>
          </w:rPr>
          <w:fldChar w:fldCharType="separate"/>
        </w:r>
        <w:r>
          <w:rPr>
            <w:noProof/>
            <w:webHidden/>
          </w:rPr>
          <w:t>7</w:t>
        </w:r>
        <w:r>
          <w:rPr>
            <w:noProof/>
            <w:webHidden/>
          </w:rPr>
          <w:fldChar w:fldCharType="end"/>
        </w:r>
      </w:hyperlink>
    </w:p>
    <w:p w14:paraId="52DDE099" w14:textId="2B32C330"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392"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2.1.2</w:t>
        </w:r>
        <w:r>
          <w:rPr>
            <w:rFonts w:asciiTheme="minorHAnsi" w:eastAsiaTheme="minorEastAsia" w:hAnsiTheme="minorHAnsi" w:cstheme="minorBidi"/>
            <w:noProof/>
            <w:sz w:val="22"/>
            <w:szCs w:val="22"/>
            <w:lang w:val="en-PH" w:eastAsia="en-PH"/>
          </w:rPr>
          <w:tab/>
        </w:r>
        <w:r w:rsidRPr="00274472">
          <w:rPr>
            <w:rStyle w:val="aff6"/>
            <w:noProof/>
          </w:rPr>
          <w:t>Land Use and Socio-Economic Setting</w:t>
        </w:r>
        <w:r>
          <w:rPr>
            <w:noProof/>
            <w:webHidden/>
          </w:rPr>
          <w:tab/>
        </w:r>
        <w:r>
          <w:rPr>
            <w:noProof/>
            <w:webHidden/>
          </w:rPr>
          <w:fldChar w:fldCharType="begin"/>
        </w:r>
        <w:r>
          <w:rPr>
            <w:noProof/>
            <w:webHidden/>
          </w:rPr>
          <w:instrText xml:space="preserve"> PAGEREF _Toc210589392 \h </w:instrText>
        </w:r>
        <w:r>
          <w:rPr>
            <w:noProof/>
            <w:webHidden/>
          </w:rPr>
        </w:r>
        <w:r>
          <w:rPr>
            <w:noProof/>
            <w:webHidden/>
          </w:rPr>
          <w:fldChar w:fldCharType="separate"/>
        </w:r>
        <w:r>
          <w:rPr>
            <w:noProof/>
            <w:webHidden/>
          </w:rPr>
          <w:t>8</w:t>
        </w:r>
        <w:r>
          <w:rPr>
            <w:noProof/>
            <w:webHidden/>
          </w:rPr>
          <w:fldChar w:fldCharType="end"/>
        </w:r>
      </w:hyperlink>
    </w:p>
    <w:p w14:paraId="24FE2121" w14:textId="501A720B"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39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2.1.3</w:t>
        </w:r>
        <w:r>
          <w:rPr>
            <w:rFonts w:asciiTheme="minorHAnsi" w:eastAsiaTheme="minorEastAsia" w:hAnsiTheme="minorHAnsi" w:cstheme="minorBidi"/>
            <w:noProof/>
            <w:sz w:val="22"/>
            <w:szCs w:val="22"/>
            <w:lang w:val="en-PH" w:eastAsia="en-PH"/>
          </w:rPr>
          <w:tab/>
        </w:r>
        <w:r w:rsidRPr="00274472">
          <w:rPr>
            <w:rStyle w:val="aff6"/>
            <w:noProof/>
          </w:rPr>
          <w:t>Project Geography and Ecological Habitat</w:t>
        </w:r>
        <w:r>
          <w:rPr>
            <w:noProof/>
            <w:webHidden/>
          </w:rPr>
          <w:tab/>
        </w:r>
        <w:r>
          <w:rPr>
            <w:noProof/>
            <w:webHidden/>
          </w:rPr>
          <w:fldChar w:fldCharType="begin"/>
        </w:r>
        <w:r>
          <w:rPr>
            <w:noProof/>
            <w:webHidden/>
          </w:rPr>
          <w:instrText xml:space="preserve"> PAGEREF _Toc210589393 \h </w:instrText>
        </w:r>
        <w:r>
          <w:rPr>
            <w:noProof/>
            <w:webHidden/>
          </w:rPr>
        </w:r>
        <w:r>
          <w:rPr>
            <w:noProof/>
            <w:webHidden/>
          </w:rPr>
          <w:fldChar w:fldCharType="separate"/>
        </w:r>
        <w:r>
          <w:rPr>
            <w:noProof/>
            <w:webHidden/>
          </w:rPr>
          <w:t>9</w:t>
        </w:r>
        <w:r>
          <w:rPr>
            <w:noProof/>
            <w:webHidden/>
          </w:rPr>
          <w:fldChar w:fldCharType="end"/>
        </w:r>
      </w:hyperlink>
    </w:p>
    <w:p w14:paraId="4449B6C5" w14:textId="14507E05" w:rsidR="008704B1" w:rsidRDefault="008704B1">
      <w:pPr>
        <w:pStyle w:val="25"/>
        <w:rPr>
          <w:rFonts w:asciiTheme="minorHAnsi" w:eastAsiaTheme="minorEastAsia" w:hAnsiTheme="minorHAnsi" w:cstheme="minorBidi"/>
          <w:noProof/>
          <w:color w:val="auto"/>
          <w:sz w:val="22"/>
          <w:szCs w:val="22"/>
          <w:lang w:val="en-PH" w:eastAsia="en-PH"/>
        </w:rPr>
      </w:pPr>
      <w:hyperlink w:anchor="_Toc210589398" w:history="1">
        <w:r w:rsidRPr="00274472">
          <w:rPr>
            <w:rStyle w:val="aff6"/>
            <w:noProof/>
          </w:rPr>
          <w:t>2.2</w:t>
        </w:r>
        <w:r>
          <w:rPr>
            <w:rFonts w:asciiTheme="minorHAnsi" w:eastAsiaTheme="minorEastAsia" w:hAnsiTheme="minorHAnsi" w:cstheme="minorBidi"/>
            <w:noProof/>
            <w:color w:val="auto"/>
            <w:sz w:val="22"/>
            <w:szCs w:val="22"/>
            <w:lang w:val="en-PH" w:eastAsia="en-PH"/>
          </w:rPr>
          <w:tab/>
        </w:r>
        <w:r w:rsidRPr="00274472">
          <w:rPr>
            <w:rStyle w:val="aff6"/>
            <w:noProof/>
          </w:rPr>
          <w:t>Alignment Overview and Project Components</w:t>
        </w:r>
        <w:r>
          <w:rPr>
            <w:noProof/>
            <w:webHidden/>
          </w:rPr>
          <w:tab/>
        </w:r>
        <w:r>
          <w:rPr>
            <w:noProof/>
            <w:webHidden/>
          </w:rPr>
          <w:fldChar w:fldCharType="begin"/>
        </w:r>
        <w:r>
          <w:rPr>
            <w:noProof/>
            <w:webHidden/>
          </w:rPr>
          <w:instrText xml:space="preserve"> PAGEREF _Toc210589398 \h </w:instrText>
        </w:r>
        <w:r>
          <w:rPr>
            <w:noProof/>
            <w:webHidden/>
          </w:rPr>
        </w:r>
        <w:r>
          <w:rPr>
            <w:noProof/>
            <w:webHidden/>
          </w:rPr>
          <w:fldChar w:fldCharType="separate"/>
        </w:r>
        <w:r>
          <w:rPr>
            <w:noProof/>
            <w:webHidden/>
          </w:rPr>
          <w:t>9</w:t>
        </w:r>
        <w:r>
          <w:rPr>
            <w:noProof/>
            <w:webHidden/>
          </w:rPr>
          <w:fldChar w:fldCharType="end"/>
        </w:r>
      </w:hyperlink>
    </w:p>
    <w:p w14:paraId="5AF57DDB" w14:textId="17524A5B"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39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2.2.1</w:t>
        </w:r>
        <w:r>
          <w:rPr>
            <w:rFonts w:asciiTheme="minorHAnsi" w:eastAsiaTheme="minorEastAsia" w:hAnsiTheme="minorHAnsi" w:cstheme="minorBidi"/>
            <w:noProof/>
            <w:sz w:val="22"/>
            <w:szCs w:val="22"/>
            <w:lang w:val="en-PH" w:eastAsia="en-PH"/>
          </w:rPr>
          <w:tab/>
        </w:r>
        <w:r w:rsidRPr="00274472">
          <w:rPr>
            <w:rStyle w:val="aff6"/>
            <w:noProof/>
          </w:rPr>
          <w:t>Adopted Project Design Parameters</w:t>
        </w:r>
        <w:r>
          <w:rPr>
            <w:noProof/>
            <w:webHidden/>
          </w:rPr>
          <w:tab/>
        </w:r>
        <w:r>
          <w:rPr>
            <w:noProof/>
            <w:webHidden/>
          </w:rPr>
          <w:fldChar w:fldCharType="begin"/>
        </w:r>
        <w:r>
          <w:rPr>
            <w:noProof/>
            <w:webHidden/>
          </w:rPr>
          <w:instrText xml:space="preserve"> PAGEREF _Toc210589399 \h </w:instrText>
        </w:r>
        <w:r>
          <w:rPr>
            <w:noProof/>
            <w:webHidden/>
          </w:rPr>
        </w:r>
        <w:r>
          <w:rPr>
            <w:noProof/>
            <w:webHidden/>
          </w:rPr>
          <w:fldChar w:fldCharType="separate"/>
        </w:r>
        <w:r>
          <w:rPr>
            <w:noProof/>
            <w:webHidden/>
          </w:rPr>
          <w:t>11</w:t>
        </w:r>
        <w:r>
          <w:rPr>
            <w:noProof/>
            <w:webHidden/>
          </w:rPr>
          <w:fldChar w:fldCharType="end"/>
        </w:r>
      </w:hyperlink>
    </w:p>
    <w:p w14:paraId="16EA0FAE" w14:textId="712B7E59"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2.2.2</w:t>
        </w:r>
        <w:r>
          <w:rPr>
            <w:rFonts w:asciiTheme="minorHAnsi" w:eastAsiaTheme="minorEastAsia" w:hAnsiTheme="minorHAnsi" w:cstheme="minorBidi"/>
            <w:noProof/>
            <w:sz w:val="22"/>
            <w:szCs w:val="22"/>
            <w:lang w:val="en-PH" w:eastAsia="en-PH"/>
          </w:rPr>
          <w:tab/>
        </w:r>
        <w:r w:rsidRPr="00274472">
          <w:rPr>
            <w:rStyle w:val="aff6"/>
            <w:noProof/>
          </w:rPr>
          <w:t>Project Components</w:t>
        </w:r>
        <w:r>
          <w:rPr>
            <w:noProof/>
            <w:webHidden/>
          </w:rPr>
          <w:tab/>
        </w:r>
        <w:r>
          <w:rPr>
            <w:noProof/>
            <w:webHidden/>
          </w:rPr>
          <w:fldChar w:fldCharType="begin"/>
        </w:r>
        <w:r>
          <w:rPr>
            <w:noProof/>
            <w:webHidden/>
          </w:rPr>
          <w:instrText xml:space="preserve"> PAGEREF _Toc210589400 \h </w:instrText>
        </w:r>
        <w:r>
          <w:rPr>
            <w:noProof/>
            <w:webHidden/>
          </w:rPr>
        </w:r>
        <w:r>
          <w:rPr>
            <w:noProof/>
            <w:webHidden/>
          </w:rPr>
          <w:fldChar w:fldCharType="separate"/>
        </w:r>
        <w:r>
          <w:rPr>
            <w:noProof/>
            <w:webHidden/>
          </w:rPr>
          <w:t>11</w:t>
        </w:r>
        <w:r>
          <w:rPr>
            <w:noProof/>
            <w:webHidden/>
          </w:rPr>
          <w:fldChar w:fldCharType="end"/>
        </w:r>
      </w:hyperlink>
    </w:p>
    <w:p w14:paraId="2C6846E0" w14:textId="4BB24AA3"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2.2.3</w:t>
        </w:r>
        <w:r>
          <w:rPr>
            <w:rFonts w:asciiTheme="minorHAnsi" w:eastAsiaTheme="minorEastAsia" w:hAnsiTheme="minorHAnsi" w:cstheme="minorBidi"/>
            <w:noProof/>
            <w:sz w:val="22"/>
            <w:szCs w:val="22"/>
            <w:lang w:val="en-PH" w:eastAsia="en-PH"/>
          </w:rPr>
          <w:tab/>
        </w:r>
        <w:r w:rsidRPr="00274472">
          <w:rPr>
            <w:rStyle w:val="aff6"/>
            <w:noProof/>
          </w:rPr>
          <w:t>Railway Construction Process</w:t>
        </w:r>
        <w:r>
          <w:rPr>
            <w:noProof/>
            <w:webHidden/>
          </w:rPr>
          <w:tab/>
        </w:r>
        <w:r>
          <w:rPr>
            <w:noProof/>
            <w:webHidden/>
          </w:rPr>
          <w:fldChar w:fldCharType="begin"/>
        </w:r>
        <w:r>
          <w:rPr>
            <w:noProof/>
            <w:webHidden/>
          </w:rPr>
          <w:instrText xml:space="preserve"> PAGEREF _Toc210589401 \h </w:instrText>
        </w:r>
        <w:r>
          <w:rPr>
            <w:noProof/>
            <w:webHidden/>
          </w:rPr>
        </w:r>
        <w:r>
          <w:rPr>
            <w:noProof/>
            <w:webHidden/>
          </w:rPr>
          <w:fldChar w:fldCharType="separate"/>
        </w:r>
        <w:r>
          <w:rPr>
            <w:noProof/>
            <w:webHidden/>
          </w:rPr>
          <w:t>23</w:t>
        </w:r>
        <w:r>
          <w:rPr>
            <w:noProof/>
            <w:webHidden/>
          </w:rPr>
          <w:fldChar w:fldCharType="end"/>
        </w:r>
      </w:hyperlink>
    </w:p>
    <w:p w14:paraId="3773CFD9" w14:textId="488D3B8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2"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2.2.4</w:t>
        </w:r>
        <w:r>
          <w:rPr>
            <w:rFonts w:asciiTheme="minorHAnsi" w:eastAsiaTheme="minorEastAsia" w:hAnsiTheme="minorHAnsi" w:cstheme="minorBidi"/>
            <w:noProof/>
            <w:sz w:val="22"/>
            <w:szCs w:val="22"/>
            <w:lang w:val="en-PH" w:eastAsia="en-PH"/>
          </w:rPr>
          <w:tab/>
        </w:r>
        <w:r w:rsidRPr="00274472">
          <w:rPr>
            <w:rStyle w:val="aff6"/>
            <w:noProof/>
          </w:rPr>
          <w:t>Design Solutions and Work Stages</w:t>
        </w:r>
        <w:r>
          <w:rPr>
            <w:noProof/>
            <w:webHidden/>
          </w:rPr>
          <w:tab/>
        </w:r>
        <w:r>
          <w:rPr>
            <w:noProof/>
            <w:webHidden/>
          </w:rPr>
          <w:fldChar w:fldCharType="begin"/>
        </w:r>
        <w:r>
          <w:rPr>
            <w:noProof/>
            <w:webHidden/>
          </w:rPr>
          <w:instrText xml:space="preserve"> PAGEREF _Toc210589402 \h </w:instrText>
        </w:r>
        <w:r>
          <w:rPr>
            <w:noProof/>
            <w:webHidden/>
          </w:rPr>
        </w:r>
        <w:r>
          <w:rPr>
            <w:noProof/>
            <w:webHidden/>
          </w:rPr>
          <w:fldChar w:fldCharType="separate"/>
        </w:r>
        <w:r>
          <w:rPr>
            <w:noProof/>
            <w:webHidden/>
          </w:rPr>
          <w:t>24</w:t>
        </w:r>
        <w:r>
          <w:rPr>
            <w:noProof/>
            <w:webHidden/>
          </w:rPr>
          <w:fldChar w:fldCharType="end"/>
        </w:r>
      </w:hyperlink>
    </w:p>
    <w:p w14:paraId="70F994D1" w14:textId="1946BD19" w:rsidR="008704B1" w:rsidRDefault="008704B1">
      <w:pPr>
        <w:pStyle w:val="25"/>
        <w:rPr>
          <w:rFonts w:asciiTheme="minorHAnsi" w:eastAsiaTheme="minorEastAsia" w:hAnsiTheme="minorHAnsi" w:cstheme="minorBidi"/>
          <w:noProof/>
          <w:color w:val="auto"/>
          <w:sz w:val="22"/>
          <w:szCs w:val="22"/>
          <w:lang w:val="en-PH" w:eastAsia="en-PH"/>
        </w:rPr>
      </w:pPr>
      <w:hyperlink w:anchor="_Toc210589403" w:history="1">
        <w:r w:rsidRPr="00274472">
          <w:rPr>
            <w:rStyle w:val="aff6"/>
            <w:noProof/>
          </w:rPr>
          <w:t>2.3</w:t>
        </w:r>
        <w:r>
          <w:rPr>
            <w:rFonts w:asciiTheme="minorHAnsi" w:eastAsiaTheme="minorEastAsia" w:hAnsiTheme="minorHAnsi" w:cstheme="minorBidi"/>
            <w:noProof/>
            <w:color w:val="auto"/>
            <w:sz w:val="22"/>
            <w:szCs w:val="22"/>
            <w:lang w:val="en-PH" w:eastAsia="en-PH"/>
          </w:rPr>
          <w:tab/>
        </w:r>
        <w:r w:rsidRPr="00274472">
          <w:rPr>
            <w:rStyle w:val="aff6"/>
            <w:noProof/>
          </w:rPr>
          <w:t>Organizational responsibilities</w:t>
        </w:r>
        <w:r>
          <w:rPr>
            <w:noProof/>
            <w:webHidden/>
          </w:rPr>
          <w:tab/>
        </w:r>
        <w:r>
          <w:rPr>
            <w:noProof/>
            <w:webHidden/>
          </w:rPr>
          <w:fldChar w:fldCharType="begin"/>
        </w:r>
        <w:r>
          <w:rPr>
            <w:noProof/>
            <w:webHidden/>
          </w:rPr>
          <w:instrText xml:space="preserve"> PAGEREF _Toc210589403 \h </w:instrText>
        </w:r>
        <w:r>
          <w:rPr>
            <w:noProof/>
            <w:webHidden/>
          </w:rPr>
        </w:r>
        <w:r>
          <w:rPr>
            <w:noProof/>
            <w:webHidden/>
          </w:rPr>
          <w:fldChar w:fldCharType="separate"/>
        </w:r>
        <w:r>
          <w:rPr>
            <w:noProof/>
            <w:webHidden/>
          </w:rPr>
          <w:t>26</w:t>
        </w:r>
        <w:r>
          <w:rPr>
            <w:noProof/>
            <w:webHidden/>
          </w:rPr>
          <w:fldChar w:fldCharType="end"/>
        </w:r>
      </w:hyperlink>
    </w:p>
    <w:p w14:paraId="31CEFFBA" w14:textId="11B9821D" w:rsidR="008704B1" w:rsidRDefault="008704B1">
      <w:pPr>
        <w:pStyle w:val="25"/>
        <w:rPr>
          <w:rFonts w:asciiTheme="minorHAnsi" w:eastAsiaTheme="minorEastAsia" w:hAnsiTheme="minorHAnsi" w:cstheme="minorBidi"/>
          <w:noProof/>
          <w:color w:val="auto"/>
          <w:sz w:val="22"/>
          <w:szCs w:val="22"/>
          <w:lang w:val="en-PH" w:eastAsia="en-PH"/>
        </w:rPr>
      </w:pPr>
      <w:hyperlink w:anchor="_Toc210589404" w:history="1">
        <w:r w:rsidRPr="00274472">
          <w:rPr>
            <w:rStyle w:val="aff6"/>
            <w:noProof/>
          </w:rPr>
          <w:t>2.4</w:t>
        </w:r>
        <w:r>
          <w:rPr>
            <w:rFonts w:asciiTheme="minorHAnsi" w:eastAsiaTheme="minorEastAsia" w:hAnsiTheme="minorHAnsi" w:cstheme="minorBidi"/>
            <w:noProof/>
            <w:color w:val="auto"/>
            <w:sz w:val="22"/>
            <w:szCs w:val="22"/>
            <w:lang w:val="en-PH" w:eastAsia="en-PH"/>
          </w:rPr>
          <w:tab/>
        </w:r>
        <w:r w:rsidRPr="00274472">
          <w:rPr>
            <w:rStyle w:val="aff6"/>
            <w:noProof/>
          </w:rPr>
          <w:t>Consideration</w:t>
        </w:r>
        <w:r w:rsidRPr="00274472">
          <w:rPr>
            <w:rStyle w:val="aff6"/>
            <w:noProof/>
            <w:spacing w:val="56"/>
          </w:rPr>
          <w:t xml:space="preserve"> </w:t>
        </w:r>
        <w:r w:rsidRPr="00274472">
          <w:rPr>
            <w:rStyle w:val="aff6"/>
            <w:noProof/>
          </w:rPr>
          <w:t>of</w:t>
        </w:r>
        <w:r w:rsidRPr="00274472">
          <w:rPr>
            <w:rStyle w:val="aff6"/>
            <w:noProof/>
            <w:spacing w:val="54"/>
          </w:rPr>
          <w:t xml:space="preserve"> </w:t>
        </w:r>
        <w:r w:rsidRPr="00274472">
          <w:rPr>
            <w:rStyle w:val="aff6"/>
            <w:noProof/>
            <w:spacing w:val="-2"/>
          </w:rPr>
          <w:t>Alternatives</w:t>
        </w:r>
        <w:r>
          <w:rPr>
            <w:noProof/>
            <w:webHidden/>
          </w:rPr>
          <w:tab/>
        </w:r>
        <w:r>
          <w:rPr>
            <w:noProof/>
            <w:webHidden/>
          </w:rPr>
          <w:fldChar w:fldCharType="begin"/>
        </w:r>
        <w:r>
          <w:rPr>
            <w:noProof/>
            <w:webHidden/>
          </w:rPr>
          <w:instrText xml:space="preserve"> PAGEREF _Toc210589404 \h </w:instrText>
        </w:r>
        <w:r>
          <w:rPr>
            <w:noProof/>
            <w:webHidden/>
          </w:rPr>
        </w:r>
        <w:r>
          <w:rPr>
            <w:noProof/>
            <w:webHidden/>
          </w:rPr>
          <w:fldChar w:fldCharType="separate"/>
        </w:r>
        <w:r>
          <w:rPr>
            <w:noProof/>
            <w:webHidden/>
          </w:rPr>
          <w:t>28</w:t>
        </w:r>
        <w:r>
          <w:rPr>
            <w:noProof/>
            <w:webHidden/>
          </w:rPr>
          <w:fldChar w:fldCharType="end"/>
        </w:r>
      </w:hyperlink>
    </w:p>
    <w:p w14:paraId="6D354853" w14:textId="0F2EC878"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2.4.1</w:t>
        </w:r>
        <w:r>
          <w:rPr>
            <w:rFonts w:asciiTheme="minorHAnsi" w:eastAsiaTheme="minorEastAsia" w:hAnsiTheme="minorHAnsi" w:cstheme="minorBidi"/>
            <w:noProof/>
            <w:sz w:val="22"/>
            <w:szCs w:val="22"/>
            <w:lang w:val="en-PH" w:eastAsia="en-PH"/>
          </w:rPr>
          <w:tab/>
        </w:r>
        <w:r w:rsidRPr="00274472">
          <w:rPr>
            <w:rStyle w:val="aff6"/>
            <w:noProof/>
          </w:rPr>
          <w:t>Project</w:t>
        </w:r>
        <w:r w:rsidRPr="00274472">
          <w:rPr>
            <w:rStyle w:val="aff6"/>
            <w:noProof/>
            <w:spacing w:val="37"/>
          </w:rPr>
          <w:t xml:space="preserve"> </w:t>
        </w:r>
        <w:r w:rsidRPr="00274472">
          <w:rPr>
            <w:rStyle w:val="aff6"/>
            <w:noProof/>
          </w:rPr>
          <w:t>vs</w:t>
        </w:r>
        <w:r w:rsidRPr="00274472">
          <w:rPr>
            <w:rStyle w:val="aff6"/>
            <w:noProof/>
            <w:spacing w:val="38"/>
          </w:rPr>
          <w:t xml:space="preserve"> </w:t>
        </w:r>
        <w:r w:rsidRPr="00274472">
          <w:rPr>
            <w:rStyle w:val="aff6"/>
            <w:noProof/>
          </w:rPr>
          <w:t>No</w:t>
        </w:r>
        <w:r w:rsidRPr="00274472">
          <w:rPr>
            <w:rStyle w:val="aff6"/>
            <w:noProof/>
            <w:spacing w:val="37"/>
          </w:rPr>
          <w:t xml:space="preserve"> </w:t>
        </w:r>
        <w:r w:rsidRPr="00274472">
          <w:rPr>
            <w:rStyle w:val="aff6"/>
            <w:noProof/>
          </w:rPr>
          <w:t>Project</w:t>
        </w:r>
        <w:r w:rsidRPr="00274472">
          <w:rPr>
            <w:rStyle w:val="aff6"/>
            <w:noProof/>
            <w:spacing w:val="38"/>
          </w:rPr>
          <w:t xml:space="preserve"> </w:t>
        </w:r>
        <w:r w:rsidRPr="00274472">
          <w:rPr>
            <w:rStyle w:val="aff6"/>
            <w:noProof/>
            <w:spacing w:val="-2"/>
          </w:rPr>
          <w:t>Scenario</w:t>
        </w:r>
        <w:r>
          <w:rPr>
            <w:noProof/>
            <w:webHidden/>
          </w:rPr>
          <w:tab/>
        </w:r>
        <w:r>
          <w:rPr>
            <w:noProof/>
            <w:webHidden/>
          </w:rPr>
          <w:fldChar w:fldCharType="begin"/>
        </w:r>
        <w:r>
          <w:rPr>
            <w:noProof/>
            <w:webHidden/>
          </w:rPr>
          <w:instrText xml:space="preserve"> PAGEREF _Toc210589405 \h </w:instrText>
        </w:r>
        <w:r>
          <w:rPr>
            <w:noProof/>
            <w:webHidden/>
          </w:rPr>
        </w:r>
        <w:r>
          <w:rPr>
            <w:noProof/>
            <w:webHidden/>
          </w:rPr>
          <w:fldChar w:fldCharType="separate"/>
        </w:r>
        <w:r>
          <w:rPr>
            <w:noProof/>
            <w:webHidden/>
          </w:rPr>
          <w:t>28</w:t>
        </w:r>
        <w:r>
          <w:rPr>
            <w:noProof/>
            <w:webHidden/>
          </w:rPr>
          <w:fldChar w:fldCharType="end"/>
        </w:r>
      </w:hyperlink>
    </w:p>
    <w:p w14:paraId="30249C7A" w14:textId="0422E8A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2.4.2</w:t>
        </w:r>
        <w:r>
          <w:rPr>
            <w:rFonts w:asciiTheme="minorHAnsi" w:eastAsiaTheme="minorEastAsia" w:hAnsiTheme="minorHAnsi" w:cstheme="minorBidi"/>
            <w:noProof/>
            <w:sz w:val="22"/>
            <w:szCs w:val="22"/>
            <w:lang w:val="en-PH" w:eastAsia="en-PH"/>
          </w:rPr>
          <w:tab/>
        </w:r>
        <w:r w:rsidRPr="00274472">
          <w:rPr>
            <w:rStyle w:val="aff6"/>
            <w:noProof/>
          </w:rPr>
          <w:t>Technical Benefits of the Project VS the No</w:t>
        </w:r>
        <w:r w:rsidRPr="00274472">
          <w:rPr>
            <w:rStyle w:val="aff6"/>
            <w:noProof/>
            <w:spacing w:val="37"/>
          </w:rPr>
          <w:t>-</w:t>
        </w:r>
        <w:r w:rsidRPr="00274472">
          <w:rPr>
            <w:rStyle w:val="aff6"/>
            <w:noProof/>
          </w:rPr>
          <w:t>Project</w:t>
        </w:r>
        <w:r w:rsidRPr="00274472">
          <w:rPr>
            <w:rStyle w:val="aff6"/>
            <w:noProof/>
            <w:spacing w:val="38"/>
          </w:rPr>
          <w:t xml:space="preserve"> </w:t>
        </w:r>
        <w:r w:rsidRPr="00274472">
          <w:rPr>
            <w:rStyle w:val="aff6"/>
            <w:noProof/>
            <w:spacing w:val="-2"/>
          </w:rPr>
          <w:t>Scenario</w:t>
        </w:r>
        <w:r>
          <w:rPr>
            <w:noProof/>
            <w:webHidden/>
          </w:rPr>
          <w:tab/>
        </w:r>
        <w:r>
          <w:rPr>
            <w:noProof/>
            <w:webHidden/>
          </w:rPr>
          <w:fldChar w:fldCharType="begin"/>
        </w:r>
        <w:r>
          <w:rPr>
            <w:noProof/>
            <w:webHidden/>
          </w:rPr>
          <w:instrText xml:space="preserve"> PAGEREF _Toc210589406 \h </w:instrText>
        </w:r>
        <w:r>
          <w:rPr>
            <w:noProof/>
            <w:webHidden/>
          </w:rPr>
        </w:r>
        <w:r>
          <w:rPr>
            <w:noProof/>
            <w:webHidden/>
          </w:rPr>
          <w:fldChar w:fldCharType="separate"/>
        </w:r>
        <w:r>
          <w:rPr>
            <w:noProof/>
            <w:webHidden/>
          </w:rPr>
          <w:t>28</w:t>
        </w:r>
        <w:r>
          <w:rPr>
            <w:noProof/>
            <w:webHidden/>
          </w:rPr>
          <w:fldChar w:fldCharType="end"/>
        </w:r>
      </w:hyperlink>
    </w:p>
    <w:p w14:paraId="0793C5C5" w14:textId="5BF0BE6A"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7"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2.4.3</w:t>
        </w:r>
        <w:r>
          <w:rPr>
            <w:rFonts w:asciiTheme="minorHAnsi" w:eastAsiaTheme="minorEastAsia" w:hAnsiTheme="minorHAnsi" w:cstheme="minorBidi"/>
            <w:noProof/>
            <w:sz w:val="22"/>
            <w:szCs w:val="22"/>
            <w:lang w:val="en-PH" w:eastAsia="en-PH"/>
          </w:rPr>
          <w:tab/>
        </w:r>
        <w:r w:rsidRPr="00274472">
          <w:rPr>
            <w:rStyle w:val="aff6"/>
            <w:noProof/>
          </w:rPr>
          <w:t>Economic Benefits</w:t>
        </w:r>
        <w:r>
          <w:rPr>
            <w:noProof/>
            <w:webHidden/>
          </w:rPr>
          <w:tab/>
        </w:r>
        <w:r>
          <w:rPr>
            <w:noProof/>
            <w:webHidden/>
          </w:rPr>
          <w:fldChar w:fldCharType="begin"/>
        </w:r>
        <w:r>
          <w:rPr>
            <w:noProof/>
            <w:webHidden/>
          </w:rPr>
          <w:instrText xml:space="preserve"> PAGEREF _Toc210589407 \h </w:instrText>
        </w:r>
        <w:r>
          <w:rPr>
            <w:noProof/>
            <w:webHidden/>
          </w:rPr>
        </w:r>
        <w:r>
          <w:rPr>
            <w:noProof/>
            <w:webHidden/>
          </w:rPr>
          <w:fldChar w:fldCharType="separate"/>
        </w:r>
        <w:r>
          <w:rPr>
            <w:noProof/>
            <w:webHidden/>
          </w:rPr>
          <w:t>29</w:t>
        </w:r>
        <w:r>
          <w:rPr>
            <w:noProof/>
            <w:webHidden/>
          </w:rPr>
          <w:fldChar w:fldCharType="end"/>
        </w:r>
      </w:hyperlink>
    </w:p>
    <w:p w14:paraId="4B16DB0D" w14:textId="1922022F"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2.4.4</w:t>
        </w:r>
        <w:r>
          <w:rPr>
            <w:rFonts w:asciiTheme="minorHAnsi" w:eastAsiaTheme="minorEastAsia" w:hAnsiTheme="minorHAnsi" w:cstheme="minorBidi"/>
            <w:noProof/>
            <w:sz w:val="22"/>
            <w:szCs w:val="22"/>
            <w:lang w:val="en-PH" w:eastAsia="en-PH"/>
          </w:rPr>
          <w:tab/>
        </w:r>
        <w:r w:rsidRPr="00274472">
          <w:rPr>
            <w:rStyle w:val="aff6"/>
            <w:noProof/>
          </w:rPr>
          <w:t>Financial Benefits</w:t>
        </w:r>
        <w:r>
          <w:rPr>
            <w:noProof/>
            <w:webHidden/>
          </w:rPr>
          <w:tab/>
        </w:r>
        <w:r>
          <w:rPr>
            <w:noProof/>
            <w:webHidden/>
          </w:rPr>
          <w:fldChar w:fldCharType="begin"/>
        </w:r>
        <w:r>
          <w:rPr>
            <w:noProof/>
            <w:webHidden/>
          </w:rPr>
          <w:instrText xml:space="preserve"> PAGEREF _Toc210589408 \h </w:instrText>
        </w:r>
        <w:r>
          <w:rPr>
            <w:noProof/>
            <w:webHidden/>
          </w:rPr>
        </w:r>
        <w:r>
          <w:rPr>
            <w:noProof/>
            <w:webHidden/>
          </w:rPr>
          <w:fldChar w:fldCharType="separate"/>
        </w:r>
        <w:r>
          <w:rPr>
            <w:noProof/>
            <w:webHidden/>
          </w:rPr>
          <w:t>29</w:t>
        </w:r>
        <w:r>
          <w:rPr>
            <w:noProof/>
            <w:webHidden/>
          </w:rPr>
          <w:fldChar w:fldCharType="end"/>
        </w:r>
      </w:hyperlink>
    </w:p>
    <w:p w14:paraId="46DE5C50" w14:textId="0D9F02A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0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2.4.5</w:t>
        </w:r>
        <w:r>
          <w:rPr>
            <w:rFonts w:asciiTheme="minorHAnsi" w:eastAsiaTheme="minorEastAsia" w:hAnsiTheme="minorHAnsi" w:cstheme="minorBidi"/>
            <w:noProof/>
            <w:sz w:val="22"/>
            <w:szCs w:val="22"/>
            <w:lang w:val="en-PH" w:eastAsia="en-PH"/>
          </w:rPr>
          <w:tab/>
        </w:r>
        <w:r w:rsidRPr="00274472">
          <w:rPr>
            <w:rStyle w:val="aff6"/>
            <w:noProof/>
          </w:rPr>
          <w:t>Environmental Benefits</w:t>
        </w:r>
        <w:r>
          <w:rPr>
            <w:noProof/>
            <w:webHidden/>
          </w:rPr>
          <w:tab/>
        </w:r>
        <w:r>
          <w:rPr>
            <w:noProof/>
            <w:webHidden/>
          </w:rPr>
          <w:fldChar w:fldCharType="begin"/>
        </w:r>
        <w:r>
          <w:rPr>
            <w:noProof/>
            <w:webHidden/>
          </w:rPr>
          <w:instrText xml:space="preserve"> PAGEREF _Toc210589409 \h </w:instrText>
        </w:r>
        <w:r>
          <w:rPr>
            <w:noProof/>
            <w:webHidden/>
          </w:rPr>
        </w:r>
        <w:r>
          <w:rPr>
            <w:noProof/>
            <w:webHidden/>
          </w:rPr>
          <w:fldChar w:fldCharType="separate"/>
        </w:r>
        <w:r>
          <w:rPr>
            <w:noProof/>
            <w:webHidden/>
          </w:rPr>
          <w:t>29</w:t>
        </w:r>
        <w:r>
          <w:rPr>
            <w:noProof/>
            <w:webHidden/>
          </w:rPr>
          <w:fldChar w:fldCharType="end"/>
        </w:r>
      </w:hyperlink>
    </w:p>
    <w:p w14:paraId="5B8833B1" w14:textId="2B69A302"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1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2.4.6</w:t>
        </w:r>
        <w:r>
          <w:rPr>
            <w:rFonts w:asciiTheme="minorHAnsi" w:eastAsiaTheme="minorEastAsia" w:hAnsiTheme="minorHAnsi" w:cstheme="minorBidi"/>
            <w:noProof/>
            <w:sz w:val="22"/>
            <w:szCs w:val="22"/>
            <w:lang w:val="en-PH" w:eastAsia="en-PH"/>
          </w:rPr>
          <w:tab/>
        </w:r>
        <w:r w:rsidRPr="00274472">
          <w:rPr>
            <w:rStyle w:val="aff6"/>
            <w:noProof/>
          </w:rPr>
          <w:t>Social Benefits</w:t>
        </w:r>
        <w:r>
          <w:rPr>
            <w:noProof/>
            <w:webHidden/>
          </w:rPr>
          <w:tab/>
        </w:r>
        <w:r>
          <w:rPr>
            <w:noProof/>
            <w:webHidden/>
          </w:rPr>
          <w:fldChar w:fldCharType="begin"/>
        </w:r>
        <w:r>
          <w:rPr>
            <w:noProof/>
            <w:webHidden/>
          </w:rPr>
          <w:instrText xml:space="preserve"> PAGEREF _Toc210589410 \h </w:instrText>
        </w:r>
        <w:r>
          <w:rPr>
            <w:noProof/>
            <w:webHidden/>
          </w:rPr>
        </w:r>
        <w:r>
          <w:rPr>
            <w:noProof/>
            <w:webHidden/>
          </w:rPr>
          <w:fldChar w:fldCharType="separate"/>
        </w:r>
        <w:r>
          <w:rPr>
            <w:noProof/>
            <w:webHidden/>
          </w:rPr>
          <w:t>29</w:t>
        </w:r>
        <w:r>
          <w:rPr>
            <w:noProof/>
            <w:webHidden/>
          </w:rPr>
          <w:fldChar w:fldCharType="end"/>
        </w:r>
      </w:hyperlink>
    </w:p>
    <w:p w14:paraId="1333E3D9" w14:textId="6BFAE4C1"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1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2.4.7</w:t>
        </w:r>
        <w:r>
          <w:rPr>
            <w:rFonts w:asciiTheme="minorHAnsi" w:eastAsiaTheme="minorEastAsia" w:hAnsiTheme="minorHAnsi" w:cstheme="minorBidi"/>
            <w:noProof/>
            <w:sz w:val="22"/>
            <w:szCs w:val="22"/>
            <w:lang w:val="en-PH" w:eastAsia="en-PH"/>
          </w:rPr>
          <w:tab/>
        </w:r>
        <w:r w:rsidRPr="00274472">
          <w:rPr>
            <w:rStyle w:val="aff6"/>
            <w:noProof/>
          </w:rPr>
          <w:t>Alternative Design Layouts and Routes</w:t>
        </w:r>
        <w:r>
          <w:rPr>
            <w:noProof/>
            <w:webHidden/>
          </w:rPr>
          <w:tab/>
        </w:r>
        <w:r>
          <w:rPr>
            <w:noProof/>
            <w:webHidden/>
          </w:rPr>
          <w:fldChar w:fldCharType="begin"/>
        </w:r>
        <w:r>
          <w:rPr>
            <w:noProof/>
            <w:webHidden/>
          </w:rPr>
          <w:instrText xml:space="preserve"> PAGEREF _Toc210589411 \h </w:instrText>
        </w:r>
        <w:r>
          <w:rPr>
            <w:noProof/>
            <w:webHidden/>
          </w:rPr>
        </w:r>
        <w:r>
          <w:rPr>
            <w:noProof/>
            <w:webHidden/>
          </w:rPr>
          <w:fldChar w:fldCharType="separate"/>
        </w:r>
        <w:r>
          <w:rPr>
            <w:noProof/>
            <w:webHidden/>
          </w:rPr>
          <w:t>30</w:t>
        </w:r>
        <w:r>
          <w:rPr>
            <w:noProof/>
            <w:webHidden/>
          </w:rPr>
          <w:fldChar w:fldCharType="end"/>
        </w:r>
      </w:hyperlink>
    </w:p>
    <w:p w14:paraId="48B8A771" w14:textId="028150DB" w:rsidR="008704B1" w:rsidRDefault="008704B1">
      <w:pPr>
        <w:pStyle w:val="43"/>
        <w:rPr>
          <w:rFonts w:asciiTheme="minorHAnsi" w:eastAsiaTheme="minorEastAsia" w:hAnsiTheme="minorHAnsi" w:cstheme="minorBidi"/>
          <w:noProof/>
          <w:sz w:val="22"/>
          <w:szCs w:val="22"/>
          <w:lang w:val="en-PH" w:eastAsia="en-PH"/>
        </w:rPr>
      </w:pPr>
      <w:hyperlink w:anchor="_Toc210589412" w:history="1">
        <w:r w:rsidRPr="00274472">
          <w:rPr>
            <w:rStyle w:val="aff6"/>
            <w:noProof/>
          </w:rPr>
          <w:t>2.4.7.1</w:t>
        </w:r>
        <w:r>
          <w:rPr>
            <w:rFonts w:asciiTheme="minorHAnsi" w:eastAsiaTheme="minorEastAsia" w:hAnsiTheme="minorHAnsi" w:cstheme="minorBidi"/>
            <w:noProof/>
            <w:sz w:val="22"/>
            <w:szCs w:val="22"/>
            <w:lang w:val="en-PH" w:eastAsia="en-PH"/>
          </w:rPr>
          <w:tab/>
        </w:r>
        <w:r w:rsidRPr="00274472">
          <w:rPr>
            <w:rStyle w:val="aff6"/>
            <w:noProof/>
          </w:rPr>
          <w:t>Route Option 1</w:t>
        </w:r>
        <w:r>
          <w:rPr>
            <w:noProof/>
            <w:webHidden/>
          </w:rPr>
          <w:tab/>
        </w:r>
        <w:r>
          <w:rPr>
            <w:noProof/>
            <w:webHidden/>
          </w:rPr>
          <w:fldChar w:fldCharType="begin"/>
        </w:r>
        <w:r>
          <w:rPr>
            <w:noProof/>
            <w:webHidden/>
          </w:rPr>
          <w:instrText xml:space="preserve"> PAGEREF _Toc210589412 \h </w:instrText>
        </w:r>
        <w:r>
          <w:rPr>
            <w:noProof/>
            <w:webHidden/>
          </w:rPr>
        </w:r>
        <w:r>
          <w:rPr>
            <w:noProof/>
            <w:webHidden/>
          </w:rPr>
          <w:fldChar w:fldCharType="separate"/>
        </w:r>
        <w:r>
          <w:rPr>
            <w:noProof/>
            <w:webHidden/>
          </w:rPr>
          <w:t>32</w:t>
        </w:r>
        <w:r>
          <w:rPr>
            <w:noProof/>
            <w:webHidden/>
          </w:rPr>
          <w:fldChar w:fldCharType="end"/>
        </w:r>
      </w:hyperlink>
    </w:p>
    <w:p w14:paraId="6EFC68F3" w14:textId="0E3D71EA" w:rsidR="008704B1" w:rsidRDefault="008704B1">
      <w:pPr>
        <w:pStyle w:val="43"/>
        <w:rPr>
          <w:rFonts w:asciiTheme="minorHAnsi" w:eastAsiaTheme="minorEastAsia" w:hAnsiTheme="minorHAnsi" w:cstheme="minorBidi"/>
          <w:noProof/>
          <w:sz w:val="22"/>
          <w:szCs w:val="22"/>
          <w:lang w:val="en-PH" w:eastAsia="en-PH"/>
        </w:rPr>
      </w:pPr>
      <w:hyperlink w:anchor="_Toc210589413" w:history="1">
        <w:r w:rsidRPr="00274472">
          <w:rPr>
            <w:rStyle w:val="aff6"/>
            <w:noProof/>
          </w:rPr>
          <w:t>2.4.7.2</w:t>
        </w:r>
        <w:r>
          <w:rPr>
            <w:rFonts w:asciiTheme="minorHAnsi" w:eastAsiaTheme="minorEastAsia" w:hAnsiTheme="minorHAnsi" w:cstheme="minorBidi"/>
            <w:noProof/>
            <w:sz w:val="22"/>
            <w:szCs w:val="22"/>
            <w:lang w:val="en-PH" w:eastAsia="en-PH"/>
          </w:rPr>
          <w:tab/>
        </w:r>
        <w:r w:rsidRPr="00274472">
          <w:rPr>
            <w:rStyle w:val="aff6"/>
            <w:noProof/>
          </w:rPr>
          <w:t>Route Option 2</w:t>
        </w:r>
        <w:r>
          <w:rPr>
            <w:noProof/>
            <w:webHidden/>
          </w:rPr>
          <w:tab/>
        </w:r>
        <w:r>
          <w:rPr>
            <w:noProof/>
            <w:webHidden/>
          </w:rPr>
          <w:fldChar w:fldCharType="begin"/>
        </w:r>
        <w:r>
          <w:rPr>
            <w:noProof/>
            <w:webHidden/>
          </w:rPr>
          <w:instrText xml:space="preserve"> PAGEREF _Toc210589413 \h </w:instrText>
        </w:r>
        <w:r>
          <w:rPr>
            <w:noProof/>
            <w:webHidden/>
          </w:rPr>
        </w:r>
        <w:r>
          <w:rPr>
            <w:noProof/>
            <w:webHidden/>
          </w:rPr>
          <w:fldChar w:fldCharType="separate"/>
        </w:r>
        <w:r>
          <w:rPr>
            <w:noProof/>
            <w:webHidden/>
          </w:rPr>
          <w:t>32</w:t>
        </w:r>
        <w:r>
          <w:rPr>
            <w:noProof/>
            <w:webHidden/>
          </w:rPr>
          <w:fldChar w:fldCharType="end"/>
        </w:r>
      </w:hyperlink>
    </w:p>
    <w:p w14:paraId="64531661" w14:textId="0636738F" w:rsidR="008704B1" w:rsidRDefault="008704B1">
      <w:pPr>
        <w:pStyle w:val="43"/>
        <w:rPr>
          <w:rFonts w:asciiTheme="minorHAnsi" w:eastAsiaTheme="minorEastAsia" w:hAnsiTheme="minorHAnsi" w:cstheme="minorBidi"/>
          <w:noProof/>
          <w:sz w:val="22"/>
          <w:szCs w:val="22"/>
          <w:lang w:val="en-PH" w:eastAsia="en-PH"/>
        </w:rPr>
      </w:pPr>
      <w:hyperlink w:anchor="_Toc210589414" w:history="1">
        <w:r w:rsidRPr="00274472">
          <w:rPr>
            <w:rStyle w:val="aff6"/>
            <w:noProof/>
          </w:rPr>
          <w:t>2.4.7.3</w:t>
        </w:r>
        <w:r>
          <w:rPr>
            <w:rFonts w:asciiTheme="minorHAnsi" w:eastAsiaTheme="minorEastAsia" w:hAnsiTheme="minorHAnsi" w:cstheme="minorBidi"/>
            <w:noProof/>
            <w:sz w:val="22"/>
            <w:szCs w:val="22"/>
            <w:lang w:val="en-PH" w:eastAsia="en-PH"/>
          </w:rPr>
          <w:tab/>
        </w:r>
        <w:r w:rsidRPr="00274472">
          <w:rPr>
            <w:rStyle w:val="aff6"/>
            <w:noProof/>
          </w:rPr>
          <w:t>Route Option 3</w:t>
        </w:r>
        <w:r>
          <w:rPr>
            <w:noProof/>
            <w:webHidden/>
          </w:rPr>
          <w:tab/>
        </w:r>
        <w:r>
          <w:rPr>
            <w:noProof/>
            <w:webHidden/>
          </w:rPr>
          <w:fldChar w:fldCharType="begin"/>
        </w:r>
        <w:r>
          <w:rPr>
            <w:noProof/>
            <w:webHidden/>
          </w:rPr>
          <w:instrText xml:space="preserve"> PAGEREF _Toc210589414 \h </w:instrText>
        </w:r>
        <w:r>
          <w:rPr>
            <w:noProof/>
            <w:webHidden/>
          </w:rPr>
        </w:r>
        <w:r>
          <w:rPr>
            <w:noProof/>
            <w:webHidden/>
          </w:rPr>
          <w:fldChar w:fldCharType="separate"/>
        </w:r>
        <w:r>
          <w:rPr>
            <w:noProof/>
            <w:webHidden/>
          </w:rPr>
          <w:t>32</w:t>
        </w:r>
        <w:r>
          <w:rPr>
            <w:noProof/>
            <w:webHidden/>
          </w:rPr>
          <w:fldChar w:fldCharType="end"/>
        </w:r>
      </w:hyperlink>
    </w:p>
    <w:p w14:paraId="628E7ADA" w14:textId="53D8A0E8" w:rsidR="008704B1" w:rsidRDefault="008704B1">
      <w:pPr>
        <w:pStyle w:val="43"/>
        <w:rPr>
          <w:rFonts w:asciiTheme="minorHAnsi" w:eastAsiaTheme="minorEastAsia" w:hAnsiTheme="minorHAnsi" w:cstheme="minorBidi"/>
          <w:noProof/>
          <w:sz w:val="22"/>
          <w:szCs w:val="22"/>
          <w:lang w:val="en-PH" w:eastAsia="en-PH"/>
        </w:rPr>
      </w:pPr>
      <w:hyperlink w:anchor="_Toc210589415" w:history="1">
        <w:r w:rsidRPr="00274472">
          <w:rPr>
            <w:rStyle w:val="aff6"/>
            <w:noProof/>
          </w:rPr>
          <w:t>2.4.7.4</w:t>
        </w:r>
        <w:r>
          <w:rPr>
            <w:rFonts w:asciiTheme="minorHAnsi" w:eastAsiaTheme="minorEastAsia" w:hAnsiTheme="minorHAnsi" w:cstheme="minorBidi"/>
            <w:noProof/>
            <w:sz w:val="22"/>
            <w:szCs w:val="22"/>
            <w:lang w:val="en-PH" w:eastAsia="en-PH"/>
          </w:rPr>
          <w:tab/>
        </w:r>
        <w:r w:rsidRPr="00274472">
          <w:rPr>
            <w:rStyle w:val="aff6"/>
            <w:noProof/>
          </w:rPr>
          <w:t>Route Option 4</w:t>
        </w:r>
        <w:r>
          <w:rPr>
            <w:noProof/>
            <w:webHidden/>
          </w:rPr>
          <w:tab/>
        </w:r>
        <w:r>
          <w:rPr>
            <w:noProof/>
            <w:webHidden/>
          </w:rPr>
          <w:fldChar w:fldCharType="begin"/>
        </w:r>
        <w:r>
          <w:rPr>
            <w:noProof/>
            <w:webHidden/>
          </w:rPr>
          <w:instrText xml:space="preserve"> PAGEREF _Toc210589415 \h </w:instrText>
        </w:r>
        <w:r>
          <w:rPr>
            <w:noProof/>
            <w:webHidden/>
          </w:rPr>
        </w:r>
        <w:r>
          <w:rPr>
            <w:noProof/>
            <w:webHidden/>
          </w:rPr>
          <w:fldChar w:fldCharType="separate"/>
        </w:r>
        <w:r>
          <w:rPr>
            <w:noProof/>
            <w:webHidden/>
          </w:rPr>
          <w:t>33</w:t>
        </w:r>
        <w:r>
          <w:rPr>
            <w:noProof/>
            <w:webHidden/>
          </w:rPr>
          <w:fldChar w:fldCharType="end"/>
        </w:r>
      </w:hyperlink>
    </w:p>
    <w:p w14:paraId="0F0BE174" w14:textId="5117FC40" w:rsidR="008704B1" w:rsidRDefault="008704B1">
      <w:pPr>
        <w:pStyle w:val="43"/>
        <w:rPr>
          <w:rFonts w:asciiTheme="minorHAnsi" w:eastAsiaTheme="minorEastAsia" w:hAnsiTheme="minorHAnsi" w:cstheme="minorBidi"/>
          <w:noProof/>
          <w:sz w:val="22"/>
          <w:szCs w:val="22"/>
          <w:lang w:val="en-PH" w:eastAsia="en-PH"/>
        </w:rPr>
      </w:pPr>
      <w:hyperlink w:anchor="_Toc210589416" w:history="1">
        <w:r w:rsidRPr="00274472">
          <w:rPr>
            <w:rStyle w:val="aff6"/>
            <w:noProof/>
          </w:rPr>
          <w:t>2.4.7.5</w:t>
        </w:r>
        <w:r>
          <w:rPr>
            <w:rFonts w:asciiTheme="minorHAnsi" w:eastAsiaTheme="minorEastAsia" w:hAnsiTheme="minorHAnsi" w:cstheme="minorBidi"/>
            <w:noProof/>
            <w:sz w:val="22"/>
            <w:szCs w:val="22"/>
            <w:lang w:val="en-PH" w:eastAsia="en-PH"/>
          </w:rPr>
          <w:tab/>
        </w:r>
        <w:r w:rsidRPr="00274472">
          <w:rPr>
            <w:rStyle w:val="aff6"/>
            <w:noProof/>
          </w:rPr>
          <w:t>The Preferred Option</w:t>
        </w:r>
        <w:r>
          <w:rPr>
            <w:noProof/>
            <w:webHidden/>
          </w:rPr>
          <w:tab/>
        </w:r>
        <w:r>
          <w:rPr>
            <w:noProof/>
            <w:webHidden/>
          </w:rPr>
          <w:fldChar w:fldCharType="begin"/>
        </w:r>
        <w:r>
          <w:rPr>
            <w:noProof/>
            <w:webHidden/>
          </w:rPr>
          <w:instrText xml:space="preserve"> PAGEREF _Toc210589416 \h </w:instrText>
        </w:r>
        <w:r>
          <w:rPr>
            <w:noProof/>
            <w:webHidden/>
          </w:rPr>
        </w:r>
        <w:r>
          <w:rPr>
            <w:noProof/>
            <w:webHidden/>
          </w:rPr>
          <w:fldChar w:fldCharType="separate"/>
        </w:r>
        <w:r>
          <w:rPr>
            <w:noProof/>
            <w:webHidden/>
          </w:rPr>
          <w:t>35</w:t>
        </w:r>
        <w:r>
          <w:rPr>
            <w:noProof/>
            <w:webHidden/>
          </w:rPr>
          <w:fldChar w:fldCharType="end"/>
        </w:r>
      </w:hyperlink>
    </w:p>
    <w:p w14:paraId="55D4D3F7" w14:textId="50545899"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417" w:history="1">
        <w:r w:rsidRPr="00274472">
          <w:rPr>
            <w:rStyle w:val="aff6"/>
            <w:rFonts w:cs="Arial"/>
            <w:noProof/>
          </w:rPr>
          <w:t>3</w:t>
        </w:r>
        <w:r>
          <w:rPr>
            <w:rFonts w:asciiTheme="minorHAnsi" w:eastAsiaTheme="minorEastAsia" w:hAnsiTheme="minorHAnsi" w:cstheme="minorBidi"/>
            <w:b w:val="0"/>
            <w:noProof/>
            <w:sz w:val="22"/>
            <w:szCs w:val="22"/>
            <w:lang w:val="en-PH" w:eastAsia="en-PH"/>
          </w:rPr>
          <w:tab/>
        </w:r>
        <w:r w:rsidRPr="00274472">
          <w:rPr>
            <w:rStyle w:val="aff6"/>
            <w:rFonts w:cs="Arial"/>
            <w:noProof/>
          </w:rPr>
          <w:t>APPLICABLE REFERENCE FRAMEWORKS</w:t>
        </w:r>
        <w:r>
          <w:rPr>
            <w:noProof/>
            <w:webHidden/>
          </w:rPr>
          <w:tab/>
        </w:r>
        <w:r>
          <w:rPr>
            <w:noProof/>
            <w:webHidden/>
          </w:rPr>
          <w:fldChar w:fldCharType="begin"/>
        </w:r>
        <w:r>
          <w:rPr>
            <w:noProof/>
            <w:webHidden/>
          </w:rPr>
          <w:instrText xml:space="preserve"> PAGEREF _Toc210589417 \h </w:instrText>
        </w:r>
        <w:r>
          <w:rPr>
            <w:noProof/>
            <w:webHidden/>
          </w:rPr>
        </w:r>
        <w:r>
          <w:rPr>
            <w:noProof/>
            <w:webHidden/>
          </w:rPr>
          <w:fldChar w:fldCharType="separate"/>
        </w:r>
        <w:r>
          <w:rPr>
            <w:noProof/>
            <w:webHidden/>
          </w:rPr>
          <w:t>38</w:t>
        </w:r>
        <w:r>
          <w:rPr>
            <w:noProof/>
            <w:webHidden/>
          </w:rPr>
          <w:fldChar w:fldCharType="end"/>
        </w:r>
      </w:hyperlink>
    </w:p>
    <w:p w14:paraId="60D486BE" w14:textId="30D36855" w:rsidR="008704B1" w:rsidRDefault="008704B1">
      <w:pPr>
        <w:pStyle w:val="25"/>
        <w:rPr>
          <w:rFonts w:asciiTheme="minorHAnsi" w:eastAsiaTheme="minorEastAsia" w:hAnsiTheme="minorHAnsi" w:cstheme="minorBidi"/>
          <w:noProof/>
          <w:color w:val="auto"/>
          <w:sz w:val="22"/>
          <w:szCs w:val="22"/>
          <w:lang w:val="en-PH" w:eastAsia="en-PH"/>
        </w:rPr>
      </w:pPr>
      <w:hyperlink w:anchor="_Toc210589418" w:history="1">
        <w:r w:rsidRPr="00274472">
          <w:rPr>
            <w:rStyle w:val="aff6"/>
            <w:noProof/>
          </w:rPr>
          <w:t>3.1</w:t>
        </w:r>
        <w:r>
          <w:rPr>
            <w:rFonts w:asciiTheme="minorHAnsi" w:eastAsiaTheme="minorEastAsia" w:hAnsiTheme="minorHAnsi" w:cstheme="minorBidi"/>
            <w:noProof/>
            <w:color w:val="auto"/>
            <w:sz w:val="22"/>
            <w:szCs w:val="22"/>
            <w:lang w:val="en-PH" w:eastAsia="en-PH"/>
          </w:rPr>
          <w:tab/>
        </w:r>
        <w:r w:rsidRPr="00274472">
          <w:rPr>
            <w:rStyle w:val="aff6"/>
            <w:noProof/>
          </w:rPr>
          <w:t>Basic Environmental Laws of the Republic of Kazakhstan</w:t>
        </w:r>
        <w:r>
          <w:rPr>
            <w:noProof/>
            <w:webHidden/>
          </w:rPr>
          <w:tab/>
        </w:r>
        <w:r>
          <w:rPr>
            <w:noProof/>
            <w:webHidden/>
          </w:rPr>
          <w:fldChar w:fldCharType="begin"/>
        </w:r>
        <w:r>
          <w:rPr>
            <w:noProof/>
            <w:webHidden/>
          </w:rPr>
          <w:instrText xml:space="preserve"> PAGEREF _Toc210589418 \h </w:instrText>
        </w:r>
        <w:r>
          <w:rPr>
            <w:noProof/>
            <w:webHidden/>
          </w:rPr>
        </w:r>
        <w:r>
          <w:rPr>
            <w:noProof/>
            <w:webHidden/>
          </w:rPr>
          <w:fldChar w:fldCharType="separate"/>
        </w:r>
        <w:r>
          <w:rPr>
            <w:noProof/>
            <w:webHidden/>
          </w:rPr>
          <w:t>38</w:t>
        </w:r>
        <w:r>
          <w:rPr>
            <w:noProof/>
            <w:webHidden/>
          </w:rPr>
          <w:fldChar w:fldCharType="end"/>
        </w:r>
      </w:hyperlink>
    </w:p>
    <w:p w14:paraId="544202F6" w14:textId="798F6630" w:rsidR="008704B1" w:rsidRDefault="008704B1">
      <w:pPr>
        <w:pStyle w:val="25"/>
        <w:rPr>
          <w:rFonts w:asciiTheme="minorHAnsi" w:eastAsiaTheme="minorEastAsia" w:hAnsiTheme="minorHAnsi" w:cstheme="minorBidi"/>
          <w:noProof/>
          <w:color w:val="auto"/>
          <w:sz w:val="22"/>
          <w:szCs w:val="22"/>
          <w:lang w:val="en-PH" w:eastAsia="en-PH"/>
        </w:rPr>
      </w:pPr>
      <w:hyperlink w:anchor="_Toc210589419" w:history="1">
        <w:r w:rsidRPr="00274472">
          <w:rPr>
            <w:rStyle w:val="aff6"/>
            <w:noProof/>
          </w:rPr>
          <w:t>3.2</w:t>
        </w:r>
        <w:r>
          <w:rPr>
            <w:rFonts w:asciiTheme="minorHAnsi" w:eastAsiaTheme="minorEastAsia" w:hAnsiTheme="minorHAnsi" w:cstheme="minorBidi"/>
            <w:noProof/>
            <w:color w:val="auto"/>
            <w:sz w:val="22"/>
            <w:szCs w:val="22"/>
            <w:lang w:val="en-PH" w:eastAsia="en-PH"/>
          </w:rPr>
          <w:tab/>
        </w:r>
        <w:r w:rsidRPr="00274472">
          <w:rPr>
            <w:rStyle w:val="aff6"/>
            <w:noProof/>
          </w:rPr>
          <w:t>Governmental Body for Environmental Management</w:t>
        </w:r>
        <w:r>
          <w:rPr>
            <w:noProof/>
            <w:webHidden/>
          </w:rPr>
          <w:tab/>
        </w:r>
        <w:r>
          <w:rPr>
            <w:noProof/>
            <w:webHidden/>
          </w:rPr>
          <w:fldChar w:fldCharType="begin"/>
        </w:r>
        <w:r>
          <w:rPr>
            <w:noProof/>
            <w:webHidden/>
          </w:rPr>
          <w:instrText xml:space="preserve"> PAGEREF _Toc210589419 \h </w:instrText>
        </w:r>
        <w:r>
          <w:rPr>
            <w:noProof/>
            <w:webHidden/>
          </w:rPr>
        </w:r>
        <w:r>
          <w:rPr>
            <w:noProof/>
            <w:webHidden/>
          </w:rPr>
          <w:fldChar w:fldCharType="separate"/>
        </w:r>
        <w:r>
          <w:rPr>
            <w:noProof/>
            <w:webHidden/>
          </w:rPr>
          <w:t>38</w:t>
        </w:r>
        <w:r>
          <w:rPr>
            <w:noProof/>
            <w:webHidden/>
          </w:rPr>
          <w:fldChar w:fldCharType="end"/>
        </w:r>
      </w:hyperlink>
    </w:p>
    <w:p w14:paraId="03786C57" w14:textId="4A646D96" w:rsidR="008704B1" w:rsidRDefault="008704B1">
      <w:pPr>
        <w:pStyle w:val="25"/>
        <w:rPr>
          <w:rFonts w:asciiTheme="minorHAnsi" w:eastAsiaTheme="minorEastAsia" w:hAnsiTheme="minorHAnsi" w:cstheme="minorBidi"/>
          <w:noProof/>
          <w:color w:val="auto"/>
          <w:sz w:val="22"/>
          <w:szCs w:val="22"/>
          <w:lang w:val="en-PH" w:eastAsia="en-PH"/>
        </w:rPr>
      </w:pPr>
      <w:hyperlink w:anchor="_Toc210589420" w:history="1">
        <w:r w:rsidRPr="00274472">
          <w:rPr>
            <w:rStyle w:val="aff6"/>
            <w:noProof/>
          </w:rPr>
          <w:t>3.3</w:t>
        </w:r>
        <w:r>
          <w:rPr>
            <w:rFonts w:asciiTheme="minorHAnsi" w:eastAsiaTheme="minorEastAsia" w:hAnsiTheme="minorHAnsi" w:cstheme="minorBidi"/>
            <w:noProof/>
            <w:color w:val="auto"/>
            <w:sz w:val="22"/>
            <w:szCs w:val="22"/>
            <w:lang w:val="en-PH" w:eastAsia="en-PH"/>
          </w:rPr>
          <w:tab/>
        </w:r>
        <w:r w:rsidRPr="00274472">
          <w:rPr>
            <w:rStyle w:val="aff6"/>
            <w:noProof/>
          </w:rPr>
          <w:t>National Legislation of the Republic of Kazakhstan (Rok)</w:t>
        </w:r>
        <w:r>
          <w:rPr>
            <w:noProof/>
            <w:webHidden/>
          </w:rPr>
          <w:tab/>
        </w:r>
        <w:r>
          <w:rPr>
            <w:noProof/>
            <w:webHidden/>
          </w:rPr>
          <w:fldChar w:fldCharType="begin"/>
        </w:r>
        <w:r>
          <w:rPr>
            <w:noProof/>
            <w:webHidden/>
          </w:rPr>
          <w:instrText xml:space="preserve"> PAGEREF _Toc210589420 \h </w:instrText>
        </w:r>
        <w:r>
          <w:rPr>
            <w:noProof/>
            <w:webHidden/>
          </w:rPr>
        </w:r>
        <w:r>
          <w:rPr>
            <w:noProof/>
            <w:webHidden/>
          </w:rPr>
          <w:fldChar w:fldCharType="separate"/>
        </w:r>
        <w:r>
          <w:rPr>
            <w:noProof/>
            <w:webHidden/>
          </w:rPr>
          <w:t>39</w:t>
        </w:r>
        <w:r>
          <w:rPr>
            <w:noProof/>
            <w:webHidden/>
          </w:rPr>
          <w:fldChar w:fldCharType="end"/>
        </w:r>
      </w:hyperlink>
    </w:p>
    <w:p w14:paraId="3DE0F855" w14:textId="72A0FAC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3.3.1</w:t>
        </w:r>
        <w:r>
          <w:rPr>
            <w:rFonts w:asciiTheme="minorHAnsi" w:eastAsiaTheme="minorEastAsia" w:hAnsiTheme="minorHAnsi" w:cstheme="minorBidi"/>
            <w:noProof/>
            <w:sz w:val="22"/>
            <w:szCs w:val="22"/>
            <w:lang w:val="en-PH" w:eastAsia="en-PH"/>
          </w:rPr>
          <w:tab/>
        </w:r>
        <w:r w:rsidRPr="00274472">
          <w:rPr>
            <w:rStyle w:val="aff6"/>
            <w:noProof/>
          </w:rPr>
          <w:t>Public</w:t>
        </w:r>
        <w:r w:rsidRPr="00274472">
          <w:rPr>
            <w:rStyle w:val="aff6"/>
            <w:noProof/>
            <w:spacing w:val="48"/>
          </w:rPr>
          <w:t xml:space="preserve"> </w:t>
        </w:r>
        <w:r w:rsidRPr="00274472">
          <w:rPr>
            <w:rStyle w:val="aff6"/>
            <w:noProof/>
          </w:rPr>
          <w:t>Consultation</w:t>
        </w:r>
        <w:r>
          <w:rPr>
            <w:noProof/>
            <w:webHidden/>
          </w:rPr>
          <w:tab/>
        </w:r>
        <w:r>
          <w:rPr>
            <w:noProof/>
            <w:webHidden/>
          </w:rPr>
          <w:fldChar w:fldCharType="begin"/>
        </w:r>
        <w:r>
          <w:rPr>
            <w:noProof/>
            <w:webHidden/>
          </w:rPr>
          <w:instrText xml:space="preserve"> PAGEREF _Toc210589421 \h </w:instrText>
        </w:r>
        <w:r>
          <w:rPr>
            <w:noProof/>
            <w:webHidden/>
          </w:rPr>
        </w:r>
        <w:r>
          <w:rPr>
            <w:noProof/>
            <w:webHidden/>
          </w:rPr>
          <w:fldChar w:fldCharType="separate"/>
        </w:r>
        <w:r>
          <w:rPr>
            <w:noProof/>
            <w:webHidden/>
          </w:rPr>
          <w:t>39</w:t>
        </w:r>
        <w:r>
          <w:rPr>
            <w:noProof/>
            <w:webHidden/>
          </w:rPr>
          <w:fldChar w:fldCharType="end"/>
        </w:r>
      </w:hyperlink>
    </w:p>
    <w:p w14:paraId="7AA3AD97" w14:textId="3F2F8E79"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2"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3.3.2</w:t>
        </w:r>
        <w:r>
          <w:rPr>
            <w:rFonts w:asciiTheme="minorHAnsi" w:eastAsiaTheme="minorEastAsia" w:hAnsiTheme="minorHAnsi" w:cstheme="minorBidi"/>
            <w:noProof/>
            <w:sz w:val="22"/>
            <w:szCs w:val="22"/>
            <w:lang w:val="en-PH" w:eastAsia="en-PH"/>
          </w:rPr>
          <w:tab/>
        </w:r>
        <w:r w:rsidRPr="00274472">
          <w:rPr>
            <w:rStyle w:val="aff6"/>
            <w:noProof/>
          </w:rPr>
          <w:t>Land</w:t>
        </w:r>
        <w:r w:rsidRPr="00274472">
          <w:rPr>
            <w:rStyle w:val="aff6"/>
            <w:noProof/>
            <w:spacing w:val="33"/>
          </w:rPr>
          <w:t xml:space="preserve"> </w:t>
        </w:r>
        <w:r w:rsidRPr="00274472">
          <w:rPr>
            <w:rStyle w:val="aff6"/>
            <w:noProof/>
          </w:rPr>
          <w:t>Acquisition</w:t>
        </w:r>
        <w:r>
          <w:rPr>
            <w:noProof/>
            <w:webHidden/>
          </w:rPr>
          <w:tab/>
        </w:r>
        <w:r>
          <w:rPr>
            <w:noProof/>
            <w:webHidden/>
          </w:rPr>
          <w:fldChar w:fldCharType="begin"/>
        </w:r>
        <w:r>
          <w:rPr>
            <w:noProof/>
            <w:webHidden/>
          </w:rPr>
          <w:instrText xml:space="preserve"> PAGEREF _Toc210589422 \h </w:instrText>
        </w:r>
        <w:r>
          <w:rPr>
            <w:noProof/>
            <w:webHidden/>
          </w:rPr>
        </w:r>
        <w:r>
          <w:rPr>
            <w:noProof/>
            <w:webHidden/>
          </w:rPr>
          <w:fldChar w:fldCharType="separate"/>
        </w:r>
        <w:r>
          <w:rPr>
            <w:noProof/>
            <w:webHidden/>
          </w:rPr>
          <w:t>41</w:t>
        </w:r>
        <w:r>
          <w:rPr>
            <w:noProof/>
            <w:webHidden/>
          </w:rPr>
          <w:fldChar w:fldCharType="end"/>
        </w:r>
      </w:hyperlink>
    </w:p>
    <w:p w14:paraId="74477C74" w14:textId="35CB1FFA"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3.3.3</w:t>
        </w:r>
        <w:r>
          <w:rPr>
            <w:rFonts w:asciiTheme="minorHAnsi" w:eastAsiaTheme="minorEastAsia" w:hAnsiTheme="minorHAnsi" w:cstheme="minorBidi"/>
            <w:noProof/>
            <w:sz w:val="22"/>
            <w:szCs w:val="22"/>
            <w:lang w:val="en-PH" w:eastAsia="en-PH"/>
          </w:rPr>
          <w:tab/>
        </w:r>
        <w:r w:rsidRPr="00274472">
          <w:rPr>
            <w:rStyle w:val="aff6"/>
            <w:noProof/>
          </w:rPr>
          <w:t>Land</w:t>
        </w:r>
        <w:r w:rsidRPr="00274472">
          <w:rPr>
            <w:rStyle w:val="aff6"/>
            <w:noProof/>
            <w:spacing w:val="-6"/>
          </w:rPr>
          <w:t xml:space="preserve"> </w:t>
        </w:r>
        <w:r w:rsidRPr="00274472">
          <w:rPr>
            <w:rStyle w:val="aff6"/>
            <w:noProof/>
          </w:rPr>
          <w:t>Acquisition</w:t>
        </w:r>
        <w:r w:rsidRPr="00274472">
          <w:rPr>
            <w:rStyle w:val="aff6"/>
            <w:noProof/>
            <w:spacing w:val="-10"/>
          </w:rPr>
          <w:t xml:space="preserve"> </w:t>
        </w:r>
        <w:r w:rsidRPr="00274472">
          <w:rPr>
            <w:rStyle w:val="aff6"/>
            <w:noProof/>
          </w:rPr>
          <w:t>on</w:t>
        </w:r>
        <w:r w:rsidRPr="00274472">
          <w:rPr>
            <w:rStyle w:val="aff6"/>
            <w:noProof/>
            <w:spacing w:val="-9"/>
          </w:rPr>
          <w:t xml:space="preserve"> </w:t>
        </w:r>
        <w:r w:rsidRPr="00274472">
          <w:rPr>
            <w:rStyle w:val="aff6"/>
            <w:noProof/>
          </w:rPr>
          <w:t>Private</w:t>
        </w:r>
        <w:r w:rsidRPr="00274472">
          <w:rPr>
            <w:rStyle w:val="aff6"/>
            <w:noProof/>
            <w:spacing w:val="-7"/>
          </w:rPr>
          <w:t xml:space="preserve"> </w:t>
        </w:r>
        <w:r w:rsidRPr="00274472">
          <w:rPr>
            <w:rStyle w:val="aff6"/>
            <w:noProof/>
            <w:spacing w:val="-4"/>
          </w:rPr>
          <w:t>Land</w:t>
        </w:r>
        <w:r>
          <w:rPr>
            <w:noProof/>
            <w:webHidden/>
          </w:rPr>
          <w:tab/>
        </w:r>
        <w:r>
          <w:rPr>
            <w:noProof/>
            <w:webHidden/>
          </w:rPr>
          <w:fldChar w:fldCharType="begin"/>
        </w:r>
        <w:r>
          <w:rPr>
            <w:noProof/>
            <w:webHidden/>
          </w:rPr>
          <w:instrText xml:space="preserve"> PAGEREF _Toc210589423 \h </w:instrText>
        </w:r>
        <w:r>
          <w:rPr>
            <w:noProof/>
            <w:webHidden/>
          </w:rPr>
        </w:r>
        <w:r>
          <w:rPr>
            <w:noProof/>
            <w:webHidden/>
          </w:rPr>
          <w:fldChar w:fldCharType="separate"/>
        </w:r>
        <w:r>
          <w:rPr>
            <w:noProof/>
            <w:webHidden/>
          </w:rPr>
          <w:t>41</w:t>
        </w:r>
        <w:r>
          <w:rPr>
            <w:noProof/>
            <w:webHidden/>
          </w:rPr>
          <w:fldChar w:fldCharType="end"/>
        </w:r>
      </w:hyperlink>
    </w:p>
    <w:p w14:paraId="757E5F0E" w14:textId="762A73BC"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4"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3.3.4</w:t>
        </w:r>
        <w:r>
          <w:rPr>
            <w:rFonts w:asciiTheme="minorHAnsi" w:eastAsiaTheme="minorEastAsia" w:hAnsiTheme="minorHAnsi" w:cstheme="minorBidi"/>
            <w:noProof/>
            <w:sz w:val="22"/>
            <w:szCs w:val="22"/>
            <w:lang w:val="en-PH" w:eastAsia="en-PH"/>
          </w:rPr>
          <w:tab/>
        </w:r>
        <w:r w:rsidRPr="00274472">
          <w:rPr>
            <w:rStyle w:val="aff6"/>
            <w:noProof/>
          </w:rPr>
          <w:t>Land Acquisition on Leased Land</w:t>
        </w:r>
        <w:r>
          <w:rPr>
            <w:noProof/>
            <w:webHidden/>
          </w:rPr>
          <w:tab/>
        </w:r>
        <w:r>
          <w:rPr>
            <w:noProof/>
            <w:webHidden/>
          </w:rPr>
          <w:fldChar w:fldCharType="begin"/>
        </w:r>
        <w:r>
          <w:rPr>
            <w:noProof/>
            <w:webHidden/>
          </w:rPr>
          <w:instrText xml:space="preserve"> PAGEREF _Toc210589424 \h </w:instrText>
        </w:r>
        <w:r>
          <w:rPr>
            <w:noProof/>
            <w:webHidden/>
          </w:rPr>
        </w:r>
        <w:r>
          <w:rPr>
            <w:noProof/>
            <w:webHidden/>
          </w:rPr>
          <w:fldChar w:fldCharType="separate"/>
        </w:r>
        <w:r>
          <w:rPr>
            <w:noProof/>
            <w:webHidden/>
          </w:rPr>
          <w:t>42</w:t>
        </w:r>
        <w:r>
          <w:rPr>
            <w:noProof/>
            <w:webHidden/>
          </w:rPr>
          <w:fldChar w:fldCharType="end"/>
        </w:r>
      </w:hyperlink>
    </w:p>
    <w:p w14:paraId="0C11921A" w14:textId="0A9762C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3.3.5</w:t>
        </w:r>
        <w:r>
          <w:rPr>
            <w:rFonts w:asciiTheme="minorHAnsi" w:eastAsiaTheme="minorEastAsia" w:hAnsiTheme="minorHAnsi" w:cstheme="minorBidi"/>
            <w:noProof/>
            <w:sz w:val="22"/>
            <w:szCs w:val="22"/>
            <w:lang w:val="en-PH" w:eastAsia="en-PH"/>
          </w:rPr>
          <w:tab/>
        </w:r>
        <w:r w:rsidRPr="00274472">
          <w:rPr>
            <w:rStyle w:val="aff6"/>
            <w:noProof/>
          </w:rPr>
          <w:t>Land Acquisition on State Land</w:t>
        </w:r>
        <w:r>
          <w:rPr>
            <w:noProof/>
            <w:webHidden/>
          </w:rPr>
          <w:tab/>
        </w:r>
        <w:r>
          <w:rPr>
            <w:noProof/>
            <w:webHidden/>
          </w:rPr>
          <w:fldChar w:fldCharType="begin"/>
        </w:r>
        <w:r>
          <w:rPr>
            <w:noProof/>
            <w:webHidden/>
          </w:rPr>
          <w:instrText xml:space="preserve"> PAGEREF _Toc210589425 \h </w:instrText>
        </w:r>
        <w:r>
          <w:rPr>
            <w:noProof/>
            <w:webHidden/>
          </w:rPr>
        </w:r>
        <w:r>
          <w:rPr>
            <w:noProof/>
            <w:webHidden/>
          </w:rPr>
          <w:fldChar w:fldCharType="separate"/>
        </w:r>
        <w:r>
          <w:rPr>
            <w:noProof/>
            <w:webHidden/>
          </w:rPr>
          <w:t>42</w:t>
        </w:r>
        <w:r>
          <w:rPr>
            <w:noProof/>
            <w:webHidden/>
          </w:rPr>
          <w:fldChar w:fldCharType="end"/>
        </w:r>
      </w:hyperlink>
    </w:p>
    <w:p w14:paraId="191EA638" w14:textId="25BBE915" w:rsidR="008704B1" w:rsidRDefault="008704B1">
      <w:pPr>
        <w:pStyle w:val="25"/>
        <w:rPr>
          <w:rFonts w:asciiTheme="minorHAnsi" w:eastAsiaTheme="minorEastAsia" w:hAnsiTheme="minorHAnsi" w:cstheme="minorBidi"/>
          <w:noProof/>
          <w:color w:val="auto"/>
          <w:sz w:val="22"/>
          <w:szCs w:val="22"/>
          <w:lang w:val="en-PH" w:eastAsia="en-PH"/>
        </w:rPr>
      </w:pPr>
      <w:hyperlink w:anchor="_Toc210589426" w:history="1">
        <w:r w:rsidRPr="00274472">
          <w:rPr>
            <w:rStyle w:val="aff6"/>
            <w:noProof/>
          </w:rPr>
          <w:t>3.4</w:t>
        </w:r>
        <w:r>
          <w:rPr>
            <w:rFonts w:asciiTheme="minorHAnsi" w:eastAsiaTheme="minorEastAsia" w:hAnsiTheme="minorHAnsi" w:cstheme="minorBidi"/>
            <w:noProof/>
            <w:color w:val="auto"/>
            <w:sz w:val="22"/>
            <w:szCs w:val="22"/>
            <w:lang w:val="en-PH" w:eastAsia="en-PH"/>
          </w:rPr>
          <w:tab/>
        </w:r>
        <w:r w:rsidRPr="00274472">
          <w:rPr>
            <w:rStyle w:val="aff6"/>
            <w:noProof/>
          </w:rPr>
          <w:t>Project</w:t>
        </w:r>
        <w:r w:rsidRPr="00274472">
          <w:rPr>
            <w:rStyle w:val="aff6"/>
            <w:noProof/>
            <w:spacing w:val="66"/>
          </w:rPr>
          <w:t xml:space="preserve"> </w:t>
        </w:r>
        <w:r w:rsidRPr="00274472">
          <w:rPr>
            <w:rStyle w:val="aff6"/>
            <w:noProof/>
          </w:rPr>
          <w:t>Permitting</w:t>
        </w:r>
        <w:r w:rsidRPr="00274472">
          <w:rPr>
            <w:rStyle w:val="aff6"/>
            <w:noProof/>
            <w:spacing w:val="71"/>
          </w:rPr>
          <w:t xml:space="preserve"> </w:t>
        </w:r>
        <w:r w:rsidRPr="00274472">
          <w:rPr>
            <w:rStyle w:val="aff6"/>
            <w:noProof/>
            <w:spacing w:val="-2"/>
          </w:rPr>
          <w:t>Status</w:t>
        </w:r>
        <w:r>
          <w:rPr>
            <w:noProof/>
            <w:webHidden/>
          </w:rPr>
          <w:tab/>
        </w:r>
        <w:r>
          <w:rPr>
            <w:noProof/>
            <w:webHidden/>
          </w:rPr>
          <w:fldChar w:fldCharType="begin"/>
        </w:r>
        <w:r>
          <w:rPr>
            <w:noProof/>
            <w:webHidden/>
          </w:rPr>
          <w:instrText xml:space="preserve"> PAGEREF _Toc210589426 \h </w:instrText>
        </w:r>
        <w:r>
          <w:rPr>
            <w:noProof/>
            <w:webHidden/>
          </w:rPr>
        </w:r>
        <w:r>
          <w:rPr>
            <w:noProof/>
            <w:webHidden/>
          </w:rPr>
          <w:fldChar w:fldCharType="separate"/>
        </w:r>
        <w:r>
          <w:rPr>
            <w:noProof/>
            <w:webHidden/>
          </w:rPr>
          <w:t>43</w:t>
        </w:r>
        <w:r>
          <w:rPr>
            <w:noProof/>
            <w:webHidden/>
          </w:rPr>
          <w:fldChar w:fldCharType="end"/>
        </w:r>
      </w:hyperlink>
    </w:p>
    <w:p w14:paraId="47DB83B7" w14:textId="1B37253E" w:rsidR="008704B1" w:rsidRDefault="008704B1">
      <w:pPr>
        <w:pStyle w:val="25"/>
        <w:rPr>
          <w:rFonts w:asciiTheme="minorHAnsi" w:eastAsiaTheme="minorEastAsia" w:hAnsiTheme="minorHAnsi" w:cstheme="minorBidi"/>
          <w:noProof/>
          <w:color w:val="auto"/>
          <w:sz w:val="22"/>
          <w:szCs w:val="22"/>
          <w:lang w:val="en-PH" w:eastAsia="en-PH"/>
        </w:rPr>
      </w:pPr>
      <w:hyperlink w:anchor="_Toc210589427" w:history="1">
        <w:r w:rsidRPr="00274472">
          <w:rPr>
            <w:rStyle w:val="aff6"/>
            <w:noProof/>
          </w:rPr>
          <w:t>3.5</w:t>
        </w:r>
        <w:r>
          <w:rPr>
            <w:rFonts w:asciiTheme="minorHAnsi" w:eastAsiaTheme="minorEastAsia" w:hAnsiTheme="minorHAnsi" w:cstheme="minorBidi"/>
            <w:noProof/>
            <w:color w:val="auto"/>
            <w:sz w:val="22"/>
            <w:szCs w:val="22"/>
            <w:lang w:val="en-PH" w:eastAsia="en-PH"/>
          </w:rPr>
          <w:tab/>
        </w:r>
        <w:r w:rsidRPr="00274472">
          <w:rPr>
            <w:rStyle w:val="aff6"/>
            <w:noProof/>
          </w:rPr>
          <w:t>International</w:t>
        </w:r>
        <w:r w:rsidRPr="00274472">
          <w:rPr>
            <w:rStyle w:val="aff6"/>
            <w:noProof/>
            <w:spacing w:val="44"/>
            <w:w w:val="150"/>
          </w:rPr>
          <w:t xml:space="preserve"> </w:t>
        </w:r>
        <w:r w:rsidRPr="00274472">
          <w:rPr>
            <w:rStyle w:val="aff6"/>
            <w:noProof/>
            <w:spacing w:val="-2"/>
          </w:rPr>
          <w:t>Standards</w:t>
        </w:r>
        <w:r>
          <w:rPr>
            <w:noProof/>
            <w:webHidden/>
          </w:rPr>
          <w:tab/>
        </w:r>
        <w:r>
          <w:rPr>
            <w:noProof/>
            <w:webHidden/>
          </w:rPr>
          <w:fldChar w:fldCharType="begin"/>
        </w:r>
        <w:r>
          <w:rPr>
            <w:noProof/>
            <w:webHidden/>
          </w:rPr>
          <w:instrText xml:space="preserve"> PAGEREF _Toc210589427 \h </w:instrText>
        </w:r>
        <w:r>
          <w:rPr>
            <w:noProof/>
            <w:webHidden/>
          </w:rPr>
        </w:r>
        <w:r>
          <w:rPr>
            <w:noProof/>
            <w:webHidden/>
          </w:rPr>
          <w:fldChar w:fldCharType="separate"/>
        </w:r>
        <w:r>
          <w:rPr>
            <w:noProof/>
            <w:webHidden/>
          </w:rPr>
          <w:t>43</w:t>
        </w:r>
        <w:r>
          <w:rPr>
            <w:noProof/>
            <w:webHidden/>
          </w:rPr>
          <w:fldChar w:fldCharType="end"/>
        </w:r>
      </w:hyperlink>
    </w:p>
    <w:p w14:paraId="4B58E75C" w14:textId="0392071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3.5.1</w:t>
        </w:r>
        <w:r>
          <w:rPr>
            <w:rFonts w:asciiTheme="minorHAnsi" w:eastAsiaTheme="minorEastAsia" w:hAnsiTheme="minorHAnsi" w:cstheme="minorBidi"/>
            <w:noProof/>
            <w:sz w:val="22"/>
            <w:szCs w:val="22"/>
            <w:lang w:val="en-PH" w:eastAsia="en-PH"/>
          </w:rPr>
          <w:tab/>
        </w:r>
        <w:r w:rsidRPr="00274472">
          <w:rPr>
            <w:rStyle w:val="aff6"/>
            <w:noProof/>
          </w:rPr>
          <w:t>Performance</w:t>
        </w:r>
        <w:r w:rsidRPr="00274472">
          <w:rPr>
            <w:rStyle w:val="aff6"/>
            <w:noProof/>
            <w:spacing w:val="41"/>
            <w:w w:val="150"/>
          </w:rPr>
          <w:t xml:space="preserve"> </w:t>
        </w:r>
        <w:r w:rsidRPr="00274472">
          <w:rPr>
            <w:rStyle w:val="aff6"/>
            <w:noProof/>
            <w:spacing w:val="-2"/>
          </w:rPr>
          <w:t>Requirements</w:t>
        </w:r>
        <w:r>
          <w:rPr>
            <w:noProof/>
            <w:webHidden/>
          </w:rPr>
          <w:tab/>
        </w:r>
        <w:r>
          <w:rPr>
            <w:noProof/>
            <w:webHidden/>
          </w:rPr>
          <w:fldChar w:fldCharType="begin"/>
        </w:r>
        <w:r>
          <w:rPr>
            <w:noProof/>
            <w:webHidden/>
          </w:rPr>
          <w:instrText xml:space="preserve"> PAGEREF _Toc210589428 \h </w:instrText>
        </w:r>
        <w:r>
          <w:rPr>
            <w:noProof/>
            <w:webHidden/>
          </w:rPr>
        </w:r>
        <w:r>
          <w:rPr>
            <w:noProof/>
            <w:webHidden/>
          </w:rPr>
          <w:fldChar w:fldCharType="separate"/>
        </w:r>
        <w:r>
          <w:rPr>
            <w:noProof/>
            <w:webHidden/>
          </w:rPr>
          <w:t>45</w:t>
        </w:r>
        <w:r>
          <w:rPr>
            <w:noProof/>
            <w:webHidden/>
          </w:rPr>
          <w:fldChar w:fldCharType="end"/>
        </w:r>
      </w:hyperlink>
    </w:p>
    <w:p w14:paraId="2CB09322" w14:textId="5513652F"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2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3.5.2</w:t>
        </w:r>
        <w:r>
          <w:rPr>
            <w:rFonts w:asciiTheme="minorHAnsi" w:eastAsiaTheme="minorEastAsia" w:hAnsiTheme="minorHAnsi" w:cstheme="minorBidi"/>
            <w:noProof/>
            <w:sz w:val="22"/>
            <w:szCs w:val="22"/>
            <w:lang w:val="en-PH" w:eastAsia="en-PH"/>
          </w:rPr>
          <w:tab/>
        </w:r>
        <w:r w:rsidRPr="00274472">
          <w:rPr>
            <w:rStyle w:val="aff6"/>
            <w:noProof/>
          </w:rPr>
          <w:t>International</w:t>
        </w:r>
        <w:r w:rsidRPr="00274472">
          <w:rPr>
            <w:rStyle w:val="aff6"/>
            <w:noProof/>
            <w:spacing w:val="42"/>
            <w:w w:val="150"/>
          </w:rPr>
          <w:t xml:space="preserve"> </w:t>
        </w:r>
        <w:r w:rsidRPr="00274472">
          <w:rPr>
            <w:rStyle w:val="aff6"/>
            <w:noProof/>
            <w:spacing w:val="-2"/>
          </w:rPr>
          <w:t>Conventions</w:t>
        </w:r>
        <w:r>
          <w:rPr>
            <w:noProof/>
            <w:webHidden/>
          </w:rPr>
          <w:tab/>
        </w:r>
        <w:r>
          <w:rPr>
            <w:noProof/>
            <w:webHidden/>
          </w:rPr>
          <w:fldChar w:fldCharType="begin"/>
        </w:r>
        <w:r>
          <w:rPr>
            <w:noProof/>
            <w:webHidden/>
          </w:rPr>
          <w:instrText xml:space="preserve"> PAGEREF _Toc210589429 \h </w:instrText>
        </w:r>
        <w:r>
          <w:rPr>
            <w:noProof/>
            <w:webHidden/>
          </w:rPr>
        </w:r>
        <w:r>
          <w:rPr>
            <w:noProof/>
            <w:webHidden/>
          </w:rPr>
          <w:fldChar w:fldCharType="separate"/>
        </w:r>
        <w:r>
          <w:rPr>
            <w:noProof/>
            <w:webHidden/>
          </w:rPr>
          <w:t>46</w:t>
        </w:r>
        <w:r>
          <w:rPr>
            <w:noProof/>
            <w:webHidden/>
          </w:rPr>
          <w:fldChar w:fldCharType="end"/>
        </w:r>
      </w:hyperlink>
    </w:p>
    <w:p w14:paraId="0D09499C" w14:textId="508B1A0B"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430" w:history="1">
        <w:r w:rsidRPr="00274472">
          <w:rPr>
            <w:rStyle w:val="aff6"/>
            <w:rFonts w:cs="Arial"/>
            <w:noProof/>
          </w:rPr>
          <w:t>4</w:t>
        </w:r>
        <w:r>
          <w:rPr>
            <w:rFonts w:asciiTheme="minorHAnsi" w:eastAsiaTheme="minorEastAsia" w:hAnsiTheme="minorHAnsi" w:cstheme="minorBidi"/>
            <w:b w:val="0"/>
            <w:noProof/>
            <w:sz w:val="22"/>
            <w:szCs w:val="22"/>
            <w:lang w:val="en-PH" w:eastAsia="en-PH"/>
          </w:rPr>
          <w:tab/>
        </w:r>
        <w:r w:rsidRPr="00274472">
          <w:rPr>
            <w:rStyle w:val="aff6"/>
            <w:rFonts w:cs="Arial"/>
            <w:noProof/>
          </w:rPr>
          <w:t>STAKEHOLDER ENGAGEMENT</w:t>
        </w:r>
        <w:r>
          <w:rPr>
            <w:noProof/>
            <w:webHidden/>
          </w:rPr>
          <w:tab/>
        </w:r>
        <w:r>
          <w:rPr>
            <w:noProof/>
            <w:webHidden/>
          </w:rPr>
          <w:fldChar w:fldCharType="begin"/>
        </w:r>
        <w:r>
          <w:rPr>
            <w:noProof/>
            <w:webHidden/>
          </w:rPr>
          <w:instrText xml:space="preserve"> PAGEREF _Toc210589430 \h </w:instrText>
        </w:r>
        <w:r>
          <w:rPr>
            <w:noProof/>
            <w:webHidden/>
          </w:rPr>
        </w:r>
        <w:r>
          <w:rPr>
            <w:noProof/>
            <w:webHidden/>
          </w:rPr>
          <w:fldChar w:fldCharType="separate"/>
        </w:r>
        <w:r>
          <w:rPr>
            <w:noProof/>
            <w:webHidden/>
          </w:rPr>
          <w:t>49</w:t>
        </w:r>
        <w:r>
          <w:rPr>
            <w:noProof/>
            <w:webHidden/>
          </w:rPr>
          <w:fldChar w:fldCharType="end"/>
        </w:r>
      </w:hyperlink>
    </w:p>
    <w:p w14:paraId="38599960" w14:textId="79B052DA" w:rsidR="008704B1" w:rsidRDefault="008704B1">
      <w:pPr>
        <w:pStyle w:val="25"/>
        <w:rPr>
          <w:rFonts w:asciiTheme="minorHAnsi" w:eastAsiaTheme="minorEastAsia" w:hAnsiTheme="minorHAnsi" w:cstheme="minorBidi"/>
          <w:noProof/>
          <w:color w:val="auto"/>
          <w:sz w:val="22"/>
          <w:szCs w:val="22"/>
          <w:lang w:val="en-PH" w:eastAsia="en-PH"/>
        </w:rPr>
      </w:pPr>
      <w:hyperlink w:anchor="_Toc210589431" w:history="1">
        <w:r w:rsidRPr="00274472">
          <w:rPr>
            <w:rStyle w:val="aff6"/>
            <w:noProof/>
          </w:rPr>
          <w:t>4.1</w:t>
        </w:r>
        <w:r>
          <w:rPr>
            <w:rFonts w:asciiTheme="minorHAnsi" w:eastAsiaTheme="minorEastAsia" w:hAnsiTheme="minorHAnsi" w:cstheme="minorBidi"/>
            <w:noProof/>
            <w:color w:val="auto"/>
            <w:sz w:val="22"/>
            <w:szCs w:val="22"/>
            <w:lang w:val="en-PH" w:eastAsia="en-PH"/>
          </w:rPr>
          <w:tab/>
        </w:r>
        <w:r w:rsidRPr="00274472">
          <w:rPr>
            <w:rStyle w:val="aff6"/>
            <w:noProof/>
          </w:rPr>
          <w:t>Introduction</w:t>
        </w:r>
        <w:r>
          <w:rPr>
            <w:noProof/>
            <w:webHidden/>
          </w:rPr>
          <w:tab/>
        </w:r>
        <w:r>
          <w:rPr>
            <w:noProof/>
            <w:webHidden/>
          </w:rPr>
          <w:fldChar w:fldCharType="begin"/>
        </w:r>
        <w:r>
          <w:rPr>
            <w:noProof/>
            <w:webHidden/>
          </w:rPr>
          <w:instrText xml:space="preserve"> PAGEREF _Toc210589431 \h </w:instrText>
        </w:r>
        <w:r>
          <w:rPr>
            <w:noProof/>
            <w:webHidden/>
          </w:rPr>
        </w:r>
        <w:r>
          <w:rPr>
            <w:noProof/>
            <w:webHidden/>
          </w:rPr>
          <w:fldChar w:fldCharType="separate"/>
        </w:r>
        <w:r>
          <w:rPr>
            <w:noProof/>
            <w:webHidden/>
          </w:rPr>
          <w:t>49</w:t>
        </w:r>
        <w:r>
          <w:rPr>
            <w:noProof/>
            <w:webHidden/>
          </w:rPr>
          <w:fldChar w:fldCharType="end"/>
        </w:r>
      </w:hyperlink>
    </w:p>
    <w:p w14:paraId="605DB816" w14:textId="3B0AC66C" w:rsidR="008704B1" w:rsidRDefault="008704B1">
      <w:pPr>
        <w:pStyle w:val="25"/>
        <w:rPr>
          <w:rFonts w:asciiTheme="minorHAnsi" w:eastAsiaTheme="minorEastAsia" w:hAnsiTheme="minorHAnsi" w:cstheme="minorBidi"/>
          <w:noProof/>
          <w:color w:val="auto"/>
          <w:sz w:val="22"/>
          <w:szCs w:val="22"/>
          <w:lang w:val="en-PH" w:eastAsia="en-PH"/>
        </w:rPr>
      </w:pPr>
      <w:hyperlink w:anchor="_Toc210589432" w:history="1">
        <w:r w:rsidRPr="00274472">
          <w:rPr>
            <w:rStyle w:val="aff6"/>
            <w:noProof/>
          </w:rPr>
          <w:t>4.2</w:t>
        </w:r>
        <w:r>
          <w:rPr>
            <w:rFonts w:asciiTheme="minorHAnsi" w:eastAsiaTheme="minorEastAsia" w:hAnsiTheme="minorHAnsi" w:cstheme="minorBidi"/>
            <w:noProof/>
            <w:color w:val="auto"/>
            <w:sz w:val="22"/>
            <w:szCs w:val="22"/>
            <w:lang w:val="en-PH" w:eastAsia="en-PH"/>
          </w:rPr>
          <w:tab/>
        </w:r>
        <w:r w:rsidRPr="00274472">
          <w:rPr>
            <w:rStyle w:val="aff6"/>
            <w:noProof/>
          </w:rPr>
          <w:t>Stakeholder Engagement History</w:t>
        </w:r>
        <w:r>
          <w:rPr>
            <w:noProof/>
            <w:webHidden/>
          </w:rPr>
          <w:tab/>
        </w:r>
        <w:r>
          <w:rPr>
            <w:noProof/>
            <w:webHidden/>
          </w:rPr>
          <w:fldChar w:fldCharType="begin"/>
        </w:r>
        <w:r>
          <w:rPr>
            <w:noProof/>
            <w:webHidden/>
          </w:rPr>
          <w:instrText xml:space="preserve"> PAGEREF _Toc210589432 \h </w:instrText>
        </w:r>
        <w:r>
          <w:rPr>
            <w:noProof/>
            <w:webHidden/>
          </w:rPr>
        </w:r>
        <w:r>
          <w:rPr>
            <w:noProof/>
            <w:webHidden/>
          </w:rPr>
          <w:fldChar w:fldCharType="separate"/>
        </w:r>
        <w:r>
          <w:rPr>
            <w:noProof/>
            <w:webHidden/>
          </w:rPr>
          <w:t>49</w:t>
        </w:r>
        <w:r>
          <w:rPr>
            <w:noProof/>
            <w:webHidden/>
          </w:rPr>
          <w:fldChar w:fldCharType="end"/>
        </w:r>
      </w:hyperlink>
    </w:p>
    <w:p w14:paraId="066C1763" w14:textId="063169A6"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3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4.2.1</w:t>
        </w:r>
        <w:r>
          <w:rPr>
            <w:rFonts w:asciiTheme="minorHAnsi" w:eastAsiaTheme="minorEastAsia" w:hAnsiTheme="minorHAnsi" w:cstheme="minorBidi"/>
            <w:noProof/>
            <w:sz w:val="22"/>
            <w:szCs w:val="22"/>
            <w:lang w:val="en-PH" w:eastAsia="en-PH"/>
          </w:rPr>
          <w:tab/>
        </w:r>
        <w:r w:rsidRPr="00274472">
          <w:rPr>
            <w:rStyle w:val="aff6"/>
            <w:noProof/>
          </w:rPr>
          <w:t>Official Public Announcement</w:t>
        </w:r>
        <w:r>
          <w:rPr>
            <w:noProof/>
            <w:webHidden/>
          </w:rPr>
          <w:tab/>
        </w:r>
        <w:r>
          <w:rPr>
            <w:noProof/>
            <w:webHidden/>
          </w:rPr>
          <w:fldChar w:fldCharType="begin"/>
        </w:r>
        <w:r>
          <w:rPr>
            <w:noProof/>
            <w:webHidden/>
          </w:rPr>
          <w:instrText xml:space="preserve"> PAGEREF _Toc210589433 \h </w:instrText>
        </w:r>
        <w:r>
          <w:rPr>
            <w:noProof/>
            <w:webHidden/>
          </w:rPr>
        </w:r>
        <w:r>
          <w:rPr>
            <w:noProof/>
            <w:webHidden/>
          </w:rPr>
          <w:fldChar w:fldCharType="separate"/>
        </w:r>
        <w:r>
          <w:rPr>
            <w:noProof/>
            <w:webHidden/>
          </w:rPr>
          <w:t>50</w:t>
        </w:r>
        <w:r>
          <w:rPr>
            <w:noProof/>
            <w:webHidden/>
          </w:rPr>
          <w:fldChar w:fldCharType="end"/>
        </w:r>
      </w:hyperlink>
    </w:p>
    <w:p w14:paraId="7BC9D9F3" w14:textId="2C4CAEB4"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34"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4.2.2</w:t>
        </w:r>
        <w:r>
          <w:rPr>
            <w:rFonts w:asciiTheme="minorHAnsi" w:eastAsiaTheme="minorEastAsia" w:hAnsiTheme="minorHAnsi" w:cstheme="minorBidi"/>
            <w:noProof/>
            <w:sz w:val="22"/>
            <w:szCs w:val="22"/>
            <w:lang w:val="en-PH" w:eastAsia="en-PH"/>
          </w:rPr>
          <w:tab/>
        </w:r>
        <w:r w:rsidRPr="00274472">
          <w:rPr>
            <w:rStyle w:val="aff6"/>
            <w:noProof/>
          </w:rPr>
          <w:t>Public Presentations, Hearings and  Consultations</w:t>
        </w:r>
        <w:r>
          <w:rPr>
            <w:noProof/>
            <w:webHidden/>
          </w:rPr>
          <w:tab/>
        </w:r>
        <w:r>
          <w:rPr>
            <w:noProof/>
            <w:webHidden/>
          </w:rPr>
          <w:fldChar w:fldCharType="begin"/>
        </w:r>
        <w:r>
          <w:rPr>
            <w:noProof/>
            <w:webHidden/>
          </w:rPr>
          <w:instrText xml:space="preserve"> PAGEREF _Toc210589434 \h </w:instrText>
        </w:r>
        <w:r>
          <w:rPr>
            <w:noProof/>
            <w:webHidden/>
          </w:rPr>
        </w:r>
        <w:r>
          <w:rPr>
            <w:noProof/>
            <w:webHidden/>
          </w:rPr>
          <w:fldChar w:fldCharType="separate"/>
        </w:r>
        <w:r>
          <w:rPr>
            <w:noProof/>
            <w:webHidden/>
          </w:rPr>
          <w:t>50</w:t>
        </w:r>
        <w:r>
          <w:rPr>
            <w:noProof/>
            <w:webHidden/>
          </w:rPr>
          <w:fldChar w:fldCharType="end"/>
        </w:r>
      </w:hyperlink>
    </w:p>
    <w:p w14:paraId="09BB26D5" w14:textId="7EE81201"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3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4.2.3</w:t>
        </w:r>
        <w:r>
          <w:rPr>
            <w:rFonts w:asciiTheme="minorHAnsi" w:eastAsiaTheme="minorEastAsia" w:hAnsiTheme="minorHAnsi" w:cstheme="minorBidi"/>
            <w:noProof/>
            <w:sz w:val="22"/>
            <w:szCs w:val="22"/>
            <w:lang w:val="en-PH" w:eastAsia="en-PH"/>
          </w:rPr>
          <w:tab/>
        </w:r>
        <w:r w:rsidRPr="00274472">
          <w:rPr>
            <w:rStyle w:val="aff6"/>
            <w:noProof/>
          </w:rPr>
          <w:t>Key stakeholder meetings</w:t>
        </w:r>
        <w:r>
          <w:rPr>
            <w:noProof/>
            <w:webHidden/>
          </w:rPr>
          <w:tab/>
        </w:r>
        <w:r>
          <w:rPr>
            <w:noProof/>
            <w:webHidden/>
          </w:rPr>
          <w:fldChar w:fldCharType="begin"/>
        </w:r>
        <w:r>
          <w:rPr>
            <w:noProof/>
            <w:webHidden/>
          </w:rPr>
          <w:instrText xml:space="preserve"> PAGEREF _Toc210589435 \h </w:instrText>
        </w:r>
        <w:r>
          <w:rPr>
            <w:noProof/>
            <w:webHidden/>
          </w:rPr>
        </w:r>
        <w:r>
          <w:rPr>
            <w:noProof/>
            <w:webHidden/>
          </w:rPr>
          <w:fldChar w:fldCharType="separate"/>
        </w:r>
        <w:r>
          <w:rPr>
            <w:noProof/>
            <w:webHidden/>
          </w:rPr>
          <w:t>51</w:t>
        </w:r>
        <w:r>
          <w:rPr>
            <w:noProof/>
            <w:webHidden/>
          </w:rPr>
          <w:fldChar w:fldCharType="end"/>
        </w:r>
      </w:hyperlink>
    </w:p>
    <w:p w14:paraId="6BCD6E0D" w14:textId="7284A65F"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3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4.2.4</w:t>
        </w:r>
        <w:r>
          <w:rPr>
            <w:rFonts w:asciiTheme="minorHAnsi" w:eastAsiaTheme="minorEastAsia" w:hAnsiTheme="minorHAnsi" w:cstheme="minorBidi"/>
            <w:noProof/>
            <w:sz w:val="22"/>
            <w:szCs w:val="22"/>
            <w:lang w:val="en-PH" w:eastAsia="en-PH"/>
          </w:rPr>
          <w:tab/>
        </w:r>
        <w:r w:rsidRPr="00274472">
          <w:rPr>
            <w:rStyle w:val="aff6"/>
            <w:noProof/>
          </w:rPr>
          <w:t>Engagement with the Akimats</w:t>
        </w:r>
        <w:r>
          <w:rPr>
            <w:noProof/>
            <w:webHidden/>
          </w:rPr>
          <w:tab/>
        </w:r>
        <w:r>
          <w:rPr>
            <w:noProof/>
            <w:webHidden/>
          </w:rPr>
          <w:fldChar w:fldCharType="begin"/>
        </w:r>
        <w:r>
          <w:rPr>
            <w:noProof/>
            <w:webHidden/>
          </w:rPr>
          <w:instrText xml:space="preserve"> PAGEREF _Toc210589436 \h </w:instrText>
        </w:r>
        <w:r>
          <w:rPr>
            <w:noProof/>
            <w:webHidden/>
          </w:rPr>
        </w:r>
        <w:r>
          <w:rPr>
            <w:noProof/>
            <w:webHidden/>
          </w:rPr>
          <w:fldChar w:fldCharType="separate"/>
        </w:r>
        <w:r>
          <w:rPr>
            <w:noProof/>
            <w:webHidden/>
          </w:rPr>
          <w:t>51</w:t>
        </w:r>
        <w:r>
          <w:rPr>
            <w:noProof/>
            <w:webHidden/>
          </w:rPr>
          <w:fldChar w:fldCharType="end"/>
        </w:r>
      </w:hyperlink>
    </w:p>
    <w:p w14:paraId="4303DD29" w14:textId="749D11DE" w:rsidR="008704B1" w:rsidRDefault="008704B1">
      <w:pPr>
        <w:pStyle w:val="25"/>
        <w:rPr>
          <w:rFonts w:asciiTheme="minorHAnsi" w:eastAsiaTheme="minorEastAsia" w:hAnsiTheme="minorHAnsi" w:cstheme="minorBidi"/>
          <w:noProof/>
          <w:color w:val="auto"/>
          <w:sz w:val="22"/>
          <w:szCs w:val="22"/>
          <w:lang w:val="en-PH" w:eastAsia="en-PH"/>
        </w:rPr>
      </w:pPr>
      <w:hyperlink w:anchor="_Toc210589437" w:history="1">
        <w:r w:rsidRPr="00274472">
          <w:rPr>
            <w:rStyle w:val="aff6"/>
            <w:noProof/>
          </w:rPr>
          <w:t>4.3</w:t>
        </w:r>
        <w:r>
          <w:rPr>
            <w:rFonts w:asciiTheme="minorHAnsi" w:eastAsiaTheme="minorEastAsia" w:hAnsiTheme="minorHAnsi" w:cstheme="minorBidi"/>
            <w:noProof/>
            <w:color w:val="auto"/>
            <w:sz w:val="22"/>
            <w:szCs w:val="22"/>
            <w:lang w:val="en-PH" w:eastAsia="en-PH"/>
          </w:rPr>
          <w:tab/>
        </w:r>
        <w:r w:rsidRPr="00274472">
          <w:rPr>
            <w:rStyle w:val="aff6"/>
            <w:noProof/>
          </w:rPr>
          <w:t>Project Level Grievance Redressal Mechanism (GRM)</w:t>
        </w:r>
        <w:r>
          <w:rPr>
            <w:noProof/>
            <w:webHidden/>
          </w:rPr>
          <w:tab/>
        </w:r>
        <w:r>
          <w:rPr>
            <w:noProof/>
            <w:webHidden/>
          </w:rPr>
          <w:fldChar w:fldCharType="begin"/>
        </w:r>
        <w:r>
          <w:rPr>
            <w:noProof/>
            <w:webHidden/>
          </w:rPr>
          <w:instrText xml:space="preserve"> PAGEREF _Toc210589437 \h </w:instrText>
        </w:r>
        <w:r>
          <w:rPr>
            <w:noProof/>
            <w:webHidden/>
          </w:rPr>
        </w:r>
        <w:r>
          <w:rPr>
            <w:noProof/>
            <w:webHidden/>
          </w:rPr>
          <w:fldChar w:fldCharType="separate"/>
        </w:r>
        <w:r>
          <w:rPr>
            <w:noProof/>
            <w:webHidden/>
          </w:rPr>
          <w:t>52</w:t>
        </w:r>
        <w:r>
          <w:rPr>
            <w:noProof/>
            <w:webHidden/>
          </w:rPr>
          <w:fldChar w:fldCharType="end"/>
        </w:r>
      </w:hyperlink>
    </w:p>
    <w:p w14:paraId="0648523A" w14:textId="1E097044" w:rsidR="008704B1" w:rsidRDefault="008704B1">
      <w:pPr>
        <w:pStyle w:val="25"/>
        <w:rPr>
          <w:rFonts w:asciiTheme="minorHAnsi" w:eastAsiaTheme="minorEastAsia" w:hAnsiTheme="minorHAnsi" w:cstheme="minorBidi"/>
          <w:noProof/>
          <w:color w:val="auto"/>
          <w:sz w:val="22"/>
          <w:szCs w:val="22"/>
          <w:lang w:val="en-PH" w:eastAsia="en-PH"/>
        </w:rPr>
      </w:pPr>
      <w:hyperlink w:anchor="_Toc210589438" w:history="1">
        <w:r w:rsidRPr="00274472">
          <w:rPr>
            <w:rStyle w:val="aff6"/>
            <w:noProof/>
          </w:rPr>
          <w:t>4.4</w:t>
        </w:r>
        <w:r>
          <w:rPr>
            <w:rFonts w:asciiTheme="minorHAnsi" w:eastAsiaTheme="minorEastAsia" w:hAnsiTheme="minorHAnsi" w:cstheme="minorBidi"/>
            <w:noProof/>
            <w:color w:val="auto"/>
            <w:sz w:val="22"/>
            <w:szCs w:val="22"/>
            <w:lang w:val="en-PH" w:eastAsia="en-PH"/>
          </w:rPr>
          <w:tab/>
        </w:r>
        <w:r w:rsidRPr="00274472">
          <w:rPr>
            <w:rStyle w:val="aff6"/>
            <w:noProof/>
          </w:rPr>
          <w:t>Stakeholder</w:t>
        </w:r>
        <w:r w:rsidRPr="00274472">
          <w:rPr>
            <w:rStyle w:val="aff6"/>
            <w:noProof/>
            <w:spacing w:val="23"/>
          </w:rPr>
          <w:t xml:space="preserve"> </w:t>
        </w:r>
        <w:r w:rsidRPr="00274472">
          <w:rPr>
            <w:rStyle w:val="aff6"/>
            <w:noProof/>
          </w:rPr>
          <w:t>Identification</w:t>
        </w:r>
        <w:r w:rsidRPr="00274472">
          <w:rPr>
            <w:rStyle w:val="aff6"/>
            <w:noProof/>
            <w:spacing w:val="28"/>
          </w:rPr>
          <w:t xml:space="preserve"> </w:t>
        </w:r>
        <w:r w:rsidRPr="00274472">
          <w:rPr>
            <w:rStyle w:val="aff6"/>
            <w:noProof/>
          </w:rPr>
          <w:t>and</w:t>
        </w:r>
        <w:r w:rsidRPr="00274472">
          <w:rPr>
            <w:rStyle w:val="aff6"/>
            <w:noProof/>
            <w:spacing w:val="25"/>
          </w:rPr>
          <w:t xml:space="preserve"> </w:t>
        </w:r>
        <w:r w:rsidRPr="00274472">
          <w:rPr>
            <w:rStyle w:val="aff6"/>
            <w:noProof/>
            <w:spacing w:val="-2"/>
          </w:rPr>
          <w:t>Categorisation</w:t>
        </w:r>
        <w:r>
          <w:rPr>
            <w:noProof/>
            <w:webHidden/>
          </w:rPr>
          <w:tab/>
        </w:r>
        <w:r>
          <w:rPr>
            <w:noProof/>
            <w:webHidden/>
          </w:rPr>
          <w:fldChar w:fldCharType="begin"/>
        </w:r>
        <w:r>
          <w:rPr>
            <w:noProof/>
            <w:webHidden/>
          </w:rPr>
          <w:instrText xml:space="preserve"> PAGEREF _Toc210589438 \h </w:instrText>
        </w:r>
        <w:r>
          <w:rPr>
            <w:noProof/>
            <w:webHidden/>
          </w:rPr>
        </w:r>
        <w:r>
          <w:rPr>
            <w:noProof/>
            <w:webHidden/>
          </w:rPr>
          <w:fldChar w:fldCharType="separate"/>
        </w:r>
        <w:r>
          <w:rPr>
            <w:noProof/>
            <w:webHidden/>
          </w:rPr>
          <w:t>53</w:t>
        </w:r>
        <w:r>
          <w:rPr>
            <w:noProof/>
            <w:webHidden/>
          </w:rPr>
          <w:fldChar w:fldCharType="end"/>
        </w:r>
      </w:hyperlink>
    </w:p>
    <w:p w14:paraId="1F8736DE" w14:textId="10FDD726"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3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4.4.1</w:t>
        </w:r>
        <w:r>
          <w:rPr>
            <w:rFonts w:asciiTheme="minorHAnsi" w:eastAsiaTheme="minorEastAsia" w:hAnsiTheme="minorHAnsi" w:cstheme="minorBidi"/>
            <w:noProof/>
            <w:sz w:val="22"/>
            <w:szCs w:val="22"/>
            <w:lang w:val="en-PH" w:eastAsia="en-PH"/>
          </w:rPr>
          <w:tab/>
        </w:r>
        <w:r w:rsidRPr="00274472">
          <w:rPr>
            <w:rStyle w:val="aff6"/>
            <w:noProof/>
          </w:rPr>
          <w:t>Identification of Vulnerable Groups</w:t>
        </w:r>
        <w:r>
          <w:rPr>
            <w:noProof/>
            <w:webHidden/>
          </w:rPr>
          <w:tab/>
        </w:r>
        <w:r>
          <w:rPr>
            <w:noProof/>
            <w:webHidden/>
          </w:rPr>
          <w:fldChar w:fldCharType="begin"/>
        </w:r>
        <w:r>
          <w:rPr>
            <w:noProof/>
            <w:webHidden/>
          </w:rPr>
          <w:instrText xml:space="preserve"> PAGEREF _Toc210589439 \h </w:instrText>
        </w:r>
        <w:r>
          <w:rPr>
            <w:noProof/>
            <w:webHidden/>
          </w:rPr>
        </w:r>
        <w:r>
          <w:rPr>
            <w:noProof/>
            <w:webHidden/>
          </w:rPr>
          <w:fldChar w:fldCharType="separate"/>
        </w:r>
        <w:r>
          <w:rPr>
            <w:noProof/>
            <w:webHidden/>
          </w:rPr>
          <w:t>53</w:t>
        </w:r>
        <w:r>
          <w:rPr>
            <w:noProof/>
            <w:webHidden/>
          </w:rPr>
          <w:fldChar w:fldCharType="end"/>
        </w:r>
      </w:hyperlink>
    </w:p>
    <w:p w14:paraId="2150942E" w14:textId="6C4C261E" w:rsidR="008704B1" w:rsidRDefault="008704B1">
      <w:pPr>
        <w:pStyle w:val="25"/>
        <w:rPr>
          <w:rFonts w:asciiTheme="minorHAnsi" w:eastAsiaTheme="minorEastAsia" w:hAnsiTheme="minorHAnsi" w:cstheme="minorBidi"/>
          <w:noProof/>
          <w:color w:val="auto"/>
          <w:sz w:val="22"/>
          <w:szCs w:val="22"/>
          <w:lang w:val="en-PH" w:eastAsia="en-PH"/>
        </w:rPr>
      </w:pPr>
      <w:hyperlink w:anchor="_Toc210589440" w:history="1">
        <w:r w:rsidRPr="00274472">
          <w:rPr>
            <w:rStyle w:val="aff6"/>
            <w:noProof/>
          </w:rPr>
          <w:t>4.5</w:t>
        </w:r>
        <w:r>
          <w:rPr>
            <w:rFonts w:asciiTheme="minorHAnsi" w:eastAsiaTheme="minorEastAsia" w:hAnsiTheme="minorHAnsi" w:cstheme="minorBidi"/>
            <w:noProof/>
            <w:color w:val="auto"/>
            <w:sz w:val="22"/>
            <w:szCs w:val="22"/>
            <w:lang w:val="en-PH" w:eastAsia="en-PH"/>
          </w:rPr>
          <w:tab/>
        </w:r>
        <w:r w:rsidRPr="00274472">
          <w:rPr>
            <w:rStyle w:val="aff6"/>
            <w:noProof/>
          </w:rPr>
          <w:t>Stakeholder Mapping</w:t>
        </w:r>
        <w:r>
          <w:rPr>
            <w:noProof/>
            <w:webHidden/>
          </w:rPr>
          <w:tab/>
        </w:r>
        <w:r>
          <w:rPr>
            <w:noProof/>
            <w:webHidden/>
          </w:rPr>
          <w:fldChar w:fldCharType="begin"/>
        </w:r>
        <w:r>
          <w:rPr>
            <w:noProof/>
            <w:webHidden/>
          </w:rPr>
          <w:instrText xml:space="preserve"> PAGEREF _Toc210589440 \h </w:instrText>
        </w:r>
        <w:r>
          <w:rPr>
            <w:noProof/>
            <w:webHidden/>
          </w:rPr>
        </w:r>
        <w:r>
          <w:rPr>
            <w:noProof/>
            <w:webHidden/>
          </w:rPr>
          <w:fldChar w:fldCharType="separate"/>
        </w:r>
        <w:r>
          <w:rPr>
            <w:noProof/>
            <w:webHidden/>
          </w:rPr>
          <w:t>54</w:t>
        </w:r>
        <w:r>
          <w:rPr>
            <w:noProof/>
            <w:webHidden/>
          </w:rPr>
          <w:fldChar w:fldCharType="end"/>
        </w:r>
      </w:hyperlink>
    </w:p>
    <w:p w14:paraId="2B515EA9" w14:textId="42FB1864"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441" w:history="1">
        <w:r w:rsidRPr="00274472">
          <w:rPr>
            <w:rStyle w:val="aff6"/>
            <w:rFonts w:cs="Arial"/>
            <w:noProof/>
          </w:rPr>
          <w:t>5</w:t>
        </w:r>
        <w:r>
          <w:rPr>
            <w:rFonts w:asciiTheme="minorHAnsi" w:eastAsiaTheme="minorEastAsia" w:hAnsiTheme="minorHAnsi" w:cstheme="minorBidi"/>
            <w:b w:val="0"/>
            <w:noProof/>
            <w:sz w:val="22"/>
            <w:szCs w:val="22"/>
            <w:lang w:val="en-PH" w:eastAsia="en-PH"/>
          </w:rPr>
          <w:tab/>
        </w:r>
        <w:r w:rsidRPr="00274472">
          <w:rPr>
            <w:rStyle w:val="aff6"/>
            <w:rFonts w:cs="Arial"/>
            <w:noProof/>
          </w:rPr>
          <w:t>IMPACT ASSESSMENT METHODS</w:t>
        </w:r>
        <w:r>
          <w:rPr>
            <w:noProof/>
            <w:webHidden/>
          </w:rPr>
          <w:tab/>
        </w:r>
        <w:r>
          <w:rPr>
            <w:noProof/>
            <w:webHidden/>
          </w:rPr>
          <w:fldChar w:fldCharType="begin"/>
        </w:r>
        <w:r>
          <w:rPr>
            <w:noProof/>
            <w:webHidden/>
          </w:rPr>
          <w:instrText xml:space="preserve"> PAGEREF _Toc210589441 \h </w:instrText>
        </w:r>
        <w:r>
          <w:rPr>
            <w:noProof/>
            <w:webHidden/>
          </w:rPr>
        </w:r>
        <w:r>
          <w:rPr>
            <w:noProof/>
            <w:webHidden/>
          </w:rPr>
          <w:fldChar w:fldCharType="separate"/>
        </w:r>
        <w:r>
          <w:rPr>
            <w:noProof/>
            <w:webHidden/>
          </w:rPr>
          <w:t>57</w:t>
        </w:r>
        <w:r>
          <w:rPr>
            <w:noProof/>
            <w:webHidden/>
          </w:rPr>
          <w:fldChar w:fldCharType="end"/>
        </w:r>
      </w:hyperlink>
    </w:p>
    <w:p w14:paraId="6BA94AD7" w14:textId="062E4F1D" w:rsidR="008704B1" w:rsidRDefault="008704B1">
      <w:pPr>
        <w:pStyle w:val="25"/>
        <w:rPr>
          <w:rFonts w:asciiTheme="minorHAnsi" w:eastAsiaTheme="minorEastAsia" w:hAnsiTheme="minorHAnsi" w:cstheme="minorBidi"/>
          <w:noProof/>
          <w:color w:val="auto"/>
          <w:sz w:val="22"/>
          <w:szCs w:val="22"/>
          <w:lang w:val="en-PH" w:eastAsia="en-PH"/>
        </w:rPr>
      </w:pPr>
      <w:hyperlink w:anchor="_Toc210589442" w:history="1">
        <w:r w:rsidRPr="00274472">
          <w:rPr>
            <w:rStyle w:val="aff6"/>
            <w:noProof/>
          </w:rPr>
          <w:t>5.1</w:t>
        </w:r>
        <w:r>
          <w:rPr>
            <w:rFonts w:asciiTheme="minorHAnsi" w:eastAsiaTheme="minorEastAsia" w:hAnsiTheme="minorHAnsi" w:cstheme="minorBidi"/>
            <w:noProof/>
            <w:color w:val="auto"/>
            <w:sz w:val="22"/>
            <w:szCs w:val="22"/>
            <w:lang w:val="en-PH" w:eastAsia="en-PH"/>
          </w:rPr>
          <w:tab/>
        </w:r>
        <w:r w:rsidRPr="00274472">
          <w:rPr>
            <w:rStyle w:val="aff6"/>
            <w:noProof/>
          </w:rPr>
          <w:t>Introduction</w:t>
        </w:r>
        <w:r>
          <w:rPr>
            <w:noProof/>
            <w:webHidden/>
          </w:rPr>
          <w:tab/>
        </w:r>
        <w:r>
          <w:rPr>
            <w:noProof/>
            <w:webHidden/>
          </w:rPr>
          <w:fldChar w:fldCharType="begin"/>
        </w:r>
        <w:r>
          <w:rPr>
            <w:noProof/>
            <w:webHidden/>
          </w:rPr>
          <w:instrText xml:space="preserve"> PAGEREF _Toc210589442 \h </w:instrText>
        </w:r>
        <w:r>
          <w:rPr>
            <w:noProof/>
            <w:webHidden/>
          </w:rPr>
        </w:r>
        <w:r>
          <w:rPr>
            <w:noProof/>
            <w:webHidden/>
          </w:rPr>
          <w:fldChar w:fldCharType="separate"/>
        </w:r>
        <w:r>
          <w:rPr>
            <w:noProof/>
            <w:webHidden/>
          </w:rPr>
          <w:t>58</w:t>
        </w:r>
        <w:r>
          <w:rPr>
            <w:noProof/>
            <w:webHidden/>
          </w:rPr>
          <w:fldChar w:fldCharType="end"/>
        </w:r>
      </w:hyperlink>
    </w:p>
    <w:p w14:paraId="58A904F4" w14:textId="0AE44D89" w:rsidR="008704B1" w:rsidRDefault="008704B1">
      <w:pPr>
        <w:pStyle w:val="25"/>
        <w:rPr>
          <w:rFonts w:asciiTheme="minorHAnsi" w:eastAsiaTheme="minorEastAsia" w:hAnsiTheme="minorHAnsi" w:cstheme="minorBidi"/>
          <w:noProof/>
          <w:color w:val="auto"/>
          <w:sz w:val="22"/>
          <w:szCs w:val="22"/>
          <w:lang w:val="en-PH" w:eastAsia="en-PH"/>
        </w:rPr>
      </w:pPr>
      <w:hyperlink w:anchor="_Toc210589443" w:history="1">
        <w:r w:rsidRPr="00274472">
          <w:rPr>
            <w:rStyle w:val="aff6"/>
            <w:noProof/>
          </w:rPr>
          <w:t>5.2</w:t>
        </w:r>
        <w:r>
          <w:rPr>
            <w:rFonts w:asciiTheme="minorHAnsi" w:eastAsiaTheme="minorEastAsia" w:hAnsiTheme="minorHAnsi" w:cstheme="minorBidi"/>
            <w:noProof/>
            <w:color w:val="auto"/>
            <w:sz w:val="22"/>
            <w:szCs w:val="22"/>
            <w:lang w:val="en-PH" w:eastAsia="en-PH"/>
          </w:rPr>
          <w:tab/>
        </w:r>
        <w:r w:rsidRPr="00274472">
          <w:rPr>
            <w:rStyle w:val="aff6"/>
            <w:noProof/>
          </w:rPr>
          <w:t>Environmental and Social Screening</w:t>
        </w:r>
        <w:r>
          <w:rPr>
            <w:noProof/>
            <w:webHidden/>
          </w:rPr>
          <w:tab/>
        </w:r>
        <w:r>
          <w:rPr>
            <w:noProof/>
            <w:webHidden/>
          </w:rPr>
          <w:fldChar w:fldCharType="begin"/>
        </w:r>
        <w:r>
          <w:rPr>
            <w:noProof/>
            <w:webHidden/>
          </w:rPr>
          <w:instrText xml:space="preserve"> PAGEREF _Toc210589443 \h </w:instrText>
        </w:r>
        <w:r>
          <w:rPr>
            <w:noProof/>
            <w:webHidden/>
          </w:rPr>
        </w:r>
        <w:r>
          <w:rPr>
            <w:noProof/>
            <w:webHidden/>
          </w:rPr>
          <w:fldChar w:fldCharType="separate"/>
        </w:r>
        <w:r>
          <w:rPr>
            <w:noProof/>
            <w:webHidden/>
          </w:rPr>
          <w:t>58</w:t>
        </w:r>
        <w:r>
          <w:rPr>
            <w:noProof/>
            <w:webHidden/>
          </w:rPr>
          <w:fldChar w:fldCharType="end"/>
        </w:r>
      </w:hyperlink>
    </w:p>
    <w:p w14:paraId="672FDF60" w14:textId="6C62D2E9" w:rsidR="008704B1" w:rsidRDefault="008704B1">
      <w:pPr>
        <w:pStyle w:val="25"/>
        <w:rPr>
          <w:rFonts w:asciiTheme="minorHAnsi" w:eastAsiaTheme="minorEastAsia" w:hAnsiTheme="minorHAnsi" w:cstheme="minorBidi"/>
          <w:noProof/>
          <w:color w:val="auto"/>
          <w:sz w:val="22"/>
          <w:szCs w:val="22"/>
          <w:lang w:val="en-PH" w:eastAsia="en-PH"/>
        </w:rPr>
      </w:pPr>
      <w:hyperlink w:anchor="_Toc210589444" w:history="1">
        <w:r w:rsidRPr="00274472">
          <w:rPr>
            <w:rStyle w:val="aff6"/>
            <w:noProof/>
          </w:rPr>
          <w:t>5.3</w:t>
        </w:r>
        <w:r>
          <w:rPr>
            <w:rFonts w:asciiTheme="minorHAnsi" w:eastAsiaTheme="minorEastAsia" w:hAnsiTheme="minorHAnsi" w:cstheme="minorBidi"/>
            <w:noProof/>
            <w:color w:val="auto"/>
            <w:sz w:val="22"/>
            <w:szCs w:val="22"/>
            <w:lang w:val="en-PH" w:eastAsia="en-PH"/>
          </w:rPr>
          <w:tab/>
        </w:r>
        <w:r w:rsidRPr="00274472">
          <w:rPr>
            <w:rStyle w:val="aff6"/>
            <w:noProof/>
          </w:rPr>
          <w:t>The Environmental Impact Assessment Methodologies</w:t>
        </w:r>
        <w:r>
          <w:rPr>
            <w:noProof/>
            <w:webHidden/>
          </w:rPr>
          <w:tab/>
        </w:r>
        <w:r>
          <w:rPr>
            <w:noProof/>
            <w:webHidden/>
          </w:rPr>
          <w:fldChar w:fldCharType="begin"/>
        </w:r>
        <w:r>
          <w:rPr>
            <w:noProof/>
            <w:webHidden/>
          </w:rPr>
          <w:instrText xml:space="preserve"> PAGEREF _Toc210589444 \h </w:instrText>
        </w:r>
        <w:r>
          <w:rPr>
            <w:noProof/>
            <w:webHidden/>
          </w:rPr>
        </w:r>
        <w:r>
          <w:rPr>
            <w:noProof/>
            <w:webHidden/>
          </w:rPr>
          <w:fldChar w:fldCharType="separate"/>
        </w:r>
        <w:r>
          <w:rPr>
            <w:noProof/>
            <w:webHidden/>
          </w:rPr>
          <w:t>60</w:t>
        </w:r>
        <w:r>
          <w:rPr>
            <w:noProof/>
            <w:webHidden/>
          </w:rPr>
          <w:fldChar w:fldCharType="end"/>
        </w:r>
      </w:hyperlink>
    </w:p>
    <w:p w14:paraId="329964CE" w14:textId="20B974C6"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4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5.3.1</w:t>
        </w:r>
        <w:r>
          <w:rPr>
            <w:rFonts w:asciiTheme="minorHAnsi" w:eastAsiaTheme="minorEastAsia" w:hAnsiTheme="minorHAnsi" w:cstheme="minorBidi"/>
            <w:noProof/>
            <w:sz w:val="22"/>
            <w:szCs w:val="22"/>
            <w:lang w:val="en-PH" w:eastAsia="en-PH"/>
          </w:rPr>
          <w:tab/>
        </w:r>
        <w:r w:rsidRPr="00274472">
          <w:rPr>
            <w:rStyle w:val="aff6"/>
            <w:noProof/>
          </w:rPr>
          <w:t>Physical Environmental Assessments</w:t>
        </w:r>
        <w:r>
          <w:rPr>
            <w:noProof/>
            <w:webHidden/>
          </w:rPr>
          <w:tab/>
        </w:r>
        <w:r>
          <w:rPr>
            <w:noProof/>
            <w:webHidden/>
          </w:rPr>
          <w:fldChar w:fldCharType="begin"/>
        </w:r>
        <w:r>
          <w:rPr>
            <w:noProof/>
            <w:webHidden/>
          </w:rPr>
          <w:instrText xml:space="preserve"> PAGEREF _Toc210589445 \h </w:instrText>
        </w:r>
        <w:r>
          <w:rPr>
            <w:noProof/>
            <w:webHidden/>
          </w:rPr>
        </w:r>
        <w:r>
          <w:rPr>
            <w:noProof/>
            <w:webHidden/>
          </w:rPr>
          <w:fldChar w:fldCharType="separate"/>
        </w:r>
        <w:r>
          <w:rPr>
            <w:noProof/>
            <w:webHidden/>
          </w:rPr>
          <w:t>60</w:t>
        </w:r>
        <w:r>
          <w:rPr>
            <w:noProof/>
            <w:webHidden/>
          </w:rPr>
          <w:fldChar w:fldCharType="end"/>
        </w:r>
      </w:hyperlink>
    </w:p>
    <w:p w14:paraId="41BD0123" w14:textId="367C171F"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4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5.3.2</w:t>
        </w:r>
        <w:r>
          <w:rPr>
            <w:rFonts w:asciiTheme="minorHAnsi" w:eastAsiaTheme="minorEastAsia" w:hAnsiTheme="minorHAnsi" w:cstheme="minorBidi"/>
            <w:noProof/>
            <w:sz w:val="22"/>
            <w:szCs w:val="22"/>
            <w:lang w:val="en-PH" w:eastAsia="en-PH"/>
          </w:rPr>
          <w:tab/>
        </w:r>
        <w:r w:rsidRPr="00274472">
          <w:rPr>
            <w:rStyle w:val="aff6"/>
            <w:noProof/>
          </w:rPr>
          <w:t>General Biological and Ecological Environmental Assessments</w:t>
        </w:r>
        <w:r>
          <w:rPr>
            <w:noProof/>
            <w:webHidden/>
          </w:rPr>
          <w:tab/>
        </w:r>
        <w:r>
          <w:rPr>
            <w:noProof/>
            <w:webHidden/>
          </w:rPr>
          <w:fldChar w:fldCharType="begin"/>
        </w:r>
        <w:r>
          <w:rPr>
            <w:noProof/>
            <w:webHidden/>
          </w:rPr>
          <w:instrText xml:space="preserve"> PAGEREF _Toc210589446 \h </w:instrText>
        </w:r>
        <w:r>
          <w:rPr>
            <w:noProof/>
            <w:webHidden/>
          </w:rPr>
        </w:r>
        <w:r>
          <w:rPr>
            <w:noProof/>
            <w:webHidden/>
          </w:rPr>
          <w:fldChar w:fldCharType="separate"/>
        </w:r>
        <w:r>
          <w:rPr>
            <w:noProof/>
            <w:webHidden/>
          </w:rPr>
          <w:t>61</w:t>
        </w:r>
        <w:r>
          <w:rPr>
            <w:noProof/>
            <w:webHidden/>
          </w:rPr>
          <w:fldChar w:fldCharType="end"/>
        </w:r>
      </w:hyperlink>
    </w:p>
    <w:p w14:paraId="0AE16E70" w14:textId="22BF18F9" w:rsidR="008704B1" w:rsidRDefault="008704B1">
      <w:pPr>
        <w:pStyle w:val="25"/>
        <w:rPr>
          <w:rFonts w:asciiTheme="minorHAnsi" w:eastAsiaTheme="minorEastAsia" w:hAnsiTheme="minorHAnsi" w:cstheme="minorBidi"/>
          <w:noProof/>
          <w:color w:val="auto"/>
          <w:sz w:val="22"/>
          <w:szCs w:val="22"/>
          <w:lang w:val="en-PH" w:eastAsia="en-PH"/>
        </w:rPr>
      </w:pPr>
      <w:hyperlink w:anchor="_Toc210589447" w:history="1">
        <w:r w:rsidRPr="00274472">
          <w:rPr>
            <w:rStyle w:val="aff6"/>
            <w:noProof/>
          </w:rPr>
          <w:t>5.4</w:t>
        </w:r>
        <w:r>
          <w:rPr>
            <w:rFonts w:asciiTheme="minorHAnsi" w:eastAsiaTheme="minorEastAsia" w:hAnsiTheme="minorHAnsi" w:cstheme="minorBidi"/>
            <w:noProof/>
            <w:color w:val="auto"/>
            <w:sz w:val="22"/>
            <w:szCs w:val="22"/>
            <w:lang w:val="en-PH" w:eastAsia="en-PH"/>
          </w:rPr>
          <w:tab/>
        </w:r>
        <w:r w:rsidRPr="00274472">
          <w:rPr>
            <w:rStyle w:val="aff6"/>
            <w:noProof/>
          </w:rPr>
          <w:t>The Social Impact Assessment Methodologies</w:t>
        </w:r>
        <w:r>
          <w:rPr>
            <w:noProof/>
            <w:webHidden/>
          </w:rPr>
          <w:tab/>
        </w:r>
        <w:r>
          <w:rPr>
            <w:noProof/>
            <w:webHidden/>
          </w:rPr>
          <w:fldChar w:fldCharType="begin"/>
        </w:r>
        <w:r>
          <w:rPr>
            <w:noProof/>
            <w:webHidden/>
          </w:rPr>
          <w:instrText xml:space="preserve"> PAGEREF _Toc210589447 \h </w:instrText>
        </w:r>
        <w:r>
          <w:rPr>
            <w:noProof/>
            <w:webHidden/>
          </w:rPr>
        </w:r>
        <w:r>
          <w:rPr>
            <w:noProof/>
            <w:webHidden/>
          </w:rPr>
          <w:fldChar w:fldCharType="separate"/>
        </w:r>
        <w:r>
          <w:rPr>
            <w:noProof/>
            <w:webHidden/>
          </w:rPr>
          <w:t>62</w:t>
        </w:r>
        <w:r>
          <w:rPr>
            <w:noProof/>
            <w:webHidden/>
          </w:rPr>
          <w:fldChar w:fldCharType="end"/>
        </w:r>
      </w:hyperlink>
    </w:p>
    <w:p w14:paraId="0556868C" w14:textId="089ADF92"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4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5.4.1</w:t>
        </w:r>
        <w:r>
          <w:rPr>
            <w:rFonts w:asciiTheme="minorHAnsi" w:eastAsiaTheme="minorEastAsia" w:hAnsiTheme="minorHAnsi" w:cstheme="minorBidi"/>
            <w:noProof/>
            <w:sz w:val="22"/>
            <w:szCs w:val="22"/>
            <w:lang w:val="en-PH" w:eastAsia="en-PH"/>
          </w:rPr>
          <w:tab/>
        </w:r>
        <w:r w:rsidRPr="00274472">
          <w:rPr>
            <w:rStyle w:val="aff6"/>
            <w:noProof/>
          </w:rPr>
          <w:t>Social Baseline Assessment Methodology</w:t>
        </w:r>
        <w:r>
          <w:rPr>
            <w:noProof/>
            <w:webHidden/>
          </w:rPr>
          <w:tab/>
        </w:r>
        <w:r>
          <w:rPr>
            <w:noProof/>
            <w:webHidden/>
          </w:rPr>
          <w:fldChar w:fldCharType="begin"/>
        </w:r>
        <w:r>
          <w:rPr>
            <w:noProof/>
            <w:webHidden/>
          </w:rPr>
          <w:instrText xml:space="preserve"> PAGEREF _Toc210589448 \h </w:instrText>
        </w:r>
        <w:r>
          <w:rPr>
            <w:noProof/>
            <w:webHidden/>
          </w:rPr>
        </w:r>
        <w:r>
          <w:rPr>
            <w:noProof/>
            <w:webHidden/>
          </w:rPr>
          <w:fldChar w:fldCharType="separate"/>
        </w:r>
        <w:r>
          <w:rPr>
            <w:noProof/>
            <w:webHidden/>
          </w:rPr>
          <w:t>64</w:t>
        </w:r>
        <w:r>
          <w:rPr>
            <w:noProof/>
            <w:webHidden/>
          </w:rPr>
          <w:fldChar w:fldCharType="end"/>
        </w:r>
      </w:hyperlink>
    </w:p>
    <w:p w14:paraId="637463C0" w14:textId="79D19818"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4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5.4.2</w:t>
        </w:r>
        <w:r>
          <w:rPr>
            <w:rFonts w:asciiTheme="minorHAnsi" w:eastAsiaTheme="minorEastAsia" w:hAnsiTheme="minorHAnsi" w:cstheme="minorBidi"/>
            <w:noProof/>
            <w:sz w:val="22"/>
            <w:szCs w:val="22"/>
            <w:lang w:val="en-PH" w:eastAsia="en-PH"/>
          </w:rPr>
          <w:tab/>
        </w:r>
        <w:r w:rsidRPr="00274472">
          <w:rPr>
            <w:rStyle w:val="aff6"/>
            <w:noProof/>
          </w:rPr>
          <w:t>Social Risk Screening</w:t>
        </w:r>
        <w:r>
          <w:rPr>
            <w:noProof/>
            <w:webHidden/>
          </w:rPr>
          <w:tab/>
        </w:r>
        <w:r>
          <w:rPr>
            <w:noProof/>
            <w:webHidden/>
          </w:rPr>
          <w:fldChar w:fldCharType="begin"/>
        </w:r>
        <w:r>
          <w:rPr>
            <w:noProof/>
            <w:webHidden/>
          </w:rPr>
          <w:instrText xml:space="preserve"> PAGEREF _Toc210589449 \h </w:instrText>
        </w:r>
        <w:r>
          <w:rPr>
            <w:noProof/>
            <w:webHidden/>
          </w:rPr>
        </w:r>
        <w:r>
          <w:rPr>
            <w:noProof/>
            <w:webHidden/>
          </w:rPr>
          <w:fldChar w:fldCharType="separate"/>
        </w:r>
        <w:r>
          <w:rPr>
            <w:noProof/>
            <w:webHidden/>
          </w:rPr>
          <w:t>64</w:t>
        </w:r>
        <w:r>
          <w:rPr>
            <w:noProof/>
            <w:webHidden/>
          </w:rPr>
          <w:fldChar w:fldCharType="end"/>
        </w:r>
      </w:hyperlink>
    </w:p>
    <w:p w14:paraId="0323B41D" w14:textId="0C06AA73"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450" w:history="1">
        <w:r w:rsidRPr="00274472">
          <w:rPr>
            <w:rStyle w:val="aff6"/>
            <w:rFonts w:cs="Arial"/>
            <w:noProof/>
          </w:rPr>
          <w:t>6</w:t>
        </w:r>
        <w:r>
          <w:rPr>
            <w:rFonts w:asciiTheme="minorHAnsi" w:eastAsiaTheme="minorEastAsia" w:hAnsiTheme="minorHAnsi" w:cstheme="minorBidi"/>
            <w:b w:val="0"/>
            <w:noProof/>
            <w:sz w:val="22"/>
            <w:szCs w:val="22"/>
            <w:lang w:val="en-PH" w:eastAsia="en-PH"/>
          </w:rPr>
          <w:tab/>
        </w:r>
        <w:r w:rsidRPr="00274472">
          <w:rPr>
            <w:rStyle w:val="aff6"/>
            <w:rFonts w:cs="Arial"/>
            <w:noProof/>
          </w:rPr>
          <w:t>ENVIRONMENTAL AND SOCIAL BASELINE DATA</w:t>
        </w:r>
        <w:r>
          <w:rPr>
            <w:noProof/>
            <w:webHidden/>
          </w:rPr>
          <w:tab/>
        </w:r>
        <w:r>
          <w:rPr>
            <w:noProof/>
            <w:webHidden/>
          </w:rPr>
          <w:fldChar w:fldCharType="begin"/>
        </w:r>
        <w:r>
          <w:rPr>
            <w:noProof/>
            <w:webHidden/>
          </w:rPr>
          <w:instrText xml:space="preserve"> PAGEREF _Toc210589450 \h </w:instrText>
        </w:r>
        <w:r>
          <w:rPr>
            <w:noProof/>
            <w:webHidden/>
          </w:rPr>
        </w:r>
        <w:r>
          <w:rPr>
            <w:noProof/>
            <w:webHidden/>
          </w:rPr>
          <w:fldChar w:fldCharType="separate"/>
        </w:r>
        <w:r>
          <w:rPr>
            <w:noProof/>
            <w:webHidden/>
          </w:rPr>
          <w:t>66</w:t>
        </w:r>
        <w:r>
          <w:rPr>
            <w:noProof/>
            <w:webHidden/>
          </w:rPr>
          <w:fldChar w:fldCharType="end"/>
        </w:r>
      </w:hyperlink>
    </w:p>
    <w:p w14:paraId="0BC17D94" w14:textId="22302806" w:rsidR="008704B1" w:rsidRDefault="008704B1">
      <w:pPr>
        <w:pStyle w:val="25"/>
        <w:rPr>
          <w:rFonts w:asciiTheme="minorHAnsi" w:eastAsiaTheme="minorEastAsia" w:hAnsiTheme="minorHAnsi" w:cstheme="minorBidi"/>
          <w:noProof/>
          <w:color w:val="auto"/>
          <w:sz w:val="22"/>
          <w:szCs w:val="22"/>
          <w:lang w:val="en-PH" w:eastAsia="en-PH"/>
        </w:rPr>
      </w:pPr>
      <w:hyperlink w:anchor="_Toc210589451" w:history="1">
        <w:r w:rsidRPr="00274472">
          <w:rPr>
            <w:rStyle w:val="aff6"/>
            <w:noProof/>
          </w:rPr>
          <w:t>6.1</w:t>
        </w:r>
        <w:r>
          <w:rPr>
            <w:rFonts w:asciiTheme="minorHAnsi" w:eastAsiaTheme="minorEastAsia" w:hAnsiTheme="minorHAnsi" w:cstheme="minorBidi"/>
            <w:noProof/>
            <w:color w:val="auto"/>
            <w:sz w:val="22"/>
            <w:szCs w:val="22"/>
            <w:lang w:val="en-PH" w:eastAsia="en-PH"/>
          </w:rPr>
          <w:tab/>
        </w:r>
        <w:r w:rsidRPr="00274472">
          <w:rPr>
            <w:rStyle w:val="aff6"/>
            <w:noProof/>
          </w:rPr>
          <w:t>Environmental Data</w:t>
        </w:r>
        <w:r>
          <w:rPr>
            <w:noProof/>
            <w:webHidden/>
          </w:rPr>
          <w:tab/>
        </w:r>
        <w:r>
          <w:rPr>
            <w:noProof/>
            <w:webHidden/>
          </w:rPr>
          <w:fldChar w:fldCharType="begin"/>
        </w:r>
        <w:r>
          <w:rPr>
            <w:noProof/>
            <w:webHidden/>
          </w:rPr>
          <w:instrText xml:space="preserve"> PAGEREF _Toc210589451 \h </w:instrText>
        </w:r>
        <w:r>
          <w:rPr>
            <w:noProof/>
            <w:webHidden/>
          </w:rPr>
        </w:r>
        <w:r>
          <w:rPr>
            <w:noProof/>
            <w:webHidden/>
          </w:rPr>
          <w:fldChar w:fldCharType="separate"/>
        </w:r>
        <w:r>
          <w:rPr>
            <w:noProof/>
            <w:webHidden/>
          </w:rPr>
          <w:t>66</w:t>
        </w:r>
        <w:r>
          <w:rPr>
            <w:noProof/>
            <w:webHidden/>
          </w:rPr>
          <w:fldChar w:fldCharType="end"/>
        </w:r>
      </w:hyperlink>
    </w:p>
    <w:p w14:paraId="18FB3D5C" w14:textId="11D6F86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2"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6.1.1</w:t>
        </w:r>
        <w:r>
          <w:rPr>
            <w:rFonts w:asciiTheme="minorHAnsi" w:eastAsiaTheme="minorEastAsia" w:hAnsiTheme="minorHAnsi" w:cstheme="minorBidi"/>
            <w:noProof/>
            <w:sz w:val="22"/>
            <w:szCs w:val="22"/>
            <w:lang w:val="en-PH" w:eastAsia="en-PH"/>
          </w:rPr>
          <w:tab/>
        </w:r>
        <w:r w:rsidRPr="00274472">
          <w:rPr>
            <w:rStyle w:val="aff6"/>
            <w:noProof/>
          </w:rPr>
          <w:t>Physical Environmental</w:t>
        </w:r>
        <w:r>
          <w:rPr>
            <w:noProof/>
            <w:webHidden/>
          </w:rPr>
          <w:tab/>
        </w:r>
        <w:r>
          <w:rPr>
            <w:noProof/>
            <w:webHidden/>
          </w:rPr>
          <w:fldChar w:fldCharType="begin"/>
        </w:r>
        <w:r>
          <w:rPr>
            <w:noProof/>
            <w:webHidden/>
          </w:rPr>
          <w:instrText xml:space="preserve"> PAGEREF _Toc210589452 \h </w:instrText>
        </w:r>
        <w:r>
          <w:rPr>
            <w:noProof/>
            <w:webHidden/>
          </w:rPr>
        </w:r>
        <w:r>
          <w:rPr>
            <w:noProof/>
            <w:webHidden/>
          </w:rPr>
          <w:fldChar w:fldCharType="separate"/>
        </w:r>
        <w:r>
          <w:rPr>
            <w:noProof/>
            <w:webHidden/>
          </w:rPr>
          <w:t>66</w:t>
        </w:r>
        <w:r>
          <w:rPr>
            <w:noProof/>
            <w:webHidden/>
          </w:rPr>
          <w:fldChar w:fldCharType="end"/>
        </w:r>
      </w:hyperlink>
    </w:p>
    <w:p w14:paraId="796DAB6E" w14:textId="4859F4A3"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6.1.2</w:t>
        </w:r>
        <w:r>
          <w:rPr>
            <w:rFonts w:asciiTheme="minorHAnsi" w:eastAsiaTheme="minorEastAsia" w:hAnsiTheme="minorHAnsi" w:cstheme="minorBidi"/>
            <w:noProof/>
            <w:sz w:val="22"/>
            <w:szCs w:val="22"/>
            <w:lang w:val="en-PH" w:eastAsia="en-PH"/>
          </w:rPr>
          <w:tab/>
        </w:r>
        <w:r w:rsidRPr="00274472">
          <w:rPr>
            <w:rStyle w:val="aff6"/>
            <w:noProof/>
          </w:rPr>
          <w:t>Geography and Landscape</w:t>
        </w:r>
        <w:r>
          <w:rPr>
            <w:noProof/>
            <w:webHidden/>
          </w:rPr>
          <w:tab/>
        </w:r>
        <w:r>
          <w:rPr>
            <w:noProof/>
            <w:webHidden/>
          </w:rPr>
          <w:fldChar w:fldCharType="begin"/>
        </w:r>
        <w:r>
          <w:rPr>
            <w:noProof/>
            <w:webHidden/>
          </w:rPr>
          <w:instrText xml:space="preserve"> PAGEREF _Toc210589453 \h </w:instrText>
        </w:r>
        <w:r>
          <w:rPr>
            <w:noProof/>
            <w:webHidden/>
          </w:rPr>
        </w:r>
        <w:r>
          <w:rPr>
            <w:noProof/>
            <w:webHidden/>
          </w:rPr>
          <w:fldChar w:fldCharType="separate"/>
        </w:r>
        <w:r>
          <w:rPr>
            <w:noProof/>
            <w:webHidden/>
          </w:rPr>
          <w:t>66</w:t>
        </w:r>
        <w:r>
          <w:rPr>
            <w:noProof/>
            <w:webHidden/>
          </w:rPr>
          <w:fldChar w:fldCharType="end"/>
        </w:r>
      </w:hyperlink>
    </w:p>
    <w:p w14:paraId="7F5694AE" w14:textId="2AAC726A"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4"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6.1.3</w:t>
        </w:r>
        <w:r>
          <w:rPr>
            <w:rFonts w:asciiTheme="minorHAnsi" w:eastAsiaTheme="minorEastAsia" w:hAnsiTheme="minorHAnsi" w:cstheme="minorBidi"/>
            <w:noProof/>
            <w:sz w:val="22"/>
            <w:szCs w:val="22"/>
            <w:lang w:val="en-PH" w:eastAsia="en-PH"/>
          </w:rPr>
          <w:tab/>
        </w:r>
        <w:r w:rsidRPr="00274472">
          <w:rPr>
            <w:rStyle w:val="aff6"/>
            <w:noProof/>
          </w:rPr>
          <w:t>Climate and Meteorology</w:t>
        </w:r>
        <w:r>
          <w:rPr>
            <w:noProof/>
            <w:webHidden/>
          </w:rPr>
          <w:tab/>
        </w:r>
        <w:r>
          <w:rPr>
            <w:noProof/>
            <w:webHidden/>
          </w:rPr>
          <w:fldChar w:fldCharType="begin"/>
        </w:r>
        <w:r>
          <w:rPr>
            <w:noProof/>
            <w:webHidden/>
          </w:rPr>
          <w:instrText xml:space="preserve"> PAGEREF _Toc210589454 \h </w:instrText>
        </w:r>
        <w:r>
          <w:rPr>
            <w:noProof/>
            <w:webHidden/>
          </w:rPr>
        </w:r>
        <w:r>
          <w:rPr>
            <w:noProof/>
            <w:webHidden/>
          </w:rPr>
          <w:fldChar w:fldCharType="separate"/>
        </w:r>
        <w:r>
          <w:rPr>
            <w:noProof/>
            <w:webHidden/>
          </w:rPr>
          <w:t>66</w:t>
        </w:r>
        <w:r>
          <w:rPr>
            <w:noProof/>
            <w:webHidden/>
          </w:rPr>
          <w:fldChar w:fldCharType="end"/>
        </w:r>
      </w:hyperlink>
    </w:p>
    <w:p w14:paraId="3792C73B" w14:textId="339488A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6.1.4</w:t>
        </w:r>
        <w:r>
          <w:rPr>
            <w:rFonts w:asciiTheme="minorHAnsi" w:eastAsiaTheme="minorEastAsia" w:hAnsiTheme="minorHAnsi" w:cstheme="minorBidi"/>
            <w:noProof/>
            <w:sz w:val="22"/>
            <w:szCs w:val="22"/>
            <w:lang w:val="en-PH" w:eastAsia="en-PH"/>
          </w:rPr>
          <w:tab/>
        </w:r>
        <w:r w:rsidRPr="00274472">
          <w:rPr>
            <w:rStyle w:val="aff6"/>
            <w:noProof/>
          </w:rPr>
          <w:t>Soils and Geology</w:t>
        </w:r>
        <w:r>
          <w:rPr>
            <w:noProof/>
            <w:webHidden/>
          </w:rPr>
          <w:tab/>
        </w:r>
        <w:r>
          <w:rPr>
            <w:noProof/>
            <w:webHidden/>
          </w:rPr>
          <w:fldChar w:fldCharType="begin"/>
        </w:r>
        <w:r>
          <w:rPr>
            <w:noProof/>
            <w:webHidden/>
          </w:rPr>
          <w:instrText xml:space="preserve"> PAGEREF _Toc210589455 \h </w:instrText>
        </w:r>
        <w:r>
          <w:rPr>
            <w:noProof/>
            <w:webHidden/>
          </w:rPr>
        </w:r>
        <w:r>
          <w:rPr>
            <w:noProof/>
            <w:webHidden/>
          </w:rPr>
          <w:fldChar w:fldCharType="separate"/>
        </w:r>
        <w:r>
          <w:rPr>
            <w:noProof/>
            <w:webHidden/>
          </w:rPr>
          <w:t>66</w:t>
        </w:r>
        <w:r>
          <w:rPr>
            <w:noProof/>
            <w:webHidden/>
          </w:rPr>
          <w:fldChar w:fldCharType="end"/>
        </w:r>
      </w:hyperlink>
    </w:p>
    <w:p w14:paraId="14F1EB31" w14:textId="4A3182AB"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6.1.5</w:t>
        </w:r>
        <w:r>
          <w:rPr>
            <w:rFonts w:asciiTheme="minorHAnsi" w:eastAsiaTheme="minorEastAsia" w:hAnsiTheme="minorHAnsi" w:cstheme="minorBidi"/>
            <w:noProof/>
            <w:sz w:val="22"/>
            <w:szCs w:val="22"/>
            <w:lang w:val="en-PH" w:eastAsia="en-PH"/>
          </w:rPr>
          <w:tab/>
        </w:r>
        <w:r w:rsidRPr="00274472">
          <w:rPr>
            <w:rStyle w:val="aff6"/>
            <w:noProof/>
          </w:rPr>
          <w:t>Hydrology and Water Resources</w:t>
        </w:r>
        <w:r>
          <w:rPr>
            <w:noProof/>
            <w:webHidden/>
          </w:rPr>
          <w:tab/>
        </w:r>
        <w:r>
          <w:rPr>
            <w:noProof/>
            <w:webHidden/>
          </w:rPr>
          <w:fldChar w:fldCharType="begin"/>
        </w:r>
        <w:r>
          <w:rPr>
            <w:noProof/>
            <w:webHidden/>
          </w:rPr>
          <w:instrText xml:space="preserve"> PAGEREF _Toc210589456 \h </w:instrText>
        </w:r>
        <w:r>
          <w:rPr>
            <w:noProof/>
            <w:webHidden/>
          </w:rPr>
        </w:r>
        <w:r>
          <w:rPr>
            <w:noProof/>
            <w:webHidden/>
          </w:rPr>
          <w:fldChar w:fldCharType="separate"/>
        </w:r>
        <w:r>
          <w:rPr>
            <w:noProof/>
            <w:webHidden/>
          </w:rPr>
          <w:t>67</w:t>
        </w:r>
        <w:r>
          <w:rPr>
            <w:noProof/>
            <w:webHidden/>
          </w:rPr>
          <w:fldChar w:fldCharType="end"/>
        </w:r>
      </w:hyperlink>
    </w:p>
    <w:p w14:paraId="1FD87897" w14:textId="26746540"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7"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6.1.6</w:t>
        </w:r>
        <w:r>
          <w:rPr>
            <w:rFonts w:asciiTheme="minorHAnsi" w:eastAsiaTheme="minorEastAsia" w:hAnsiTheme="minorHAnsi" w:cstheme="minorBidi"/>
            <w:noProof/>
            <w:sz w:val="22"/>
            <w:szCs w:val="22"/>
            <w:lang w:val="en-PH" w:eastAsia="en-PH"/>
          </w:rPr>
          <w:tab/>
        </w:r>
        <w:r w:rsidRPr="00274472">
          <w:rPr>
            <w:rStyle w:val="aff6"/>
            <w:noProof/>
          </w:rPr>
          <w:t>Air Quality and Noise</w:t>
        </w:r>
        <w:r>
          <w:rPr>
            <w:noProof/>
            <w:webHidden/>
          </w:rPr>
          <w:tab/>
        </w:r>
        <w:r>
          <w:rPr>
            <w:noProof/>
            <w:webHidden/>
          </w:rPr>
          <w:fldChar w:fldCharType="begin"/>
        </w:r>
        <w:r>
          <w:rPr>
            <w:noProof/>
            <w:webHidden/>
          </w:rPr>
          <w:instrText xml:space="preserve"> PAGEREF _Toc210589457 \h </w:instrText>
        </w:r>
        <w:r>
          <w:rPr>
            <w:noProof/>
            <w:webHidden/>
          </w:rPr>
        </w:r>
        <w:r>
          <w:rPr>
            <w:noProof/>
            <w:webHidden/>
          </w:rPr>
          <w:fldChar w:fldCharType="separate"/>
        </w:r>
        <w:r>
          <w:rPr>
            <w:noProof/>
            <w:webHidden/>
          </w:rPr>
          <w:t>67</w:t>
        </w:r>
        <w:r>
          <w:rPr>
            <w:noProof/>
            <w:webHidden/>
          </w:rPr>
          <w:fldChar w:fldCharType="end"/>
        </w:r>
      </w:hyperlink>
    </w:p>
    <w:p w14:paraId="4E96FEC3" w14:textId="36AD0A14"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6.1.7</w:t>
        </w:r>
        <w:r>
          <w:rPr>
            <w:rFonts w:asciiTheme="minorHAnsi" w:eastAsiaTheme="minorEastAsia" w:hAnsiTheme="minorHAnsi" w:cstheme="minorBidi"/>
            <w:noProof/>
            <w:sz w:val="22"/>
            <w:szCs w:val="22"/>
            <w:lang w:val="en-PH" w:eastAsia="en-PH"/>
          </w:rPr>
          <w:tab/>
        </w:r>
        <w:r w:rsidRPr="00274472">
          <w:rPr>
            <w:rStyle w:val="aff6"/>
            <w:noProof/>
          </w:rPr>
          <w:t>Natural Hazards and Sensitivities</w:t>
        </w:r>
        <w:r>
          <w:rPr>
            <w:noProof/>
            <w:webHidden/>
          </w:rPr>
          <w:tab/>
        </w:r>
        <w:r>
          <w:rPr>
            <w:noProof/>
            <w:webHidden/>
          </w:rPr>
          <w:fldChar w:fldCharType="begin"/>
        </w:r>
        <w:r>
          <w:rPr>
            <w:noProof/>
            <w:webHidden/>
          </w:rPr>
          <w:instrText xml:space="preserve"> PAGEREF _Toc210589458 \h </w:instrText>
        </w:r>
        <w:r>
          <w:rPr>
            <w:noProof/>
            <w:webHidden/>
          </w:rPr>
        </w:r>
        <w:r>
          <w:rPr>
            <w:noProof/>
            <w:webHidden/>
          </w:rPr>
          <w:fldChar w:fldCharType="separate"/>
        </w:r>
        <w:r>
          <w:rPr>
            <w:noProof/>
            <w:webHidden/>
          </w:rPr>
          <w:t>67</w:t>
        </w:r>
        <w:r>
          <w:rPr>
            <w:noProof/>
            <w:webHidden/>
          </w:rPr>
          <w:fldChar w:fldCharType="end"/>
        </w:r>
      </w:hyperlink>
    </w:p>
    <w:p w14:paraId="11B86ABD" w14:textId="0AFFF551"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5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6.1.8</w:t>
        </w:r>
        <w:r>
          <w:rPr>
            <w:rFonts w:asciiTheme="minorHAnsi" w:eastAsiaTheme="minorEastAsia" w:hAnsiTheme="minorHAnsi" w:cstheme="minorBidi"/>
            <w:noProof/>
            <w:sz w:val="22"/>
            <w:szCs w:val="22"/>
            <w:lang w:val="en-PH" w:eastAsia="en-PH"/>
          </w:rPr>
          <w:tab/>
        </w:r>
        <w:r w:rsidRPr="00274472">
          <w:rPr>
            <w:rStyle w:val="aff6"/>
            <w:noProof/>
          </w:rPr>
          <w:t>Biodiversity</w:t>
        </w:r>
        <w:r>
          <w:rPr>
            <w:noProof/>
            <w:webHidden/>
          </w:rPr>
          <w:tab/>
        </w:r>
        <w:r>
          <w:rPr>
            <w:noProof/>
            <w:webHidden/>
          </w:rPr>
          <w:fldChar w:fldCharType="begin"/>
        </w:r>
        <w:r>
          <w:rPr>
            <w:noProof/>
            <w:webHidden/>
          </w:rPr>
          <w:instrText xml:space="preserve"> PAGEREF _Toc210589459 \h </w:instrText>
        </w:r>
        <w:r>
          <w:rPr>
            <w:noProof/>
            <w:webHidden/>
          </w:rPr>
        </w:r>
        <w:r>
          <w:rPr>
            <w:noProof/>
            <w:webHidden/>
          </w:rPr>
          <w:fldChar w:fldCharType="separate"/>
        </w:r>
        <w:r>
          <w:rPr>
            <w:noProof/>
            <w:webHidden/>
          </w:rPr>
          <w:t>67</w:t>
        </w:r>
        <w:r>
          <w:rPr>
            <w:noProof/>
            <w:webHidden/>
          </w:rPr>
          <w:fldChar w:fldCharType="end"/>
        </w:r>
      </w:hyperlink>
    </w:p>
    <w:p w14:paraId="6AE39DB7" w14:textId="2BF0EDF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6.1.9</w:t>
        </w:r>
        <w:r>
          <w:rPr>
            <w:rFonts w:asciiTheme="minorHAnsi" w:eastAsiaTheme="minorEastAsia" w:hAnsiTheme="minorHAnsi" w:cstheme="minorBidi"/>
            <w:noProof/>
            <w:sz w:val="22"/>
            <w:szCs w:val="22"/>
            <w:lang w:val="en-PH" w:eastAsia="en-PH"/>
          </w:rPr>
          <w:tab/>
        </w:r>
        <w:r w:rsidRPr="00274472">
          <w:rPr>
            <w:rStyle w:val="aff6"/>
            <w:noProof/>
          </w:rPr>
          <w:t>Protected Areas and Key Biodiversity Areas</w:t>
        </w:r>
        <w:r>
          <w:rPr>
            <w:noProof/>
            <w:webHidden/>
          </w:rPr>
          <w:tab/>
        </w:r>
        <w:r>
          <w:rPr>
            <w:noProof/>
            <w:webHidden/>
          </w:rPr>
          <w:fldChar w:fldCharType="begin"/>
        </w:r>
        <w:r>
          <w:rPr>
            <w:noProof/>
            <w:webHidden/>
          </w:rPr>
          <w:instrText xml:space="preserve"> PAGEREF _Toc210589460 \h </w:instrText>
        </w:r>
        <w:r>
          <w:rPr>
            <w:noProof/>
            <w:webHidden/>
          </w:rPr>
        </w:r>
        <w:r>
          <w:rPr>
            <w:noProof/>
            <w:webHidden/>
          </w:rPr>
          <w:fldChar w:fldCharType="separate"/>
        </w:r>
        <w:r>
          <w:rPr>
            <w:noProof/>
            <w:webHidden/>
          </w:rPr>
          <w:t>68</w:t>
        </w:r>
        <w:r>
          <w:rPr>
            <w:noProof/>
            <w:webHidden/>
          </w:rPr>
          <w:fldChar w:fldCharType="end"/>
        </w:r>
      </w:hyperlink>
    </w:p>
    <w:p w14:paraId="39265324" w14:textId="24832D0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6.1.10</w:t>
        </w:r>
        <w:r>
          <w:rPr>
            <w:rFonts w:asciiTheme="minorHAnsi" w:eastAsiaTheme="minorEastAsia" w:hAnsiTheme="minorHAnsi" w:cstheme="minorBidi"/>
            <w:noProof/>
            <w:sz w:val="22"/>
            <w:szCs w:val="22"/>
            <w:lang w:val="en-PH" w:eastAsia="en-PH"/>
          </w:rPr>
          <w:tab/>
        </w:r>
        <w:r w:rsidRPr="00274472">
          <w:rPr>
            <w:rStyle w:val="aff6"/>
            <w:noProof/>
          </w:rPr>
          <w:t>The Andasai Nature Sanctuary</w:t>
        </w:r>
        <w:r>
          <w:rPr>
            <w:noProof/>
            <w:webHidden/>
          </w:rPr>
          <w:tab/>
        </w:r>
        <w:r>
          <w:rPr>
            <w:noProof/>
            <w:webHidden/>
          </w:rPr>
          <w:fldChar w:fldCharType="begin"/>
        </w:r>
        <w:r>
          <w:rPr>
            <w:noProof/>
            <w:webHidden/>
          </w:rPr>
          <w:instrText xml:space="preserve"> PAGEREF _Toc210589461 \h </w:instrText>
        </w:r>
        <w:r>
          <w:rPr>
            <w:noProof/>
            <w:webHidden/>
          </w:rPr>
        </w:r>
        <w:r>
          <w:rPr>
            <w:noProof/>
            <w:webHidden/>
          </w:rPr>
          <w:fldChar w:fldCharType="separate"/>
        </w:r>
        <w:r>
          <w:rPr>
            <w:noProof/>
            <w:webHidden/>
          </w:rPr>
          <w:t>70</w:t>
        </w:r>
        <w:r>
          <w:rPr>
            <w:noProof/>
            <w:webHidden/>
          </w:rPr>
          <w:fldChar w:fldCharType="end"/>
        </w:r>
      </w:hyperlink>
    </w:p>
    <w:p w14:paraId="0E506805" w14:textId="2EA91186"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2"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6.1.11</w:t>
        </w:r>
        <w:r>
          <w:rPr>
            <w:rFonts w:asciiTheme="minorHAnsi" w:eastAsiaTheme="minorEastAsia" w:hAnsiTheme="minorHAnsi" w:cstheme="minorBidi"/>
            <w:noProof/>
            <w:sz w:val="22"/>
            <w:szCs w:val="22"/>
            <w:lang w:val="en-PH" w:eastAsia="en-PH"/>
          </w:rPr>
          <w:tab/>
        </w:r>
        <w:r w:rsidRPr="00274472">
          <w:rPr>
            <w:rStyle w:val="aff6"/>
            <w:noProof/>
          </w:rPr>
          <w:t>Natural, Modified and Critical Habitat</w:t>
        </w:r>
        <w:r>
          <w:rPr>
            <w:noProof/>
            <w:webHidden/>
          </w:rPr>
          <w:tab/>
        </w:r>
        <w:r>
          <w:rPr>
            <w:noProof/>
            <w:webHidden/>
          </w:rPr>
          <w:fldChar w:fldCharType="begin"/>
        </w:r>
        <w:r>
          <w:rPr>
            <w:noProof/>
            <w:webHidden/>
          </w:rPr>
          <w:instrText xml:space="preserve"> PAGEREF _Toc210589462 \h </w:instrText>
        </w:r>
        <w:r>
          <w:rPr>
            <w:noProof/>
            <w:webHidden/>
          </w:rPr>
        </w:r>
        <w:r>
          <w:rPr>
            <w:noProof/>
            <w:webHidden/>
          </w:rPr>
          <w:fldChar w:fldCharType="separate"/>
        </w:r>
        <w:r>
          <w:rPr>
            <w:noProof/>
            <w:webHidden/>
          </w:rPr>
          <w:t>71</w:t>
        </w:r>
        <w:r>
          <w:rPr>
            <w:noProof/>
            <w:webHidden/>
          </w:rPr>
          <w:fldChar w:fldCharType="end"/>
        </w:r>
      </w:hyperlink>
    </w:p>
    <w:p w14:paraId="3DB3366C" w14:textId="4F27D6DF"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6.1.12</w:t>
        </w:r>
        <w:r>
          <w:rPr>
            <w:rFonts w:asciiTheme="minorHAnsi" w:eastAsiaTheme="minorEastAsia" w:hAnsiTheme="minorHAnsi" w:cstheme="minorBidi"/>
            <w:noProof/>
            <w:sz w:val="22"/>
            <w:szCs w:val="22"/>
            <w:lang w:val="en-PH" w:eastAsia="en-PH"/>
          </w:rPr>
          <w:tab/>
        </w:r>
        <w:r w:rsidRPr="00274472">
          <w:rPr>
            <w:rStyle w:val="aff6"/>
            <w:noProof/>
          </w:rPr>
          <w:t>Biological Features</w:t>
        </w:r>
        <w:r>
          <w:rPr>
            <w:noProof/>
            <w:webHidden/>
          </w:rPr>
          <w:tab/>
        </w:r>
        <w:r>
          <w:rPr>
            <w:noProof/>
            <w:webHidden/>
          </w:rPr>
          <w:fldChar w:fldCharType="begin"/>
        </w:r>
        <w:r>
          <w:rPr>
            <w:noProof/>
            <w:webHidden/>
          </w:rPr>
          <w:instrText xml:space="preserve"> PAGEREF _Toc210589463 \h </w:instrText>
        </w:r>
        <w:r>
          <w:rPr>
            <w:noProof/>
            <w:webHidden/>
          </w:rPr>
        </w:r>
        <w:r>
          <w:rPr>
            <w:noProof/>
            <w:webHidden/>
          </w:rPr>
          <w:fldChar w:fldCharType="separate"/>
        </w:r>
        <w:r>
          <w:rPr>
            <w:noProof/>
            <w:webHidden/>
          </w:rPr>
          <w:t>77</w:t>
        </w:r>
        <w:r>
          <w:rPr>
            <w:noProof/>
            <w:webHidden/>
          </w:rPr>
          <w:fldChar w:fldCharType="end"/>
        </w:r>
      </w:hyperlink>
    </w:p>
    <w:p w14:paraId="1F3BA654" w14:textId="64882439" w:rsidR="008704B1" w:rsidRDefault="008704B1">
      <w:pPr>
        <w:pStyle w:val="43"/>
        <w:rPr>
          <w:rFonts w:asciiTheme="minorHAnsi" w:eastAsiaTheme="minorEastAsia" w:hAnsiTheme="minorHAnsi" w:cstheme="minorBidi"/>
          <w:noProof/>
          <w:sz w:val="22"/>
          <w:szCs w:val="22"/>
          <w:lang w:val="en-PH" w:eastAsia="en-PH"/>
        </w:rPr>
      </w:pPr>
      <w:hyperlink w:anchor="_Toc210589464" w:history="1">
        <w:r w:rsidRPr="00274472">
          <w:rPr>
            <w:rStyle w:val="aff6"/>
            <w:noProof/>
          </w:rPr>
          <w:t>6.1.12.1</w:t>
        </w:r>
        <w:r>
          <w:rPr>
            <w:rFonts w:asciiTheme="minorHAnsi" w:eastAsiaTheme="minorEastAsia" w:hAnsiTheme="minorHAnsi" w:cstheme="minorBidi"/>
            <w:noProof/>
            <w:sz w:val="22"/>
            <w:szCs w:val="22"/>
            <w:lang w:val="en-PH" w:eastAsia="en-PH"/>
          </w:rPr>
          <w:tab/>
        </w:r>
        <w:r w:rsidRPr="00274472">
          <w:rPr>
            <w:rStyle w:val="aff6"/>
            <w:noProof/>
          </w:rPr>
          <w:t>Fauna</w:t>
        </w:r>
        <w:r>
          <w:rPr>
            <w:noProof/>
            <w:webHidden/>
          </w:rPr>
          <w:tab/>
        </w:r>
        <w:r>
          <w:rPr>
            <w:noProof/>
            <w:webHidden/>
          </w:rPr>
          <w:fldChar w:fldCharType="begin"/>
        </w:r>
        <w:r>
          <w:rPr>
            <w:noProof/>
            <w:webHidden/>
          </w:rPr>
          <w:instrText xml:space="preserve"> PAGEREF _Toc210589464 \h </w:instrText>
        </w:r>
        <w:r>
          <w:rPr>
            <w:noProof/>
            <w:webHidden/>
          </w:rPr>
        </w:r>
        <w:r>
          <w:rPr>
            <w:noProof/>
            <w:webHidden/>
          </w:rPr>
          <w:fldChar w:fldCharType="separate"/>
        </w:r>
        <w:r>
          <w:rPr>
            <w:noProof/>
            <w:webHidden/>
          </w:rPr>
          <w:t>78</w:t>
        </w:r>
        <w:r>
          <w:rPr>
            <w:noProof/>
            <w:webHidden/>
          </w:rPr>
          <w:fldChar w:fldCharType="end"/>
        </w:r>
      </w:hyperlink>
    </w:p>
    <w:p w14:paraId="4E6896DE" w14:textId="17870283" w:rsidR="008704B1" w:rsidRDefault="008704B1">
      <w:pPr>
        <w:pStyle w:val="43"/>
        <w:rPr>
          <w:rFonts w:asciiTheme="minorHAnsi" w:eastAsiaTheme="minorEastAsia" w:hAnsiTheme="minorHAnsi" w:cstheme="minorBidi"/>
          <w:noProof/>
          <w:sz w:val="22"/>
          <w:szCs w:val="22"/>
          <w:lang w:val="en-PH" w:eastAsia="en-PH"/>
        </w:rPr>
      </w:pPr>
      <w:hyperlink w:anchor="_Toc210589465" w:history="1">
        <w:r w:rsidRPr="00274472">
          <w:rPr>
            <w:rStyle w:val="aff6"/>
            <w:noProof/>
          </w:rPr>
          <w:t>6.1.12.2</w:t>
        </w:r>
        <w:r>
          <w:rPr>
            <w:rFonts w:asciiTheme="minorHAnsi" w:eastAsiaTheme="minorEastAsia" w:hAnsiTheme="minorHAnsi" w:cstheme="minorBidi"/>
            <w:noProof/>
            <w:sz w:val="22"/>
            <w:szCs w:val="22"/>
            <w:lang w:val="en-PH" w:eastAsia="en-PH"/>
          </w:rPr>
          <w:tab/>
        </w:r>
        <w:r w:rsidRPr="00274472">
          <w:rPr>
            <w:rStyle w:val="aff6"/>
            <w:noProof/>
          </w:rPr>
          <w:t>Flora</w:t>
        </w:r>
        <w:r>
          <w:rPr>
            <w:noProof/>
            <w:webHidden/>
          </w:rPr>
          <w:tab/>
        </w:r>
        <w:r>
          <w:rPr>
            <w:noProof/>
            <w:webHidden/>
          </w:rPr>
          <w:fldChar w:fldCharType="begin"/>
        </w:r>
        <w:r>
          <w:rPr>
            <w:noProof/>
            <w:webHidden/>
          </w:rPr>
          <w:instrText xml:space="preserve"> PAGEREF _Toc210589465 \h </w:instrText>
        </w:r>
        <w:r>
          <w:rPr>
            <w:noProof/>
            <w:webHidden/>
          </w:rPr>
        </w:r>
        <w:r>
          <w:rPr>
            <w:noProof/>
            <w:webHidden/>
          </w:rPr>
          <w:fldChar w:fldCharType="separate"/>
        </w:r>
        <w:r>
          <w:rPr>
            <w:noProof/>
            <w:webHidden/>
          </w:rPr>
          <w:t>79</w:t>
        </w:r>
        <w:r>
          <w:rPr>
            <w:noProof/>
            <w:webHidden/>
          </w:rPr>
          <w:fldChar w:fldCharType="end"/>
        </w:r>
      </w:hyperlink>
    </w:p>
    <w:p w14:paraId="1D709EE3" w14:textId="54087293"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6.1.13</w:t>
        </w:r>
        <w:r>
          <w:rPr>
            <w:rFonts w:asciiTheme="minorHAnsi" w:eastAsiaTheme="minorEastAsia" w:hAnsiTheme="minorHAnsi" w:cstheme="minorBidi"/>
            <w:noProof/>
            <w:sz w:val="22"/>
            <w:szCs w:val="22"/>
            <w:lang w:val="en-PH" w:eastAsia="en-PH"/>
          </w:rPr>
          <w:tab/>
        </w:r>
        <w:r w:rsidRPr="00274472">
          <w:rPr>
            <w:rStyle w:val="aff6"/>
            <w:noProof/>
          </w:rPr>
          <w:t>Habitat Types Along the Alignment</w:t>
        </w:r>
        <w:r>
          <w:rPr>
            <w:noProof/>
            <w:webHidden/>
          </w:rPr>
          <w:tab/>
        </w:r>
        <w:r>
          <w:rPr>
            <w:noProof/>
            <w:webHidden/>
          </w:rPr>
          <w:fldChar w:fldCharType="begin"/>
        </w:r>
        <w:r>
          <w:rPr>
            <w:noProof/>
            <w:webHidden/>
          </w:rPr>
          <w:instrText xml:space="preserve"> PAGEREF _Toc210589466 \h </w:instrText>
        </w:r>
        <w:r>
          <w:rPr>
            <w:noProof/>
            <w:webHidden/>
          </w:rPr>
        </w:r>
        <w:r>
          <w:rPr>
            <w:noProof/>
            <w:webHidden/>
          </w:rPr>
          <w:fldChar w:fldCharType="separate"/>
        </w:r>
        <w:r>
          <w:rPr>
            <w:noProof/>
            <w:webHidden/>
          </w:rPr>
          <w:t>79</w:t>
        </w:r>
        <w:r>
          <w:rPr>
            <w:noProof/>
            <w:webHidden/>
          </w:rPr>
          <w:fldChar w:fldCharType="end"/>
        </w:r>
      </w:hyperlink>
    </w:p>
    <w:p w14:paraId="048C34F3" w14:textId="5A2AC7FA"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7"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6.1.14</w:t>
        </w:r>
        <w:r>
          <w:rPr>
            <w:rFonts w:asciiTheme="minorHAnsi" w:eastAsiaTheme="minorEastAsia" w:hAnsiTheme="minorHAnsi" w:cstheme="minorBidi"/>
            <w:noProof/>
            <w:sz w:val="22"/>
            <w:szCs w:val="22"/>
            <w:lang w:val="en-PH" w:eastAsia="en-PH"/>
          </w:rPr>
          <w:tab/>
        </w:r>
        <w:r w:rsidRPr="00274472">
          <w:rPr>
            <w:rStyle w:val="aff6"/>
            <w:noProof/>
          </w:rPr>
          <w:t>Ecological Sensitivities</w:t>
        </w:r>
        <w:r>
          <w:rPr>
            <w:noProof/>
            <w:webHidden/>
          </w:rPr>
          <w:tab/>
        </w:r>
        <w:r>
          <w:rPr>
            <w:noProof/>
            <w:webHidden/>
          </w:rPr>
          <w:fldChar w:fldCharType="begin"/>
        </w:r>
        <w:r>
          <w:rPr>
            <w:noProof/>
            <w:webHidden/>
          </w:rPr>
          <w:instrText xml:space="preserve"> PAGEREF _Toc210589467 \h </w:instrText>
        </w:r>
        <w:r>
          <w:rPr>
            <w:noProof/>
            <w:webHidden/>
          </w:rPr>
        </w:r>
        <w:r>
          <w:rPr>
            <w:noProof/>
            <w:webHidden/>
          </w:rPr>
          <w:fldChar w:fldCharType="separate"/>
        </w:r>
        <w:r>
          <w:rPr>
            <w:noProof/>
            <w:webHidden/>
          </w:rPr>
          <w:t>80</w:t>
        </w:r>
        <w:r>
          <w:rPr>
            <w:noProof/>
            <w:webHidden/>
          </w:rPr>
          <w:fldChar w:fldCharType="end"/>
        </w:r>
      </w:hyperlink>
    </w:p>
    <w:p w14:paraId="11D7F086" w14:textId="077C116A" w:rsidR="008704B1" w:rsidRDefault="008704B1">
      <w:pPr>
        <w:pStyle w:val="25"/>
        <w:rPr>
          <w:rFonts w:asciiTheme="minorHAnsi" w:eastAsiaTheme="minorEastAsia" w:hAnsiTheme="minorHAnsi" w:cstheme="minorBidi"/>
          <w:noProof/>
          <w:color w:val="auto"/>
          <w:sz w:val="22"/>
          <w:szCs w:val="22"/>
          <w:lang w:val="en-PH" w:eastAsia="en-PH"/>
        </w:rPr>
      </w:pPr>
      <w:hyperlink w:anchor="_Toc210589468" w:history="1">
        <w:r w:rsidRPr="00274472">
          <w:rPr>
            <w:rStyle w:val="aff6"/>
            <w:noProof/>
          </w:rPr>
          <w:t>6.2</w:t>
        </w:r>
        <w:r>
          <w:rPr>
            <w:rFonts w:asciiTheme="minorHAnsi" w:eastAsiaTheme="minorEastAsia" w:hAnsiTheme="minorHAnsi" w:cstheme="minorBidi"/>
            <w:noProof/>
            <w:color w:val="auto"/>
            <w:sz w:val="22"/>
            <w:szCs w:val="22"/>
            <w:lang w:val="en-PH" w:eastAsia="en-PH"/>
          </w:rPr>
          <w:tab/>
        </w:r>
        <w:r w:rsidRPr="00274472">
          <w:rPr>
            <w:rStyle w:val="aff6"/>
            <w:noProof/>
          </w:rPr>
          <w:t>Measured Parameters</w:t>
        </w:r>
        <w:r>
          <w:rPr>
            <w:noProof/>
            <w:webHidden/>
          </w:rPr>
          <w:tab/>
        </w:r>
        <w:r>
          <w:rPr>
            <w:noProof/>
            <w:webHidden/>
          </w:rPr>
          <w:fldChar w:fldCharType="begin"/>
        </w:r>
        <w:r>
          <w:rPr>
            <w:noProof/>
            <w:webHidden/>
          </w:rPr>
          <w:instrText xml:space="preserve"> PAGEREF _Toc210589468 \h </w:instrText>
        </w:r>
        <w:r>
          <w:rPr>
            <w:noProof/>
            <w:webHidden/>
          </w:rPr>
        </w:r>
        <w:r>
          <w:rPr>
            <w:noProof/>
            <w:webHidden/>
          </w:rPr>
          <w:fldChar w:fldCharType="separate"/>
        </w:r>
        <w:r>
          <w:rPr>
            <w:noProof/>
            <w:webHidden/>
          </w:rPr>
          <w:t>80</w:t>
        </w:r>
        <w:r>
          <w:rPr>
            <w:noProof/>
            <w:webHidden/>
          </w:rPr>
          <w:fldChar w:fldCharType="end"/>
        </w:r>
      </w:hyperlink>
    </w:p>
    <w:p w14:paraId="2432F888" w14:textId="72BF4725"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6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6.2.1</w:t>
        </w:r>
        <w:r>
          <w:rPr>
            <w:rFonts w:asciiTheme="minorHAnsi" w:eastAsiaTheme="minorEastAsia" w:hAnsiTheme="minorHAnsi" w:cstheme="minorBidi"/>
            <w:noProof/>
            <w:sz w:val="22"/>
            <w:szCs w:val="22"/>
            <w:lang w:val="en-PH" w:eastAsia="en-PH"/>
          </w:rPr>
          <w:tab/>
        </w:r>
        <w:r w:rsidRPr="00274472">
          <w:rPr>
            <w:rStyle w:val="aff6"/>
            <w:noProof/>
          </w:rPr>
          <w:t>Surface Water Quality Sampling Measurements</w:t>
        </w:r>
        <w:r>
          <w:rPr>
            <w:noProof/>
            <w:webHidden/>
          </w:rPr>
          <w:tab/>
        </w:r>
        <w:r>
          <w:rPr>
            <w:noProof/>
            <w:webHidden/>
          </w:rPr>
          <w:fldChar w:fldCharType="begin"/>
        </w:r>
        <w:r>
          <w:rPr>
            <w:noProof/>
            <w:webHidden/>
          </w:rPr>
          <w:instrText xml:space="preserve"> PAGEREF _Toc210589469 \h </w:instrText>
        </w:r>
        <w:r>
          <w:rPr>
            <w:noProof/>
            <w:webHidden/>
          </w:rPr>
        </w:r>
        <w:r>
          <w:rPr>
            <w:noProof/>
            <w:webHidden/>
          </w:rPr>
          <w:fldChar w:fldCharType="separate"/>
        </w:r>
        <w:r>
          <w:rPr>
            <w:noProof/>
            <w:webHidden/>
          </w:rPr>
          <w:t>82</w:t>
        </w:r>
        <w:r>
          <w:rPr>
            <w:noProof/>
            <w:webHidden/>
          </w:rPr>
          <w:fldChar w:fldCharType="end"/>
        </w:r>
      </w:hyperlink>
    </w:p>
    <w:p w14:paraId="5275478E" w14:textId="23D61BA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6.2.2</w:t>
        </w:r>
        <w:r>
          <w:rPr>
            <w:rFonts w:asciiTheme="minorHAnsi" w:eastAsiaTheme="minorEastAsia" w:hAnsiTheme="minorHAnsi" w:cstheme="minorBidi"/>
            <w:noProof/>
            <w:sz w:val="22"/>
            <w:szCs w:val="22"/>
            <w:lang w:val="en-PH" w:eastAsia="en-PH"/>
          </w:rPr>
          <w:tab/>
        </w:r>
        <w:r w:rsidRPr="00274472">
          <w:rPr>
            <w:rStyle w:val="aff6"/>
            <w:noProof/>
          </w:rPr>
          <w:t>Ambient Air Quality Sampling Measurements</w:t>
        </w:r>
        <w:r>
          <w:rPr>
            <w:noProof/>
            <w:webHidden/>
          </w:rPr>
          <w:tab/>
        </w:r>
        <w:r>
          <w:rPr>
            <w:noProof/>
            <w:webHidden/>
          </w:rPr>
          <w:fldChar w:fldCharType="begin"/>
        </w:r>
        <w:r>
          <w:rPr>
            <w:noProof/>
            <w:webHidden/>
          </w:rPr>
          <w:instrText xml:space="preserve"> PAGEREF _Toc210589470 \h </w:instrText>
        </w:r>
        <w:r>
          <w:rPr>
            <w:noProof/>
            <w:webHidden/>
          </w:rPr>
        </w:r>
        <w:r>
          <w:rPr>
            <w:noProof/>
            <w:webHidden/>
          </w:rPr>
          <w:fldChar w:fldCharType="separate"/>
        </w:r>
        <w:r>
          <w:rPr>
            <w:noProof/>
            <w:webHidden/>
          </w:rPr>
          <w:t>86</w:t>
        </w:r>
        <w:r>
          <w:rPr>
            <w:noProof/>
            <w:webHidden/>
          </w:rPr>
          <w:fldChar w:fldCharType="end"/>
        </w:r>
      </w:hyperlink>
    </w:p>
    <w:p w14:paraId="7846FDBB" w14:textId="33BC4299"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6.2.3</w:t>
        </w:r>
        <w:r>
          <w:rPr>
            <w:rFonts w:asciiTheme="minorHAnsi" w:eastAsiaTheme="minorEastAsia" w:hAnsiTheme="minorHAnsi" w:cstheme="minorBidi"/>
            <w:noProof/>
            <w:sz w:val="22"/>
            <w:szCs w:val="22"/>
            <w:lang w:val="en-PH" w:eastAsia="en-PH"/>
          </w:rPr>
          <w:tab/>
        </w:r>
        <w:r w:rsidRPr="00274472">
          <w:rPr>
            <w:rStyle w:val="aff6"/>
            <w:noProof/>
          </w:rPr>
          <w:t>Ambient Noise Level Monitoring Locations</w:t>
        </w:r>
        <w:r>
          <w:rPr>
            <w:noProof/>
            <w:webHidden/>
          </w:rPr>
          <w:tab/>
        </w:r>
        <w:r>
          <w:rPr>
            <w:noProof/>
            <w:webHidden/>
          </w:rPr>
          <w:fldChar w:fldCharType="begin"/>
        </w:r>
        <w:r>
          <w:rPr>
            <w:noProof/>
            <w:webHidden/>
          </w:rPr>
          <w:instrText xml:space="preserve"> PAGEREF _Toc210589471 \h </w:instrText>
        </w:r>
        <w:r>
          <w:rPr>
            <w:noProof/>
            <w:webHidden/>
          </w:rPr>
        </w:r>
        <w:r>
          <w:rPr>
            <w:noProof/>
            <w:webHidden/>
          </w:rPr>
          <w:fldChar w:fldCharType="separate"/>
        </w:r>
        <w:r>
          <w:rPr>
            <w:noProof/>
            <w:webHidden/>
          </w:rPr>
          <w:t>88</w:t>
        </w:r>
        <w:r>
          <w:rPr>
            <w:noProof/>
            <w:webHidden/>
          </w:rPr>
          <w:fldChar w:fldCharType="end"/>
        </w:r>
      </w:hyperlink>
    </w:p>
    <w:p w14:paraId="5680E565" w14:textId="76461D0B" w:rsidR="008704B1" w:rsidRDefault="008704B1">
      <w:pPr>
        <w:pStyle w:val="25"/>
        <w:rPr>
          <w:rFonts w:asciiTheme="minorHAnsi" w:eastAsiaTheme="minorEastAsia" w:hAnsiTheme="minorHAnsi" w:cstheme="minorBidi"/>
          <w:noProof/>
          <w:color w:val="auto"/>
          <w:sz w:val="22"/>
          <w:szCs w:val="22"/>
          <w:lang w:val="en-PH" w:eastAsia="en-PH"/>
        </w:rPr>
      </w:pPr>
      <w:hyperlink w:anchor="_Toc210589472" w:history="1">
        <w:r w:rsidRPr="00274472">
          <w:rPr>
            <w:rStyle w:val="aff6"/>
            <w:noProof/>
          </w:rPr>
          <w:t>6.3</w:t>
        </w:r>
        <w:r>
          <w:rPr>
            <w:rFonts w:asciiTheme="minorHAnsi" w:eastAsiaTheme="minorEastAsia" w:hAnsiTheme="minorHAnsi" w:cstheme="minorBidi"/>
            <w:noProof/>
            <w:color w:val="auto"/>
            <w:sz w:val="22"/>
            <w:szCs w:val="22"/>
            <w:lang w:val="en-PH" w:eastAsia="en-PH"/>
          </w:rPr>
          <w:tab/>
        </w:r>
        <w:r w:rsidRPr="00274472">
          <w:rPr>
            <w:rStyle w:val="aff6"/>
            <w:noProof/>
          </w:rPr>
          <w:t>Social Data</w:t>
        </w:r>
        <w:r>
          <w:rPr>
            <w:noProof/>
            <w:webHidden/>
          </w:rPr>
          <w:tab/>
        </w:r>
        <w:r>
          <w:rPr>
            <w:noProof/>
            <w:webHidden/>
          </w:rPr>
          <w:fldChar w:fldCharType="begin"/>
        </w:r>
        <w:r>
          <w:rPr>
            <w:noProof/>
            <w:webHidden/>
          </w:rPr>
          <w:instrText xml:space="preserve"> PAGEREF _Toc210589472 \h </w:instrText>
        </w:r>
        <w:r>
          <w:rPr>
            <w:noProof/>
            <w:webHidden/>
          </w:rPr>
        </w:r>
        <w:r>
          <w:rPr>
            <w:noProof/>
            <w:webHidden/>
          </w:rPr>
          <w:fldChar w:fldCharType="separate"/>
        </w:r>
        <w:r>
          <w:rPr>
            <w:noProof/>
            <w:webHidden/>
          </w:rPr>
          <w:t>91</w:t>
        </w:r>
        <w:r>
          <w:rPr>
            <w:noProof/>
            <w:webHidden/>
          </w:rPr>
          <w:fldChar w:fldCharType="end"/>
        </w:r>
      </w:hyperlink>
    </w:p>
    <w:p w14:paraId="29ED3447" w14:textId="5C7A76A8"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6.3.1</w:t>
        </w:r>
        <w:r>
          <w:rPr>
            <w:rFonts w:asciiTheme="minorHAnsi" w:eastAsiaTheme="minorEastAsia" w:hAnsiTheme="minorHAnsi" w:cstheme="minorBidi"/>
            <w:noProof/>
            <w:sz w:val="22"/>
            <w:szCs w:val="22"/>
            <w:lang w:val="en-PH" w:eastAsia="en-PH"/>
          </w:rPr>
          <w:tab/>
        </w:r>
        <w:r w:rsidRPr="00274472">
          <w:rPr>
            <w:rStyle w:val="aff6"/>
            <w:noProof/>
          </w:rPr>
          <w:t>Socioeconomic Information</w:t>
        </w:r>
        <w:r>
          <w:rPr>
            <w:noProof/>
            <w:webHidden/>
          </w:rPr>
          <w:tab/>
        </w:r>
        <w:r>
          <w:rPr>
            <w:noProof/>
            <w:webHidden/>
          </w:rPr>
          <w:fldChar w:fldCharType="begin"/>
        </w:r>
        <w:r>
          <w:rPr>
            <w:noProof/>
            <w:webHidden/>
          </w:rPr>
          <w:instrText xml:space="preserve"> PAGEREF _Toc210589473 \h </w:instrText>
        </w:r>
        <w:r>
          <w:rPr>
            <w:noProof/>
            <w:webHidden/>
          </w:rPr>
        </w:r>
        <w:r>
          <w:rPr>
            <w:noProof/>
            <w:webHidden/>
          </w:rPr>
          <w:fldChar w:fldCharType="separate"/>
        </w:r>
        <w:r>
          <w:rPr>
            <w:noProof/>
            <w:webHidden/>
          </w:rPr>
          <w:t>91</w:t>
        </w:r>
        <w:r>
          <w:rPr>
            <w:noProof/>
            <w:webHidden/>
          </w:rPr>
          <w:fldChar w:fldCharType="end"/>
        </w:r>
      </w:hyperlink>
    </w:p>
    <w:p w14:paraId="0BFB4071" w14:textId="2EC4A67D"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4"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6.3.2</w:t>
        </w:r>
        <w:r>
          <w:rPr>
            <w:rFonts w:asciiTheme="minorHAnsi" w:eastAsiaTheme="minorEastAsia" w:hAnsiTheme="minorHAnsi" w:cstheme="minorBidi"/>
            <w:noProof/>
            <w:sz w:val="22"/>
            <w:szCs w:val="22"/>
            <w:lang w:val="en-PH" w:eastAsia="en-PH"/>
          </w:rPr>
          <w:tab/>
        </w:r>
        <w:r w:rsidRPr="00274472">
          <w:rPr>
            <w:rStyle w:val="aff6"/>
            <w:noProof/>
          </w:rPr>
          <w:t>Ulytau Region</w:t>
        </w:r>
        <w:r>
          <w:rPr>
            <w:noProof/>
            <w:webHidden/>
          </w:rPr>
          <w:tab/>
        </w:r>
        <w:r>
          <w:rPr>
            <w:noProof/>
            <w:webHidden/>
          </w:rPr>
          <w:fldChar w:fldCharType="begin"/>
        </w:r>
        <w:r>
          <w:rPr>
            <w:noProof/>
            <w:webHidden/>
          </w:rPr>
          <w:instrText xml:space="preserve"> PAGEREF _Toc210589474 \h </w:instrText>
        </w:r>
        <w:r>
          <w:rPr>
            <w:noProof/>
            <w:webHidden/>
          </w:rPr>
        </w:r>
        <w:r>
          <w:rPr>
            <w:noProof/>
            <w:webHidden/>
          </w:rPr>
          <w:fldChar w:fldCharType="separate"/>
        </w:r>
        <w:r>
          <w:rPr>
            <w:noProof/>
            <w:webHidden/>
          </w:rPr>
          <w:t>91</w:t>
        </w:r>
        <w:r>
          <w:rPr>
            <w:noProof/>
            <w:webHidden/>
          </w:rPr>
          <w:fldChar w:fldCharType="end"/>
        </w:r>
      </w:hyperlink>
    </w:p>
    <w:p w14:paraId="40E3EED1" w14:textId="28A1361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6.3.3</w:t>
        </w:r>
        <w:r>
          <w:rPr>
            <w:rFonts w:asciiTheme="minorHAnsi" w:eastAsiaTheme="minorEastAsia" w:hAnsiTheme="minorHAnsi" w:cstheme="minorBidi"/>
            <w:noProof/>
            <w:sz w:val="22"/>
            <w:szCs w:val="22"/>
            <w:lang w:val="en-PH" w:eastAsia="en-PH"/>
          </w:rPr>
          <w:tab/>
        </w:r>
        <w:r w:rsidRPr="00274472">
          <w:rPr>
            <w:rStyle w:val="aff6"/>
            <w:noProof/>
          </w:rPr>
          <w:t>Karagandy Region</w:t>
        </w:r>
        <w:r>
          <w:rPr>
            <w:noProof/>
            <w:webHidden/>
          </w:rPr>
          <w:tab/>
        </w:r>
        <w:r>
          <w:rPr>
            <w:noProof/>
            <w:webHidden/>
          </w:rPr>
          <w:fldChar w:fldCharType="begin"/>
        </w:r>
        <w:r>
          <w:rPr>
            <w:noProof/>
            <w:webHidden/>
          </w:rPr>
          <w:instrText xml:space="preserve"> PAGEREF _Toc210589475 \h </w:instrText>
        </w:r>
        <w:r>
          <w:rPr>
            <w:noProof/>
            <w:webHidden/>
          </w:rPr>
        </w:r>
        <w:r>
          <w:rPr>
            <w:noProof/>
            <w:webHidden/>
          </w:rPr>
          <w:fldChar w:fldCharType="separate"/>
        </w:r>
        <w:r>
          <w:rPr>
            <w:noProof/>
            <w:webHidden/>
          </w:rPr>
          <w:t>93</w:t>
        </w:r>
        <w:r>
          <w:rPr>
            <w:noProof/>
            <w:webHidden/>
          </w:rPr>
          <w:fldChar w:fldCharType="end"/>
        </w:r>
      </w:hyperlink>
    </w:p>
    <w:p w14:paraId="034D9182" w14:textId="407919C8"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6" w:history="1">
        <w:r w:rsidRPr="00274472">
          <w:rPr>
            <w:rStyle w:val="aff6"/>
            <w:rFonts w:eastAsia="Calibri"/>
            <w:noProof/>
            <w:lang w:eastAsia="en-GB"/>
            <w14:textOutline w14:w="0" w14:cap="flat" w14:cmpd="sng" w14:algn="ctr">
              <w14:noFill/>
              <w14:prstDash w14:val="solid"/>
              <w14:bevel/>
            </w14:textOutline>
            <w14:scene3d>
              <w14:camera w14:prst="orthographicFront"/>
              <w14:lightRig w14:rig="threePt" w14:dir="t">
                <w14:rot w14:lat="0" w14:lon="0" w14:rev="0"/>
              </w14:lightRig>
            </w14:scene3d>
            <w14:cntxtAlts/>
          </w:rPr>
          <w:t>6.3.4</w:t>
        </w:r>
        <w:r>
          <w:rPr>
            <w:rFonts w:asciiTheme="minorHAnsi" w:eastAsiaTheme="minorEastAsia" w:hAnsiTheme="minorHAnsi" w:cstheme="minorBidi"/>
            <w:noProof/>
            <w:sz w:val="22"/>
            <w:szCs w:val="22"/>
            <w:lang w:val="en-PH" w:eastAsia="en-PH"/>
          </w:rPr>
          <w:tab/>
        </w:r>
        <w:r w:rsidRPr="00274472">
          <w:rPr>
            <w:rStyle w:val="aff6"/>
            <w:rFonts w:eastAsia="Calibri"/>
            <w:noProof/>
            <w:lang w:eastAsia="en-GB"/>
          </w:rPr>
          <w:t>Administrative and Transport Nodes Along the Corridor</w:t>
        </w:r>
        <w:r>
          <w:rPr>
            <w:noProof/>
            <w:webHidden/>
          </w:rPr>
          <w:tab/>
        </w:r>
        <w:r>
          <w:rPr>
            <w:noProof/>
            <w:webHidden/>
          </w:rPr>
          <w:fldChar w:fldCharType="begin"/>
        </w:r>
        <w:r>
          <w:rPr>
            <w:noProof/>
            <w:webHidden/>
          </w:rPr>
          <w:instrText xml:space="preserve"> PAGEREF _Toc210589476 \h </w:instrText>
        </w:r>
        <w:r>
          <w:rPr>
            <w:noProof/>
            <w:webHidden/>
          </w:rPr>
        </w:r>
        <w:r>
          <w:rPr>
            <w:noProof/>
            <w:webHidden/>
          </w:rPr>
          <w:fldChar w:fldCharType="separate"/>
        </w:r>
        <w:r>
          <w:rPr>
            <w:noProof/>
            <w:webHidden/>
          </w:rPr>
          <w:t>94</w:t>
        </w:r>
        <w:r>
          <w:rPr>
            <w:noProof/>
            <w:webHidden/>
          </w:rPr>
          <w:fldChar w:fldCharType="end"/>
        </w:r>
      </w:hyperlink>
    </w:p>
    <w:p w14:paraId="51D3E9F0" w14:textId="2CFCA77D"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7" w:history="1">
        <w:r w:rsidRPr="00274472">
          <w:rPr>
            <w:rStyle w:val="aff6"/>
            <w:rFonts w:eastAsia="Calibri"/>
            <w:noProof/>
            <w:lang w:eastAsia="en-GB"/>
            <w14:textOutline w14:w="0" w14:cap="flat" w14:cmpd="sng" w14:algn="ctr">
              <w14:noFill/>
              <w14:prstDash w14:val="solid"/>
              <w14:bevel/>
            </w14:textOutline>
            <w14:scene3d>
              <w14:camera w14:prst="orthographicFront"/>
              <w14:lightRig w14:rig="threePt" w14:dir="t">
                <w14:rot w14:lat="0" w14:lon="0" w14:rev="0"/>
              </w14:lightRig>
            </w14:scene3d>
            <w14:cntxtAlts/>
          </w:rPr>
          <w:t>6.3.5</w:t>
        </w:r>
        <w:r>
          <w:rPr>
            <w:rFonts w:asciiTheme="minorHAnsi" w:eastAsiaTheme="minorEastAsia" w:hAnsiTheme="minorHAnsi" w:cstheme="minorBidi"/>
            <w:noProof/>
            <w:sz w:val="22"/>
            <w:szCs w:val="22"/>
            <w:lang w:val="en-PH" w:eastAsia="en-PH"/>
          </w:rPr>
          <w:tab/>
        </w:r>
        <w:r w:rsidRPr="00274472">
          <w:rPr>
            <w:rStyle w:val="aff6"/>
            <w:rFonts w:eastAsia="Calibri"/>
            <w:noProof/>
            <w:lang w:eastAsia="en-GB"/>
          </w:rPr>
          <w:t>Socio-Economic Survey Findings - Ulytau</w:t>
        </w:r>
        <w:r>
          <w:rPr>
            <w:noProof/>
            <w:webHidden/>
          </w:rPr>
          <w:tab/>
        </w:r>
        <w:r>
          <w:rPr>
            <w:noProof/>
            <w:webHidden/>
          </w:rPr>
          <w:fldChar w:fldCharType="begin"/>
        </w:r>
        <w:r>
          <w:rPr>
            <w:noProof/>
            <w:webHidden/>
          </w:rPr>
          <w:instrText xml:space="preserve"> PAGEREF _Toc210589477 \h </w:instrText>
        </w:r>
        <w:r>
          <w:rPr>
            <w:noProof/>
            <w:webHidden/>
          </w:rPr>
        </w:r>
        <w:r>
          <w:rPr>
            <w:noProof/>
            <w:webHidden/>
          </w:rPr>
          <w:fldChar w:fldCharType="separate"/>
        </w:r>
        <w:r>
          <w:rPr>
            <w:noProof/>
            <w:webHidden/>
          </w:rPr>
          <w:t>94</w:t>
        </w:r>
        <w:r>
          <w:rPr>
            <w:noProof/>
            <w:webHidden/>
          </w:rPr>
          <w:fldChar w:fldCharType="end"/>
        </w:r>
      </w:hyperlink>
    </w:p>
    <w:p w14:paraId="49C2817E" w14:textId="5F32661D"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6.3.6</w:t>
        </w:r>
        <w:r>
          <w:rPr>
            <w:rFonts w:asciiTheme="minorHAnsi" w:eastAsiaTheme="minorEastAsia" w:hAnsiTheme="minorHAnsi" w:cstheme="minorBidi"/>
            <w:noProof/>
            <w:sz w:val="22"/>
            <w:szCs w:val="22"/>
            <w:lang w:val="en-PH" w:eastAsia="en-PH"/>
          </w:rPr>
          <w:tab/>
        </w:r>
        <w:r w:rsidRPr="00274472">
          <w:rPr>
            <w:rStyle w:val="aff6"/>
            <w:noProof/>
          </w:rPr>
          <w:t xml:space="preserve">Socio-Economic Survey Findings – </w:t>
        </w:r>
        <w:r w:rsidR="003A184C">
          <w:rPr>
            <w:rStyle w:val="aff6"/>
            <w:noProof/>
          </w:rPr>
          <w:t>Karagandy</w:t>
        </w:r>
        <w:r>
          <w:rPr>
            <w:noProof/>
            <w:webHidden/>
          </w:rPr>
          <w:tab/>
        </w:r>
        <w:r>
          <w:rPr>
            <w:noProof/>
            <w:webHidden/>
          </w:rPr>
          <w:fldChar w:fldCharType="begin"/>
        </w:r>
        <w:r>
          <w:rPr>
            <w:noProof/>
            <w:webHidden/>
          </w:rPr>
          <w:instrText xml:space="preserve"> PAGEREF _Toc210589478 \h </w:instrText>
        </w:r>
        <w:r>
          <w:rPr>
            <w:noProof/>
            <w:webHidden/>
          </w:rPr>
        </w:r>
        <w:r>
          <w:rPr>
            <w:noProof/>
            <w:webHidden/>
          </w:rPr>
          <w:fldChar w:fldCharType="separate"/>
        </w:r>
        <w:r>
          <w:rPr>
            <w:noProof/>
            <w:webHidden/>
          </w:rPr>
          <w:t>95</w:t>
        </w:r>
        <w:r>
          <w:rPr>
            <w:noProof/>
            <w:webHidden/>
          </w:rPr>
          <w:fldChar w:fldCharType="end"/>
        </w:r>
      </w:hyperlink>
    </w:p>
    <w:p w14:paraId="45EE9F6E" w14:textId="327A6F75"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79" w:history="1">
        <w:r w:rsidRPr="00274472">
          <w:rPr>
            <w:rStyle w:val="aff6"/>
            <w:rFonts w:eastAsia="Calibri"/>
            <w:noProof/>
            <w:lang w:eastAsia="en-GB"/>
            <w14:textOutline w14:w="0" w14:cap="flat" w14:cmpd="sng" w14:algn="ctr">
              <w14:noFill/>
              <w14:prstDash w14:val="solid"/>
              <w14:bevel/>
            </w14:textOutline>
            <w14:scene3d>
              <w14:camera w14:prst="orthographicFront"/>
              <w14:lightRig w14:rig="threePt" w14:dir="t">
                <w14:rot w14:lat="0" w14:lon="0" w14:rev="0"/>
              </w14:lightRig>
            </w14:scene3d>
            <w14:cntxtAlts/>
          </w:rPr>
          <w:t>6.3.7</w:t>
        </w:r>
        <w:r>
          <w:rPr>
            <w:rFonts w:asciiTheme="minorHAnsi" w:eastAsiaTheme="minorEastAsia" w:hAnsiTheme="minorHAnsi" w:cstheme="minorBidi"/>
            <w:noProof/>
            <w:sz w:val="22"/>
            <w:szCs w:val="22"/>
            <w:lang w:val="en-PH" w:eastAsia="en-PH"/>
          </w:rPr>
          <w:tab/>
        </w:r>
        <w:r w:rsidRPr="00274472">
          <w:rPr>
            <w:rStyle w:val="aff6"/>
            <w:rFonts w:eastAsia="Calibri"/>
            <w:noProof/>
            <w:lang w:eastAsia="en-GB"/>
          </w:rPr>
          <w:t>General Perceptions of the Proposed Railway Project</w:t>
        </w:r>
        <w:r>
          <w:rPr>
            <w:noProof/>
            <w:webHidden/>
          </w:rPr>
          <w:tab/>
        </w:r>
        <w:r>
          <w:rPr>
            <w:noProof/>
            <w:webHidden/>
          </w:rPr>
          <w:fldChar w:fldCharType="begin"/>
        </w:r>
        <w:r>
          <w:rPr>
            <w:noProof/>
            <w:webHidden/>
          </w:rPr>
          <w:instrText xml:space="preserve"> PAGEREF _Toc210589479 \h </w:instrText>
        </w:r>
        <w:r>
          <w:rPr>
            <w:noProof/>
            <w:webHidden/>
          </w:rPr>
        </w:r>
        <w:r>
          <w:rPr>
            <w:noProof/>
            <w:webHidden/>
          </w:rPr>
          <w:fldChar w:fldCharType="separate"/>
        </w:r>
        <w:r>
          <w:rPr>
            <w:noProof/>
            <w:webHidden/>
          </w:rPr>
          <w:t>95</w:t>
        </w:r>
        <w:r>
          <w:rPr>
            <w:noProof/>
            <w:webHidden/>
          </w:rPr>
          <w:fldChar w:fldCharType="end"/>
        </w:r>
      </w:hyperlink>
    </w:p>
    <w:p w14:paraId="6E6724F0" w14:textId="5BA0180D"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8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6.3.8</w:t>
        </w:r>
        <w:r>
          <w:rPr>
            <w:rFonts w:asciiTheme="minorHAnsi" w:eastAsiaTheme="minorEastAsia" w:hAnsiTheme="minorHAnsi" w:cstheme="minorBidi"/>
            <w:noProof/>
            <w:sz w:val="22"/>
            <w:szCs w:val="22"/>
            <w:lang w:val="en-PH" w:eastAsia="en-PH"/>
          </w:rPr>
          <w:tab/>
        </w:r>
        <w:r w:rsidRPr="00274472">
          <w:rPr>
            <w:rStyle w:val="aff6"/>
            <w:noProof/>
          </w:rPr>
          <w:t>Cultural Heritage</w:t>
        </w:r>
        <w:r>
          <w:rPr>
            <w:noProof/>
            <w:webHidden/>
          </w:rPr>
          <w:tab/>
        </w:r>
        <w:r>
          <w:rPr>
            <w:noProof/>
            <w:webHidden/>
          </w:rPr>
          <w:fldChar w:fldCharType="begin"/>
        </w:r>
        <w:r>
          <w:rPr>
            <w:noProof/>
            <w:webHidden/>
          </w:rPr>
          <w:instrText xml:space="preserve"> PAGEREF _Toc210589480 \h </w:instrText>
        </w:r>
        <w:r>
          <w:rPr>
            <w:noProof/>
            <w:webHidden/>
          </w:rPr>
        </w:r>
        <w:r>
          <w:rPr>
            <w:noProof/>
            <w:webHidden/>
          </w:rPr>
          <w:fldChar w:fldCharType="separate"/>
        </w:r>
        <w:r>
          <w:rPr>
            <w:noProof/>
            <w:webHidden/>
          </w:rPr>
          <w:t>96</w:t>
        </w:r>
        <w:r>
          <w:rPr>
            <w:noProof/>
            <w:webHidden/>
          </w:rPr>
          <w:fldChar w:fldCharType="end"/>
        </w:r>
      </w:hyperlink>
    </w:p>
    <w:p w14:paraId="0600ED33" w14:textId="7A083C2D" w:rsidR="008704B1" w:rsidRDefault="008704B1">
      <w:pPr>
        <w:pStyle w:val="43"/>
        <w:rPr>
          <w:rFonts w:asciiTheme="minorHAnsi" w:eastAsiaTheme="minorEastAsia" w:hAnsiTheme="minorHAnsi" w:cstheme="minorBidi"/>
          <w:noProof/>
          <w:sz w:val="22"/>
          <w:szCs w:val="22"/>
          <w:lang w:val="en-PH" w:eastAsia="en-PH"/>
        </w:rPr>
      </w:pPr>
      <w:hyperlink w:anchor="_Toc210589481" w:history="1">
        <w:r w:rsidRPr="00274472">
          <w:rPr>
            <w:rStyle w:val="aff6"/>
            <w:noProof/>
          </w:rPr>
          <w:t>6.3.8.1</w:t>
        </w:r>
        <w:r>
          <w:rPr>
            <w:rFonts w:asciiTheme="minorHAnsi" w:eastAsiaTheme="minorEastAsia" w:hAnsiTheme="minorHAnsi" w:cstheme="minorBidi"/>
            <w:noProof/>
            <w:sz w:val="22"/>
            <w:szCs w:val="22"/>
            <w:lang w:val="en-PH" w:eastAsia="en-PH"/>
          </w:rPr>
          <w:tab/>
        </w:r>
        <w:r w:rsidRPr="00274472">
          <w:rPr>
            <w:rStyle w:val="aff6"/>
            <w:noProof/>
          </w:rPr>
          <w:t>Investigations of the Tangible Aspects</w:t>
        </w:r>
        <w:r>
          <w:rPr>
            <w:noProof/>
            <w:webHidden/>
          </w:rPr>
          <w:tab/>
        </w:r>
        <w:r>
          <w:rPr>
            <w:noProof/>
            <w:webHidden/>
          </w:rPr>
          <w:fldChar w:fldCharType="begin"/>
        </w:r>
        <w:r>
          <w:rPr>
            <w:noProof/>
            <w:webHidden/>
          </w:rPr>
          <w:instrText xml:space="preserve"> PAGEREF _Toc210589481 \h </w:instrText>
        </w:r>
        <w:r>
          <w:rPr>
            <w:noProof/>
            <w:webHidden/>
          </w:rPr>
        </w:r>
        <w:r>
          <w:rPr>
            <w:noProof/>
            <w:webHidden/>
          </w:rPr>
          <w:fldChar w:fldCharType="separate"/>
        </w:r>
        <w:r>
          <w:rPr>
            <w:noProof/>
            <w:webHidden/>
          </w:rPr>
          <w:t>96</w:t>
        </w:r>
        <w:r>
          <w:rPr>
            <w:noProof/>
            <w:webHidden/>
          </w:rPr>
          <w:fldChar w:fldCharType="end"/>
        </w:r>
      </w:hyperlink>
    </w:p>
    <w:p w14:paraId="6C98611E" w14:textId="580AE087" w:rsidR="008704B1" w:rsidRDefault="008704B1">
      <w:pPr>
        <w:pStyle w:val="43"/>
        <w:rPr>
          <w:rFonts w:asciiTheme="minorHAnsi" w:eastAsiaTheme="minorEastAsia" w:hAnsiTheme="minorHAnsi" w:cstheme="minorBidi"/>
          <w:noProof/>
          <w:sz w:val="22"/>
          <w:szCs w:val="22"/>
          <w:lang w:val="en-PH" w:eastAsia="en-PH"/>
        </w:rPr>
      </w:pPr>
      <w:hyperlink w:anchor="_Toc210589482" w:history="1">
        <w:r w:rsidRPr="00274472">
          <w:rPr>
            <w:rStyle w:val="aff6"/>
            <w:noProof/>
          </w:rPr>
          <w:t>6.3.8.2</w:t>
        </w:r>
        <w:r>
          <w:rPr>
            <w:rFonts w:asciiTheme="minorHAnsi" w:eastAsiaTheme="minorEastAsia" w:hAnsiTheme="minorHAnsi" w:cstheme="minorBidi"/>
            <w:noProof/>
            <w:sz w:val="22"/>
            <w:szCs w:val="22"/>
            <w:lang w:val="en-PH" w:eastAsia="en-PH"/>
          </w:rPr>
          <w:tab/>
        </w:r>
        <w:r w:rsidRPr="00274472">
          <w:rPr>
            <w:rStyle w:val="aff6"/>
            <w:noProof/>
          </w:rPr>
          <w:t>Intangible Aspects</w:t>
        </w:r>
        <w:r>
          <w:rPr>
            <w:noProof/>
            <w:webHidden/>
          </w:rPr>
          <w:tab/>
        </w:r>
        <w:r>
          <w:rPr>
            <w:noProof/>
            <w:webHidden/>
          </w:rPr>
          <w:fldChar w:fldCharType="begin"/>
        </w:r>
        <w:r>
          <w:rPr>
            <w:noProof/>
            <w:webHidden/>
          </w:rPr>
          <w:instrText xml:space="preserve"> PAGEREF _Toc210589482 \h </w:instrText>
        </w:r>
        <w:r>
          <w:rPr>
            <w:noProof/>
            <w:webHidden/>
          </w:rPr>
        </w:r>
        <w:r>
          <w:rPr>
            <w:noProof/>
            <w:webHidden/>
          </w:rPr>
          <w:fldChar w:fldCharType="separate"/>
        </w:r>
        <w:r>
          <w:rPr>
            <w:noProof/>
            <w:webHidden/>
          </w:rPr>
          <w:t>101</w:t>
        </w:r>
        <w:r>
          <w:rPr>
            <w:noProof/>
            <w:webHidden/>
          </w:rPr>
          <w:fldChar w:fldCharType="end"/>
        </w:r>
      </w:hyperlink>
    </w:p>
    <w:p w14:paraId="2CD2A074" w14:textId="1C737D93"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483" w:history="1">
        <w:r w:rsidRPr="00274472">
          <w:rPr>
            <w:rStyle w:val="aff6"/>
            <w:rFonts w:cs="Arial"/>
            <w:noProof/>
          </w:rPr>
          <w:t>7</w:t>
        </w:r>
        <w:r>
          <w:rPr>
            <w:rFonts w:asciiTheme="minorHAnsi" w:eastAsiaTheme="minorEastAsia" w:hAnsiTheme="minorHAnsi" w:cstheme="minorBidi"/>
            <w:b w:val="0"/>
            <w:noProof/>
            <w:sz w:val="22"/>
            <w:szCs w:val="22"/>
            <w:lang w:val="en-PH" w:eastAsia="en-PH"/>
          </w:rPr>
          <w:tab/>
        </w:r>
        <w:r w:rsidRPr="00274472">
          <w:rPr>
            <w:rStyle w:val="aff6"/>
            <w:rFonts w:cs="Arial"/>
            <w:noProof/>
          </w:rPr>
          <w:t>Impact Assessment Process</w:t>
        </w:r>
        <w:r>
          <w:rPr>
            <w:noProof/>
            <w:webHidden/>
          </w:rPr>
          <w:tab/>
        </w:r>
        <w:r>
          <w:rPr>
            <w:noProof/>
            <w:webHidden/>
          </w:rPr>
          <w:fldChar w:fldCharType="begin"/>
        </w:r>
        <w:r>
          <w:rPr>
            <w:noProof/>
            <w:webHidden/>
          </w:rPr>
          <w:instrText xml:space="preserve"> PAGEREF _Toc210589483 \h </w:instrText>
        </w:r>
        <w:r>
          <w:rPr>
            <w:noProof/>
            <w:webHidden/>
          </w:rPr>
        </w:r>
        <w:r>
          <w:rPr>
            <w:noProof/>
            <w:webHidden/>
          </w:rPr>
          <w:fldChar w:fldCharType="separate"/>
        </w:r>
        <w:r>
          <w:rPr>
            <w:noProof/>
            <w:webHidden/>
          </w:rPr>
          <w:t>102</w:t>
        </w:r>
        <w:r>
          <w:rPr>
            <w:noProof/>
            <w:webHidden/>
          </w:rPr>
          <w:fldChar w:fldCharType="end"/>
        </w:r>
      </w:hyperlink>
    </w:p>
    <w:p w14:paraId="276252FD" w14:textId="7B80D856" w:rsidR="008704B1" w:rsidRDefault="008704B1">
      <w:pPr>
        <w:pStyle w:val="25"/>
        <w:rPr>
          <w:rFonts w:asciiTheme="minorHAnsi" w:eastAsiaTheme="minorEastAsia" w:hAnsiTheme="minorHAnsi" w:cstheme="minorBidi"/>
          <w:noProof/>
          <w:color w:val="auto"/>
          <w:sz w:val="22"/>
          <w:szCs w:val="22"/>
          <w:lang w:val="en-PH" w:eastAsia="en-PH"/>
        </w:rPr>
      </w:pPr>
      <w:hyperlink w:anchor="_Toc210589484" w:history="1">
        <w:r w:rsidRPr="00274472">
          <w:rPr>
            <w:rStyle w:val="aff6"/>
            <w:noProof/>
          </w:rPr>
          <w:t>7.1</w:t>
        </w:r>
        <w:r>
          <w:rPr>
            <w:rFonts w:asciiTheme="minorHAnsi" w:eastAsiaTheme="minorEastAsia" w:hAnsiTheme="minorHAnsi" w:cstheme="minorBidi"/>
            <w:noProof/>
            <w:color w:val="auto"/>
            <w:sz w:val="22"/>
            <w:szCs w:val="22"/>
            <w:lang w:val="en-PH" w:eastAsia="en-PH"/>
          </w:rPr>
          <w:tab/>
        </w:r>
        <w:r w:rsidRPr="00274472">
          <w:rPr>
            <w:rStyle w:val="aff6"/>
            <w:noProof/>
          </w:rPr>
          <w:t>Impact Evaluation</w:t>
        </w:r>
        <w:r>
          <w:rPr>
            <w:noProof/>
            <w:webHidden/>
          </w:rPr>
          <w:tab/>
        </w:r>
        <w:r>
          <w:rPr>
            <w:noProof/>
            <w:webHidden/>
          </w:rPr>
          <w:fldChar w:fldCharType="begin"/>
        </w:r>
        <w:r>
          <w:rPr>
            <w:noProof/>
            <w:webHidden/>
          </w:rPr>
          <w:instrText xml:space="preserve"> PAGEREF _Toc210589484 \h </w:instrText>
        </w:r>
        <w:r>
          <w:rPr>
            <w:noProof/>
            <w:webHidden/>
          </w:rPr>
        </w:r>
        <w:r>
          <w:rPr>
            <w:noProof/>
            <w:webHidden/>
          </w:rPr>
          <w:fldChar w:fldCharType="separate"/>
        </w:r>
        <w:r>
          <w:rPr>
            <w:noProof/>
            <w:webHidden/>
          </w:rPr>
          <w:t>102</w:t>
        </w:r>
        <w:r>
          <w:rPr>
            <w:noProof/>
            <w:webHidden/>
          </w:rPr>
          <w:fldChar w:fldCharType="end"/>
        </w:r>
      </w:hyperlink>
    </w:p>
    <w:p w14:paraId="02168D61" w14:textId="7E93491E" w:rsidR="008704B1" w:rsidRDefault="008704B1">
      <w:pPr>
        <w:pStyle w:val="25"/>
        <w:rPr>
          <w:rFonts w:asciiTheme="minorHAnsi" w:eastAsiaTheme="minorEastAsia" w:hAnsiTheme="minorHAnsi" w:cstheme="minorBidi"/>
          <w:noProof/>
          <w:color w:val="auto"/>
          <w:sz w:val="22"/>
          <w:szCs w:val="22"/>
          <w:lang w:val="en-PH" w:eastAsia="en-PH"/>
        </w:rPr>
      </w:pPr>
      <w:hyperlink w:anchor="_Toc210589485" w:history="1">
        <w:r w:rsidRPr="00274472">
          <w:rPr>
            <w:rStyle w:val="aff6"/>
            <w:noProof/>
          </w:rPr>
          <w:t>7.2</w:t>
        </w:r>
        <w:r>
          <w:rPr>
            <w:rFonts w:asciiTheme="minorHAnsi" w:eastAsiaTheme="minorEastAsia" w:hAnsiTheme="minorHAnsi" w:cstheme="minorBidi"/>
            <w:noProof/>
            <w:color w:val="auto"/>
            <w:sz w:val="22"/>
            <w:szCs w:val="22"/>
            <w:lang w:val="en-PH" w:eastAsia="en-PH"/>
          </w:rPr>
          <w:tab/>
        </w:r>
        <w:r w:rsidRPr="00274472">
          <w:rPr>
            <w:rStyle w:val="aff6"/>
            <w:noProof/>
          </w:rPr>
          <w:t>Impact Magnitude</w:t>
        </w:r>
        <w:r>
          <w:rPr>
            <w:noProof/>
            <w:webHidden/>
          </w:rPr>
          <w:tab/>
        </w:r>
        <w:r>
          <w:rPr>
            <w:noProof/>
            <w:webHidden/>
          </w:rPr>
          <w:fldChar w:fldCharType="begin"/>
        </w:r>
        <w:r>
          <w:rPr>
            <w:noProof/>
            <w:webHidden/>
          </w:rPr>
          <w:instrText xml:space="preserve"> PAGEREF _Toc210589485 \h </w:instrText>
        </w:r>
        <w:r>
          <w:rPr>
            <w:noProof/>
            <w:webHidden/>
          </w:rPr>
        </w:r>
        <w:r>
          <w:rPr>
            <w:noProof/>
            <w:webHidden/>
          </w:rPr>
          <w:fldChar w:fldCharType="separate"/>
        </w:r>
        <w:r>
          <w:rPr>
            <w:noProof/>
            <w:webHidden/>
          </w:rPr>
          <w:t>102</w:t>
        </w:r>
        <w:r>
          <w:rPr>
            <w:noProof/>
            <w:webHidden/>
          </w:rPr>
          <w:fldChar w:fldCharType="end"/>
        </w:r>
      </w:hyperlink>
    </w:p>
    <w:p w14:paraId="363A7112" w14:textId="244A07E4" w:rsidR="008704B1" w:rsidRDefault="008704B1">
      <w:pPr>
        <w:pStyle w:val="25"/>
        <w:rPr>
          <w:rFonts w:asciiTheme="minorHAnsi" w:eastAsiaTheme="minorEastAsia" w:hAnsiTheme="minorHAnsi" w:cstheme="minorBidi"/>
          <w:noProof/>
          <w:color w:val="auto"/>
          <w:sz w:val="22"/>
          <w:szCs w:val="22"/>
          <w:lang w:val="en-PH" w:eastAsia="en-PH"/>
        </w:rPr>
      </w:pPr>
      <w:hyperlink w:anchor="_Toc210589486" w:history="1">
        <w:r w:rsidRPr="00274472">
          <w:rPr>
            <w:rStyle w:val="aff6"/>
            <w:noProof/>
          </w:rPr>
          <w:t>7.3</w:t>
        </w:r>
        <w:r>
          <w:rPr>
            <w:rFonts w:asciiTheme="minorHAnsi" w:eastAsiaTheme="minorEastAsia" w:hAnsiTheme="minorHAnsi" w:cstheme="minorBidi"/>
            <w:noProof/>
            <w:color w:val="auto"/>
            <w:sz w:val="22"/>
            <w:szCs w:val="22"/>
            <w:lang w:val="en-PH" w:eastAsia="en-PH"/>
          </w:rPr>
          <w:tab/>
        </w:r>
        <w:r w:rsidRPr="00274472">
          <w:rPr>
            <w:rStyle w:val="aff6"/>
            <w:noProof/>
          </w:rPr>
          <w:t>Receptor Sensitivity</w:t>
        </w:r>
        <w:r>
          <w:rPr>
            <w:noProof/>
            <w:webHidden/>
          </w:rPr>
          <w:tab/>
        </w:r>
        <w:r>
          <w:rPr>
            <w:noProof/>
            <w:webHidden/>
          </w:rPr>
          <w:fldChar w:fldCharType="begin"/>
        </w:r>
        <w:r>
          <w:rPr>
            <w:noProof/>
            <w:webHidden/>
          </w:rPr>
          <w:instrText xml:space="preserve"> PAGEREF _Toc210589486 \h </w:instrText>
        </w:r>
        <w:r>
          <w:rPr>
            <w:noProof/>
            <w:webHidden/>
          </w:rPr>
        </w:r>
        <w:r>
          <w:rPr>
            <w:noProof/>
            <w:webHidden/>
          </w:rPr>
          <w:fldChar w:fldCharType="separate"/>
        </w:r>
        <w:r>
          <w:rPr>
            <w:noProof/>
            <w:webHidden/>
          </w:rPr>
          <w:t>104</w:t>
        </w:r>
        <w:r>
          <w:rPr>
            <w:noProof/>
            <w:webHidden/>
          </w:rPr>
          <w:fldChar w:fldCharType="end"/>
        </w:r>
      </w:hyperlink>
    </w:p>
    <w:p w14:paraId="7B10872B" w14:textId="611D3BB2" w:rsidR="008704B1" w:rsidRDefault="008704B1">
      <w:pPr>
        <w:pStyle w:val="25"/>
        <w:rPr>
          <w:rFonts w:asciiTheme="minorHAnsi" w:eastAsiaTheme="minorEastAsia" w:hAnsiTheme="minorHAnsi" w:cstheme="minorBidi"/>
          <w:noProof/>
          <w:color w:val="auto"/>
          <w:sz w:val="22"/>
          <w:szCs w:val="22"/>
          <w:lang w:val="en-PH" w:eastAsia="en-PH"/>
        </w:rPr>
      </w:pPr>
      <w:hyperlink w:anchor="_Toc210589487" w:history="1">
        <w:r w:rsidRPr="00274472">
          <w:rPr>
            <w:rStyle w:val="aff6"/>
            <w:noProof/>
          </w:rPr>
          <w:t>7.4</w:t>
        </w:r>
        <w:r>
          <w:rPr>
            <w:rFonts w:asciiTheme="minorHAnsi" w:eastAsiaTheme="minorEastAsia" w:hAnsiTheme="minorHAnsi" w:cstheme="minorBidi"/>
            <w:noProof/>
            <w:color w:val="auto"/>
            <w:sz w:val="22"/>
            <w:szCs w:val="22"/>
            <w:lang w:val="en-PH" w:eastAsia="en-PH"/>
          </w:rPr>
          <w:tab/>
        </w:r>
        <w:r w:rsidRPr="00274472">
          <w:rPr>
            <w:rStyle w:val="aff6"/>
            <w:noProof/>
          </w:rPr>
          <w:t>Impact Significance</w:t>
        </w:r>
        <w:r>
          <w:rPr>
            <w:noProof/>
            <w:webHidden/>
          </w:rPr>
          <w:tab/>
        </w:r>
        <w:r>
          <w:rPr>
            <w:noProof/>
            <w:webHidden/>
          </w:rPr>
          <w:fldChar w:fldCharType="begin"/>
        </w:r>
        <w:r>
          <w:rPr>
            <w:noProof/>
            <w:webHidden/>
          </w:rPr>
          <w:instrText xml:space="preserve"> PAGEREF _Toc210589487 \h </w:instrText>
        </w:r>
        <w:r>
          <w:rPr>
            <w:noProof/>
            <w:webHidden/>
          </w:rPr>
        </w:r>
        <w:r>
          <w:rPr>
            <w:noProof/>
            <w:webHidden/>
          </w:rPr>
          <w:fldChar w:fldCharType="separate"/>
        </w:r>
        <w:r>
          <w:rPr>
            <w:noProof/>
            <w:webHidden/>
          </w:rPr>
          <w:t>104</w:t>
        </w:r>
        <w:r>
          <w:rPr>
            <w:noProof/>
            <w:webHidden/>
          </w:rPr>
          <w:fldChar w:fldCharType="end"/>
        </w:r>
      </w:hyperlink>
    </w:p>
    <w:p w14:paraId="441E8657" w14:textId="7F954009" w:rsidR="008704B1" w:rsidRDefault="008704B1">
      <w:pPr>
        <w:pStyle w:val="25"/>
        <w:rPr>
          <w:rFonts w:asciiTheme="minorHAnsi" w:eastAsiaTheme="minorEastAsia" w:hAnsiTheme="minorHAnsi" w:cstheme="minorBidi"/>
          <w:noProof/>
          <w:color w:val="auto"/>
          <w:sz w:val="22"/>
          <w:szCs w:val="22"/>
          <w:lang w:val="en-PH" w:eastAsia="en-PH"/>
        </w:rPr>
      </w:pPr>
      <w:hyperlink w:anchor="_Toc210589488" w:history="1">
        <w:r w:rsidRPr="00274472">
          <w:rPr>
            <w:rStyle w:val="aff6"/>
            <w:noProof/>
          </w:rPr>
          <w:t>7.5</w:t>
        </w:r>
        <w:r>
          <w:rPr>
            <w:rFonts w:asciiTheme="minorHAnsi" w:eastAsiaTheme="minorEastAsia" w:hAnsiTheme="minorHAnsi" w:cstheme="minorBidi"/>
            <w:noProof/>
            <w:color w:val="auto"/>
            <w:sz w:val="22"/>
            <w:szCs w:val="22"/>
            <w:lang w:val="en-PH" w:eastAsia="en-PH"/>
          </w:rPr>
          <w:tab/>
        </w:r>
        <w:r w:rsidRPr="00274472">
          <w:rPr>
            <w:rStyle w:val="aff6"/>
            <w:noProof/>
          </w:rPr>
          <w:t>Likelihood</w:t>
        </w:r>
        <w:r w:rsidRPr="00274472">
          <w:rPr>
            <w:rStyle w:val="aff6"/>
            <w:noProof/>
            <w:spacing w:val="-13"/>
          </w:rPr>
          <w:t xml:space="preserve"> </w:t>
        </w:r>
        <w:r w:rsidRPr="00274472">
          <w:rPr>
            <w:rStyle w:val="aff6"/>
            <w:noProof/>
          </w:rPr>
          <w:t>(Unplanned</w:t>
        </w:r>
        <w:r w:rsidRPr="00274472">
          <w:rPr>
            <w:rStyle w:val="aff6"/>
            <w:noProof/>
            <w:spacing w:val="-13"/>
          </w:rPr>
          <w:t xml:space="preserve"> </w:t>
        </w:r>
        <w:r w:rsidRPr="00274472">
          <w:rPr>
            <w:rStyle w:val="aff6"/>
            <w:noProof/>
            <w:spacing w:val="-2"/>
          </w:rPr>
          <w:t>Event)</w:t>
        </w:r>
        <w:r>
          <w:rPr>
            <w:noProof/>
            <w:webHidden/>
          </w:rPr>
          <w:tab/>
        </w:r>
        <w:r>
          <w:rPr>
            <w:noProof/>
            <w:webHidden/>
          </w:rPr>
          <w:fldChar w:fldCharType="begin"/>
        </w:r>
        <w:r>
          <w:rPr>
            <w:noProof/>
            <w:webHidden/>
          </w:rPr>
          <w:instrText xml:space="preserve"> PAGEREF _Toc210589488 \h </w:instrText>
        </w:r>
        <w:r>
          <w:rPr>
            <w:noProof/>
            <w:webHidden/>
          </w:rPr>
        </w:r>
        <w:r>
          <w:rPr>
            <w:noProof/>
            <w:webHidden/>
          </w:rPr>
          <w:fldChar w:fldCharType="separate"/>
        </w:r>
        <w:r>
          <w:rPr>
            <w:noProof/>
            <w:webHidden/>
          </w:rPr>
          <w:t>105</w:t>
        </w:r>
        <w:r>
          <w:rPr>
            <w:noProof/>
            <w:webHidden/>
          </w:rPr>
          <w:fldChar w:fldCharType="end"/>
        </w:r>
      </w:hyperlink>
    </w:p>
    <w:p w14:paraId="62148C0C" w14:textId="21E680F1" w:rsidR="008704B1" w:rsidRDefault="008704B1">
      <w:pPr>
        <w:pStyle w:val="25"/>
        <w:rPr>
          <w:rFonts w:asciiTheme="minorHAnsi" w:eastAsiaTheme="minorEastAsia" w:hAnsiTheme="minorHAnsi" w:cstheme="minorBidi"/>
          <w:noProof/>
          <w:color w:val="auto"/>
          <w:sz w:val="22"/>
          <w:szCs w:val="22"/>
          <w:lang w:val="en-PH" w:eastAsia="en-PH"/>
        </w:rPr>
      </w:pPr>
      <w:hyperlink w:anchor="_Toc210589489" w:history="1">
        <w:r w:rsidRPr="00274472">
          <w:rPr>
            <w:rStyle w:val="aff6"/>
            <w:noProof/>
          </w:rPr>
          <w:t>7.6</w:t>
        </w:r>
        <w:r>
          <w:rPr>
            <w:rFonts w:asciiTheme="minorHAnsi" w:eastAsiaTheme="minorEastAsia" w:hAnsiTheme="minorHAnsi" w:cstheme="minorBidi"/>
            <w:noProof/>
            <w:color w:val="auto"/>
            <w:sz w:val="22"/>
            <w:szCs w:val="22"/>
            <w:lang w:val="en-PH" w:eastAsia="en-PH"/>
          </w:rPr>
          <w:tab/>
        </w:r>
        <w:r w:rsidRPr="00274472">
          <w:rPr>
            <w:rStyle w:val="aff6"/>
            <w:noProof/>
          </w:rPr>
          <w:t>Impact</w:t>
        </w:r>
        <w:r w:rsidRPr="00274472">
          <w:rPr>
            <w:rStyle w:val="aff6"/>
            <w:noProof/>
            <w:spacing w:val="43"/>
          </w:rPr>
          <w:t xml:space="preserve"> </w:t>
        </w:r>
        <w:r w:rsidRPr="00274472">
          <w:rPr>
            <w:rStyle w:val="aff6"/>
            <w:noProof/>
          </w:rPr>
          <w:t>Mitigation</w:t>
        </w:r>
        <w:r>
          <w:rPr>
            <w:noProof/>
            <w:webHidden/>
          </w:rPr>
          <w:tab/>
        </w:r>
        <w:r>
          <w:rPr>
            <w:noProof/>
            <w:webHidden/>
          </w:rPr>
          <w:fldChar w:fldCharType="begin"/>
        </w:r>
        <w:r>
          <w:rPr>
            <w:noProof/>
            <w:webHidden/>
          </w:rPr>
          <w:instrText xml:space="preserve"> PAGEREF _Toc210589489 \h </w:instrText>
        </w:r>
        <w:r>
          <w:rPr>
            <w:noProof/>
            <w:webHidden/>
          </w:rPr>
        </w:r>
        <w:r>
          <w:rPr>
            <w:noProof/>
            <w:webHidden/>
          </w:rPr>
          <w:fldChar w:fldCharType="separate"/>
        </w:r>
        <w:r>
          <w:rPr>
            <w:noProof/>
            <w:webHidden/>
          </w:rPr>
          <w:t>106</w:t>
        </w:r>
        <w:r>
          <w:rPr>
            <w:noProof/>
            <w:webHidden/>
          </w:rPr>
          <w:fldChar w:fldCharType="end"/>
        </w:r>
      </w:hyperlink>
    </w:p>
    <w:p w14:paraId="494D9D66" w14:textId="1093E175" w:rsidR="008704B1" w:rsidRDefault="008704B1">
      <w:pPr>
        <w:pStyle w:val="25"/>
        <w:rPr>
          <w:rFonts w:asciiTheme="minorHAnsi" w:eastAsiaTheme="minorEastAsia" w:hAnsiTheme="minorHAnsi" w:cstheme="minorBidi"/>
          <w:noProof/>
          <w:color w:val="auto"/>
          <w:sz w:val="22"/>
          <w:szCs w:val="22"/>
          <w:lang w:val="en-PH" w:eastAsia="en-PH"/>
        </w:rPr>
      </w:pPr>
      <w:hyperlink w:anchor="_Toc210589490" w:history="1">
        <w:r w:rsidRPr="00274472">
          <w:rPr>
            <w:rStyle w:val="aff6"/>
            <w:noProof/>
          </w:rPr>
          <w:t>7.7</w:t>
        </w:r>
        <w:r>
          <w:rPr>
            <w:rFonts w:asciiTheme="minorHAnsi" w:eastAsiaTheme="minorEastAsia" w:hAnsiTheme="minorHAnsi" w:cstheme="minorBidi"/>
            <w:noProof/>
            <w:color w:val="auto"/>
            <w:sz w:val="22"/>
            <w:szCs w:val="22"/>
            <w:lang w:val="en-PH" w:eastAsia="en-PH"/>
          </w:rPr>
          <w:tab/>
        </w:r>
        <w:r w:rsidRPr="00274472">
          <w:rPr>
            <w:rStyle w:val="aff6"/>
            <w:noProof/>
          </w:rPr>
          <w:t>Residual</w:t>
        </w:r>
        <w:r w:rsidRPr="00274472">
          <w:rPr>
            <w:rStyle w:val="aff6"/>
            <w:noProof/>
            <w:spacing w:val="54"/>
          </w:rPr>
          <w:t xml:space="preserve"> </w:t>
        </w:r>
        <w:r w:rsidRPr="00274472">
          <w:rPr>
            <w:rStyle w:val="aff6"/>
            <w:noProof/>
          </w:rPr>
          <w:t>Significance</w:t>
        </w:r>
        <w:r w:rsidRPr="00274472">
          <w:rPr>
            <w:rStyle w:val="aff6"/>
            <w:noProof/>
            <w:spacing w:val="59"/>
          </w:rPr>
          <w:t xml:space="preserve"> </w:t>
        </w:r>
        <w:r w:rsidRPr="00274472">
          <w:rPr>
            <w:rStyle w:val="aff6"/>
            <w:noProof/>
          </w:rPr>
          <w:t>of Impacts</w:t>
        </w:r>
        <w:r>
          <w:rPr>
            <w:noProof/>
            <w:webHidden/>
          </w:rPr>
          <w:tab/>
        </w:r>
        <w:r>
          <w:rPr>
            <w:noProof/>
            <w:webHidden/>
          </w:rPr>
          <w:fldChar w:fldCharType="begin"/>
        </w:r>
        <w:r>
          <w:rPr>
            <w:noProof/>
            <w:webHidden/>
          </w:rPr>
          <w:instrText xml:space="preserve"> PAGEREF _Toc210589490 \h </w:instrText>
        </w:r>
        <w:r>
          <w:rPr>
            <w:noProof/>
            <w:webHidden/>
          </w:rPr>
        </w:r>
        <w:r>
          <w:rPr>
            <w:noProof/>
            <w:webHidden/>
          </w:rPr>
          <w:fldChar w:fldCharType="separate"/>
        </w:r>
        <w:r>
          <w:rPr>
            <w:noProof/>
            <w:webHidden/>
          </w:rPr>
          <w:t>106</w:t>
        </w:r>
        <w:r>
          <w:rPr>
            <w:noProof/>
            <w:webHidden/>
          </w:rPr>
          <w:fldChar w:fldCharType="end"/>
        </w:r>
      </w:hyperlink>
    </w:p>
    <w:p w14:paraId="419C2141" w14:textId="5D07E4C6" w:rsidR="008704B1" w:rsidRDefault="008704B1">
      <w:pPr>
        <w:pStyle w:val="43"/>
        <w:rPr>
          <w:rFonts w:asciiTheme="minorHAnsi" w:eastAsiaTheme="minorEastAsia" w:hAnsiTheme="minorHAnsi" w:cstheme="minorBidi"/>
          <w:noProof/>
          <w:sz w:val="22"/>
          <w:szCs w:val="22"/>
          <w:lang w:val="en-PH" w:eastAsia="en-PH"/>
        </w:rPr>
      </w:pPr>
      <w:hyperlink w:anchor="_Toc210589491" w:history="1">
        <w:r w:rsidRPr="00274472">
          <w:rPr>
            <w:rStyle w:val="aff6"/>
            <w:noProof/>
          </w:rPr>
          <w:t>7.7.1.1</w:t>
        </w:r>
        <w:r>
          <w:rPr>
            <w:rFonts w:asciiTheme="minorHAnsi" w:eastAsiaTheme="minorEastAsia" w:hAnsiTheme="minorHAnsi" w:cstheme="minorBidi"/>
            <w:noProof/>
            <w:sz w:val="22"/>
            <w:szCs w:val="22"/>
            <w:lang w:val="en-PH" w:eastAsia="en-PH"/>
          </w:rPr>
          <w:tab/>
        </w:r>
        <w:r w:rsidRPr="00274472">
          <w:rPr>
            <w:rStyle w:val="aff6"/>
            <w:noProof/>
          </w:rPr>
          <w:t>Documentation and Tracking</w:t>
        </w:r>
        <w:r>
          <w:rPr>
            <w:noProof/>
            <w:webHidden/>
          </w:rPr>
          <w:tab/>
        </w:r>
        <w:r>
          <w:rPr>
            <w:noProof/>
            <w:webHidden/>
          </w:rPr>
          <w:fldChar w:fldCharType="begin"/>
        </w:r>
        <w:r>
          <w:rPr>
            <w:noProof/>
            <w:webHidden/>
          </w:rPr>
          <w:instrText xml:space="preserve"> PAGEREF _Toc210589491 \h </w:instrText>
        </w:r>
        <w:r>
          <w:rPr>
            <w:noProof/>
            <w:webHidden/>
          </w:rPr>
        </w:r>
        <w:r>
          <w:rPr>
            <w:noProof/>
            <w:webHidden/>
          </w:rPr>
          <w:fldChar w:fldCharType="separate"/>
        </w:r>
        <w:r>
          <w:rPr>
            <w:noProof/>
            <w:webHidden/>
          </w:rPr>
          <w:t>107</w:t>
        </w:r>
        <w:r>
          <w:rPr>
            <w:noProof/>
            <w:webHidden/>
          </w:rPr>
          <w:fldChar w:fldCharType="end"/>
        </w:r>
      </w:hyperlink>
    </w:p>
    <w:p w14:paraId="1DB4943B" w14:textId="7D4F3CFE" w:rsidR="008704B1" w:rsidRDefault="008704B1">
      <w:pPr>
        <w:pStyle w:val="43"/>
        <w:rPr>
          <w:rFonts w:asciiTheme="minorHAnsi" w:eastAsiaTheme="minorEastAsia" w:hAnsiTheme="minorHAnsi" w:cstheme="minorBidi"/>
          <w:noProof/>
          <w:sz w:val="22"/>
          <w:szCs w:val="22"/>
          <w:lang w:val="en-PH" w:eastAsia="en-PH"/>
        </w:rPr>
      </w:pPr>
      <w:hyperlink w:anchor="_Toc210589492" w:history="1">
        <w:r w:rsidRPr="00274472">
          <w:rPr>
            <w:rStyle w:val="aff6"/>
            <w:noProof/>
          </w:rPr>
          <w:t>7.7.1.2</w:t>
        </w:r>
        <w:r>
          <w:rPr>
            <w:rFonts w:asciiTheme="minorHAnsi" w:eastAsiaTheme="minorEastAsia" w:hAnsiTheme="minorHAnsi" w:cstheme="minorBidi"/>
            <w:noProof/>
            <w:sz w:val="22"/>
            <w:szCs w:val="22"/>
            <w:lang w:val="en-PH" w:eastAsia="en-PH"/>
          </w:rPr>
          <w:tab/>
        </w:r>
        <w:r w:rsidRPr="00274472">
          <w:rPr>
            <w:rStyle w:val="aff6"/>
            <w:noProof/>
          </w:rPr>
          <w:t>Integration into Project Management</w:t>
        </w:r>
        <w:r>
          <w:rPr>
            <w:noProof/>
            <w:webHidden/>
          </w:rPr>
          <w:tab/>
        </w:r>
        <w:r>
          <w:rPr>
            <w:noProof/>
            <w:webHidden/>
          </w:rPr>
          <w:fldChar w:fldCharType="begin"/>
        </w:r>
        <w:r>
          <w:rPr>
            <w:noProof/>
            <w:webHidden/>
          </w:rPr>
          <w:instrText xml:space="preserve"> PAGEREF _Toc210589492 \h </w:instrText>
        </w:r>
        <w:r>
          <w:rPr>
            <w:noProof/>
            <w:webHidden/>
          </w:rPr>
        </w:r>
        <w:r>
          <w:rPr>
            <w:noProof/>
            <w:webHidden/>
          </w:rPr>
          <w:fldChar w:fldCharType="separate"/>
        </w:r>
        <w:r>
          <w:rPr>
            <w:noProof/>
            <w:webHidden/>
          </w:rPr>
          <w:t>107</w:t>
        </w:r>
        <w:r>
          <w:rPr>
            <w:noProof/>
            <w:webHidden/>
          </w:rPr>
          <w:fldChar w:fldCharType="end"/>
        </w:r>
      </w:hyperlink>
    </w:p>
    <w:p w14:paraId="33A75834" w14:textId="01D154FD" w:rsidR="008704B1" w:rsidRDefault="008704B1">
      <w:pPr>
        <w:pStyle w:val="25"/>
        <w:rPr>
          <w:rFonts w:asciiTheme="minorHAnsi" w:eastAsiaTheme="minorEastAsia" w:hAnsiTheme="minorHAnsi" w:cstheme="minorBidi"/>
          <w:noProof/>
          <w:color w:val="auto"/>
          <w:sz w:val="22"/>
          <w:szCs w:val="22"/>
          <w:lang w:val="en-PH" w:eastAsia="en-PH"/>
        </w:rPr>
      </w:pPr>
      <w:hyperlink w:anchor="_Toc210589493" w:history="1">
        <w:r w:rsidRPr="00274472">
          <w:rPr>
            <w:rStyle w:val="aff6"/>
            <w:noProof/>
          </w:rPr>
          <w:t>7.8</w:t>
        </w:r>
        <w:r>
          <w:rPr>
            <w:rFonts w:asciiTheme="minorHAnsi" w:eastAsiaTheme="minorEastAsia" w:hAnsiTheme="minorHAnsi" w:cstheme="minorBidi"/>
            <w:noProof/>
            <w:color w:val="auto"/>
            <w:sz w:val="22"/>
            <w:szCs w:val="22"/>
            <w:lang w:val="en-PH" w:eastAsia="en-PH"/>
          </w:rPr>
          <w:tab/>
        </w:r>
        <w:r w:rsidRPr="00274472">
          <w:rPr>
            <w:rStyle w:val="aff6"/>
            <w:noProof/>
          </w:rPr>
          <w:t>Cumulative</w:t>
        </w:r>
        <w:r w:rsidRPr="00274472">
          <w:rPr>
            <w:rStyle w:val="aff6"/>
            <w:noProof/>
            <w:spacing w:val="60"/>
          </w:rPr>
          <w:t xml:space="preserve"> </w:t>
        </w:r>
        <w:r w:rsidRPr="00274472">
          <w:rPr>
            <w:rStyle w:val="aff6"/>
            <w:noProof/>
            <w:spacing w:val="-2"/>
          </w:rPr>
          <w:t>Impacts</w:t>
        </w:r>
        <w:r>
          <w:rPr>
            <w:noProof/>
            <w:webHidden/>
          </w:rPr>
          <w:tab/>
        </w:r>
        <w:r>
          <w:rPr>
            <w:noProof/>
            <w:webHidden/>
          </w:rPr>
          <w:fldChar w:fldCharType="begin"/>
        </w:r>
        <w:r>
          <w:rPr>
            <w:noProof/>
            <w:webHidden/>
          </w:rPr>
          <w:instrText xml:space="preserve"> PAGEREF _Toc210589493 \h </w:instrText>
        </w:r>
        <w:r>
          <w:rPr>
            <w:noProof/>
            <w:webHidden/>
          </w:rPr>
        </w:r>
        <w:r>
          <w:rPr>
            <w:noProof/>
            <w:webHidden/>
          </w:rPr>
          <w:fldChar w:fldCharType="separate"/>
        </w:r>
        <w:r>
          <w:rPr>
            <w:noProof/>
            <w:webHidden/>
          </w:rPr>
          <w:t>108</w:t>
        </w:r>
        <w:r>
          <w:rPr>
            <w:noProof/>
            <w:webHidden/>
          </w:rPr>
          <w:fldChar w:fldCharType="end"/>
        </w:r>
      </w:hyperlink>
    </w:p>
    <w:p w14:paraId="35EF8248" w14:textId="6731112F" w:rsidR="008704B1" w:rsidRDefault="008704B1">
      <w:pPr>
        <w:pStyle w:val="25"/>
        <w:rPr>
          <w:rFonts w:asciiTheme="minorHAnsi" w:eastAsiaTheme="minorEastAsia" w:hAnsiTheme="minorHAnsi" w:cstheme="minorBidi"/>
          <w:noProof/>
          <w:color w:val="auto"/>
          <w:sz w:val="22"/>
          <w:szCs w:val="22"/>
          <w:lang w:val="en-PH" w:eastAsia="en-PH"/>
        </w:rPr>
      </w:pPr>
      <w:hyperlink w:anchor="_Toc210589494" w:history="1">
        <w:r w:rsidRPr="00274472">
          <w:rPr>
            <w:rStyle w:val="aff6"/>
            <w:noProof/>
          </w:rPr>
          <w:t>7.9</w:t>
        </w:r>
        <w:r>
          <w:rPr>
            <w:rFonts w:asciiTheme="minorHAnsi" w:eastAsiaTheme="minorEastAsia" w:hAnsiTheme="minorHAnsi" w:cstheme="minorBidi"/>
            <w:noProof/>
            <w:color w:val="auto"/>
            <w:sz w:val="22"/>
            <w:szCs w:val="22"/>
            <w:lang w:val="en-PH" w:eastAsia="en-PH"/>
          </w:rPr>
          <w:tab/>
        </w:r>
        <w:r w:rsidRPr="00274472">
          <w:rPr>
            <w:rStyle w:val="aff6"/>
            <w:noProof/>
          </w:rPr>
          <w:t>Dealing</w:t>
        </w:r>
        <w:r w:rsidRPr="00274472">
          <w:rPr>
            <w:rStyle w:val="aff6"/>
            <w:noProof/>
            <w:spacing w:val="48"/>
          </w:rPr>
          <w:t xml:space="preserve"> </w:t>
        </w:r>
        <w:r w:rsidRPr="00274472">
          <w:rPr>
            <w:rStyle w:val="aff6"/>
            <w:noProof/>
          </w:rPr>
          <w:t>With</w:t>
        </w:r>
        <w:r w:rsidRPr="00274472">
          <w:rPr>
            <w:rStyle w:val="aff6"/>
            <w:noProof/>
            <w:spacing w:val="47"/>
          </w:rPr>
          <w:t xml:space="preserve"> </w:t>
        </w:r>
        <w:r w:rsidRPr="00274472">
          <w:rPr>
            <w:rStyle w:val="aff6"/>
            <w:noProof/>
            <w:spacing w:val="-2"/>
          </w:rPr>
          <w:t>Uncertainty</w:t>
        </w:r>
        <w:r>
          <w:rPr>
            <w:noProof/>
            <w:webHidden/>
          </w:rPr>
          <w:tab/>
        </w:r>
        <w:r>
          <w:rPr>
            <w:noProof/>
            <w:webHidden/>
          </w:rPr>
          <w:fldChar w:fldCharType="begin"/>
        </w:r>
        <w:r>
          <w:rPr>
            <w:noProof/>
            <w:webHidden/>
          </w:rPr>
          <w:instrText xml:space="preserve"> PAGEREF _Toc210589494 \h </w:instrText>
        </w:r>
        <w:r>
          <w:rPr>
            <w:noProof/>
            <w:webHidden/>
          </w:rPr>
        </w:r>
        <w:r>
          <w:rPr>
            <w:noProof/>
            <w:webHidden/>
          </w:rPr>
          <w:fldChar w:fldCharType="separate"/>
        </w:r>
        <w:r>
          <w:rPr>
            <w:noProof/>
            <w:webHidden/>
          </w:rPr>
          <w:t>108</w:t>
        </w:r>
        <w:r>
          <w:rPr>
            <w:noProof/>
            <w:webHidden/>
          </w:rPr>
          <w:fldChar w:fldCharType="end"/>
        </w:r>
      </w:hyperlink>
    </w:p>
    <w:p w14:paraId="4065D142" w14:textId="1F130643"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495" w:history="1">
        <w:r w:rsidRPr="00274472">
          <w:rPr>
            <w:rStyle w:val="aff6"/>
            <w:rFonts w:cs="Arial"/>
            <w:noProof/>
          </w:rPr>
          <w:t>8</w:t>
        </w:r>
        <w:r>
          <w:rPr>
            <w:rFonts w:asciiTheme="minorHAnsi" w:eastAsiaTheme="minorEastAsia" w:hAnsiTheme="minorHAnsi" w:cstheme="minorBidi"/>
            <w:b w:val="0"/>
            <w:noProof/>
            <w:sz w:val="22"/>
            <w:szCs w:val="22"/>
            <w:lang w:val="en-PH" w:eastAsia="en-PH"/>
          </w:rPr>
          <w:tab/>
        </w:r>
        <w:r w:rsidRPr="00274472">
          <w:rPr>
            <w:rStyle w:val="aff6"/>
            <w:rFonts w:cs="Arial"/>
            <w:noProof/>
          </w:rPr>
          <w:t>ENVIRONMENTAL AND SOCIAL RISKS ASSESSMENTS &amp; MEASURES</w:t>
        </w:r>
        <w:r>
          <w:rPr>
            <w:noProof/>
            <w:webHidden/>
          </w:rPr>
          <w:tab/>
        </w:r>
        <w:r>
          <w:rPr>
            <w:noProof/>
            <w:webHidden/>
          </w:rPr>
          <w:fldChar w:fldCharType="begin"/>
        </w:r>
        <w:r>
          <w:rPr>
            <w:noProof/>
            <w:webHidden/>
          </w:rPr>
          <w:instrText xml:space="preserve"> PAGEREF _Toc210589495 \h </w:instrText>
        </w:r>
        <w:r>
          <w:rPr>
            <w:noProof/>
            <w:webHidden/>
          </w:rPr>
        </w:r>
        <w:r>
          <w:rPr>
            <w:noProof/>
            <w:webHidden/>
          </w:rPr>
          <w:fldChar w:fldCharType="separate"/>
        </w:r>
        <w:r>
          <w:rPr>
            <w:noProof/>
            <w:webHidden/>
          </w:rPr>
          <w:t>109</w:t>
        </w:r>
        <w:r>
          <w:rPr>
            <w:noProof/>
            <w:webHidden/>
          </w:rPr>
          <w:fldChar w:fldCharType="end"/>
        </w:r>
      </w:hyperlink>
    </w:p>
    <w:p w14:paraId="1D19A74C" w14:textId="6C5DA3D8" w:rsidR="008704B1" w:rsidRDefault="008704B1">
      <w:pPr>
        <w:pStyle w:val="25"/>
        <w:rPr>
          <w:rFonts w:asciiTheme="minorHAnsi" w:eastAsiaTheme="minorEastAsia" w:hAnsiTheme="minorHAnsi" w:cstheme="minorBidi"/>
          <w:noProof/>
          <w:color w:val="auto"/>
          <w:sz w:val="22"/>
          <w:szCs w:val="22"/>
          <w:lang w:val="en-PH" w:eastAsia="en-PH"/>
        </w:rPr>
      </w:pPr>
      <w:hyperlink w:anchor="_Toc210589496" w:history="1">
        <w:r w:rsidRPr="00274472">
          <w:rPr>
            <w:rStyle w:val="aff6"/>
            <w:noProof/>
          </w:rPr>
          <w:t>8.1</w:t>
        </w:r>
        <w:r>
          <w:rPr>
            <w:rFonts w:asciiTheme="minorHAnsi" w:eastAsiaTheme="minorEastAsia" w:hAnsiTheme="minorHAnsi" w:cstheme="minorBidi"/>
            <w:noProof/>
            <w:color w:val="auto"/>
            <w:sz w:val="22"/>
            <w:szCs w:val="22"/>
            <w:lang w:val="en-PH" w:eastAsia="en-PH"/>
          </w:rPr>
          <w:tab/>
        </w:r>
        <w:r w:rsidRPr="00274472">
          <w:rPr>
            <w:rStyle w:val="aff6"/>
            <w:noProof/>
          </w:rPr>
          <w:t>Environmental and Social Assessment on the Project Activities</w:t>
        </w:r>
        <w:r>
          <w:rPr>
            <w:noProof/>
            <w:webHidden/>
          </w:rPr>
          <w:tab/>
        </w:r>
        <w:r>
          <w:rPr>
            <w:noProof/>
            <w:webHidden/>
          </w:rPr>
          <w:fldChar w:fldCharType="begin"/>
        </w:r>
        <w:r>
          <w:rPr>
            <w:noProof/>
            <w:webHidden/>
          </w:rPr>
          <w:instrText xml:space="preserve"> PAGEREF _Toc210589496 \h </w:instrText>
        </w:r>
        <w:r>
          <w:rPr>
            <w:noProof/>
            <w:webHidden/>
          </w:rPr>
        </w:r>
        <w:r>
          <w:rPr>
            <w:noProof/>
            <w:webHidden/>
          </w:rPr>
          <w:fldChar w:fldCharType="separate"/>
        </w:r>
        <w:r>
          <w:rPr>
            <w:noProof/>
            <w:webHidden/>
          </w:rPr>
          <w:t>109</w:t>
        </w:r>
        <w:r>
          <w:rPr>
            <w:noProof/>
            <w:webHidden/>
          </w:rPr>
          <w:fldChar w:fldCharType="end"/>
        </w:r>
      </w:hyperlink>
    </w:p>
    <w:p w14:paraId="7C33CBAC" w14:textId="5748512C"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97"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8.1.1</w:t>
        </w:r>
        <w:r>
          <w:rPr>
            <w:rFonts w:asciiTheme="minorHAnsi" w:eastAsiaTheme="minorEastAsia" w:hAnsiTheme="minorHAnsi" w:cstheme="minorBidi"/>
            <w:noProof/>
            <w:sz w:val="22"/>
            <w:szCs w:val="22"/>
            <w:lang w:val="en-PH" w:eastAsia="en-PH"/>
          </w:rPr>
          <w:tab/>
        </w:r>
        <w:r w:rsidRPr="00274472">
          <w:rPr>
            <w:rStyle w:val="aff6"/>
            <w:noProof/>
          </w:rPr>
          <w:t>Pre-Construction Activities</w:t>
        </w:r>
        <w:r>
          <w:rPr>
            <w:noProof/>
            <w:webHidden/>
          </w:rPr>
          <w:tab/>
        </w:r>
        <w:r>
          <w:rPr>
            <w:noProof/>
            <w:webHidden/>
          </w:rPr>
          <w:fldChar w:fldCharType="begin"/>
        </w:r>
        <w:r>
          <w:rPr>
            <w:noProof/>
            <w:webHidden/>
          </w:rPr>
          <w:instrText xml:space="preserve"> PAGEREF _Toc210589497 \h </w:instrText>
        </w:r>
        <w:r>
          <w:rPr>
            <w:noProof/>
            <w:webHidden/>
          </w:rPr>
        </w:r>
        <w:r>
          <w:rPr>
            <w:noProof/>
            <w:webHidden/>
          </w:rPr>
          <w:fldChar w:fldCharType="separate"/>
        </w:r>
        <w:r>
          <w:rPr>
            <w:noProof/>
            <w:webHidden/>
          </w:rPr>
          <w:t>109</w:t>
        </w:r>
        <w:r>
          <w:rPr>
            <w:noProof/>
            <w:webHidden/>
          </w:rPr>
          <w:fldChar w:fldCharType="end"/>
        </w:r>
      </w:hyperlink>
    </w:p>
    <w:p w14:paraId="6A19871C" w14:textId="0555991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9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8.1.2</w:t>
        </w:r>
        <w:r>
          <w:rPr>
            <w:rFonts w:asciiTheme="minorHAnsi" w:eastAsiaTheme="minorEastAsia" w:hAnsiTheme="minorHAnsi" w:cstheme="minorBidi"/>
            <w:noProof/>
            <w:sz w:val="22"/>
            <w:szCs w:val="22"/>
            <w:lang w:val="en-PH" w:eastAsia="en-PH"/>
          </w:rPr>
          <w:tab/>
        </w:r>
        <w:r w:rsidRPr="00274472">
          <w:rPr>
            <w:rStyle w:val="aff6"/>
            <w:noProof/>
          </w:rPr>
          <w:t>Construction Activities</w:t>
        </w:r>
        <w:r>
          <w:rPr>
            <w:noProof/>
            <w:webHidden/>
          </w:rPr>
          <w:tab/>
        </w:r>
        <w:r>
          <w:rPr>
            <w:noProof/>
            <w:webHidden/>
          </w:rPr>
          <w:fldChar w:fldCharType="begin"/>
        </w:r>
        <w:r>
          <w:rPr>
            <w:noProof/>
            <w:webHidden/>
          </w:rPr>
          <w:instrText xml:space="preserve"> PAGEREF _Toc210589498 \h </w:instrText>
        </w:r>
        <w:r>
          <w:rPr>
            <w:noProof/>
            <w:webHidden/>
          </w:rPr>
        </w:r>
        <w:r>
          <w:rPr>
            <w:noProof/>
            <w:webHidden/>
          </w:rPr>
          <w:fldChar w:fldCharType="separate"/>
        </w:r>
        <w:r>
          <w:rPr>
            <w:noProof/>
            <w:webHidden/>
          </w:rPr>
          <w:t>109</w:t>
        </w:r>
        <w:r>
          <w:rPr>
            <w:noProof/>
            <w:webHidden/>
          </w:rPr>
          <w:fldChar w:fldCharType="end"/>
        </w:r>
      </w:hyperlink>
    </w:p>
    <w:p w14:paraId="7061204D" w14:textId="6CF09E07"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49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8.1.3</w:t>
        </w:r>
        <w:r>
          <w:rPr>
            <w:rFonts w:asciiTheme="minorHAnsi" w:eastAsiaTheme="minorEastAsia" w:hAnsiTheme="minorHAnsi" w:cstheme="minorBidi"/>
            <w:noProof/>
            <w:sz w:val="22"/>
            <w:szCs w:val="22"/>
            <w:lang w:val="en-PH" w:eastAsia="en-PH"/>
          </w:rPr>
          <w:tab/>
        </w:r>
        <w:r w:rsidRPr="00274472">
          <w:rPr>
            <w:rStyle w:val="aff6"/>
            <w:noProof/>
          </w:rPr>
          <w:t>Operation Activities</w:t>
        </w:r>
        <w:r>
          <w:rPr>
            <w:noProof/>
            <w:webHidden/>
          </w:rPr>
          <w:tab/>
        </w:r>
        <w:r>
          <w:rPr>
            <w:noProof/>
            <w:webHidden/>
          </w:rPr>
          <w:fldChar w:fldCharType="begin"/>
        </w:r>
        <w:r>
          <w:rPr>
            <w:noProof/>
            <w:webHidden/>
          </w:rPr>
          <w:instrText xml:space="preserve"> PAGEREF _Toc210589499 \h </w:instrText>
        </w:r>
        <w:r>
          <w:rPr>
            <w:noProof/>
            <w:webHidden/>
          </w:rPr>
        </w:r>
        <w:r>
          <w:rPr>
            <w:noProof/>
            <w:webHidden/>
          </w:rPr>
          <w:fldChar w:fldCharType="separate"/>
        </w:r>
        <w:r>
          <w:rPr>
            <w:noProof/>
            <w:webHidden/>
          </w:rPr>
          <w:t>110</w:t>
        </w:r>
        <w:r>
          <w:rPr>
            <w:noProof/>
            <w:webHidden/>
          </w:rPr>
          <w:fldChar w:fldCharType="end"/>
        </w:r>
      </w:hyperlink>
    </w:p>
    <w:p w14:paraId="59210FB9" w14:textId="18E0C85C"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0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8.1.4</w:t>
        </w:r>
        <w:r>
          <w:rPr>
            <w:rFonts w:asciiTheme="minorHAnsi" w:eastAsiaTheme="minorEastAsia" w:hAnsiTheme="minorHAnsi" w:cstheme="minorBidi"/>
            <w:noProof/>
            <w:sz w:val="22"/>
            <w:szCs w:val="22"/>
            <w:lang w:val="en-PH" w:eastAsia="en-PH"/>
          </w:rPr>
          <w:tab/>
        </w:r>
        <w:r w:rsidRPr="00274472">
          <w:rPr>
            <w:rStyle w:val="aff6"/>
            <w:noProof/>
          </w:rPr>
          <w:t>Environmental and Social Risks and Impacts</w:t>
        </w:r>
        <w:r>
          <w:rPr>
            <w:noProof/>
            <w:webHidden/>
          </w:rPr>
          <w:tab/>
        </w:r>
        <w:r>
          <w:rPr>
            <w:noProof/>
            <w:webHidden/>
          </w:rPr>
          <w:fldChar w:fldCharType="begin"/>
        </w:r>
        <w:r>
          <w:rPr>
            <w:noProof/>
            <w:webHidden/>
          </w:rPr>
          <w:instrText xml:space="preserve"> PAGEREF _Toc210589500 \h </w:instrText>
        </w:r>
        <w:r>
          <w:rPr>
            <w:noProof/>
            <w:webHidden/>
          </w:rPr>
        </w:r>
        <w:r>
          <w:rPr>
            <w:noProof/>
            <w:webHidden/>
          </w:rPr>
          <w:fldChar w:fldCharType="separate"/>
        </w:r>
        <w:r>
          <w:rPr>
            <w:noProof/>
            <w:webHidden/>
          </w:rPr>
          <w:t>111</w:t>
        </w:r>
        <w:r>
          <w:rPr>
            <w:noProof/>
            <w:webHidden/>
          </w:rPr>
          <w:fldChar w:fldCharType="end"/>
        </w:r>
      </w:hyperlink>
    </w:p>
    <w:p w14:paraId="64651FD2" w14:textId="4F0BF021" w:rsidR="008704B1" w:rsidRDefault="008704B1">
      <w:pPr>
        <w:pStyle w:val="25"/>
        <w:rPr>
          <w:rFonts w:asciiTheme="minorHAnsi" w:eastAsiaTheme="minorEastAsia" w:hAnsiTheme="minorHAnsi" w:cstheme="minorBidi"/>
          <w:noProof/>
          <w:color w:val="auto"/>
          <w:sz w:val="22"/>
          <w:szCs w:val="22"/>
          <w:lang w:val="en-PH" w:eastAsia="en-PH"/>
        </w:rPr>
      </w:pPr>
      <w:hyperlink w:anchor="_Toc210589501" w:history="1">
        <w:r w:rsidRPr="00274472">
          <w:rPr>
            <w:rStyle w:val="aff6"/>
            <w:noProof/>
          </w:rPr>
          <w:t>8.2</w:t>
        </w:r>
        <w:r>
          <w:rPr>
            <w:rFonts w:asciiTheme="minorHAnsi" w:eastAsiaTheme="minorEastAsia" w:hAnsiTheme="minorHAnsi" w:cstheme="minorBidi"/>
            <w:noProof/>
            <w:color w:val="auto"/>
            <w:sz w:val="22"/>
            <w:szCs w:val="22"/>
            <w:lang w:val="en-PH" w:eastAsia="en-PH"/>
          </w:rPr>
          <w:tab/>
        </w:r>
        <w:r w:rsidRPr="00274472">
          <w:rPr>
            <w:rStyle w:val="aff6"/>
            <w:noProof/>
          </w:rPr>
          <w:t>Impacts and Risks during Pre-construction and Construction Phase</w:t>
        </w:r>
        <w:r>
          <w:rPr>
            <w:noProof/>
            <w:webHidden/>
          </w:rPr>
          <w:tab/>
        </w:r>
        <w:r>
          <w:rPr>
            <w:noProof/>
            <w:webHidden/>
          </w:rPr>
          <w:fldChar w:fldCharType="begin"/>
        </w:r>
        <w:r>
          <w:rPr>
            <w:noProof/>
            <w:webHidden/>
          </w:rPr>
          <w:instrText xml:space="preserve"> PAGEREF _Toc210589501 \h </w:instrText>
        </w:r>
        <w:r>
          <w:rPr>
            <w:noProof/>
            <w:webHidden/>
          </w:rPr>
        </w:r>
        <w:r>
          <w:rPr>
            <w:noProof/>
            <w:webHidden/>
          </w:rPr>
          <w:fldChar w:fldCharType="separate"/>
        </w:r>
        <w:r>
          <w:rPr>
            <w:noProof/>
            <w:webHidden/>
          </w:rPr>
          <w:t>113</w:t>
        </w:r>
        <w:r>
          <w:rPr>
            <w:noProof/>
            <w:webHidden/>
          </w:rPr>
          <w:fldChar w:fldCharType="end"/>
        </w:r>
      </w:hyperlink>
    </w:p>
    <w:p w14:paraId="16829F8C" w14:textId="2E2CB1A5" w:rsidR="008704B1" w:rsidRDefault="008704B1">
      <w:pPr>
        <w:pStyle w:val="35"/>
        <w:tabs>
          <w:tab w:val="right" w:leader="dot" w:pos="9260"/>
        </w:tabs>
        <w:rPr>
          <w:rFonts w:asciiTheme="minorHAnsi" w:eastAsiaTheme="minorEastAsia" w:hAnsiTheme="minorHAnsi" w:cstheme="minorBidi"/>
          <w:noProof/>
          <w:sz w:val="22"/>
          <w:szCs w:val="22"/>
          <w:lang w:val="en-PH" w:eastAsia="en-PH"/>
        </w:rPr>
      </w:pPr>
      <w:hyperlink w:anchor="_Toc210589502" w:history="1">
        <w:r w:rsidRPr="00274472">
          <w:rPr>
            <w:rStyle w:val="aff6"/>
            <w:noProof/>
          </w:rPr>
          <w:t xml:space="preserve">8.2.2 Environmental and Social Risks and Impacts Related to </w:t>
        </w:r>
        <w:r w:rsidRPr="00274472">
          <w:rPr>
            <w:rStyle w:val="aff6"/>
            <w:bCs/>
            <w:noProof/>
          </w:rPr>
          <w:t>PS2</w:t>
        </w:r>
        <w:r>
          <w:rPr>
            <w:noProof/>
            <w:webHidden/>
          </w:rPr>
          <w:tab/>
        </w:r>
        <w:r>
          <w:rPr>
            <w:noProof/>
            <w:webHidden/>
          </w:rPr>
          <w:fldChar w:fldCharType="begin"/>
        </w:r>
        <w:r>
          <w:rPr>
            <w:noProof/>
            <w:webHidden/>
          </w:rPr>
          <w:instrText xml:space="preserve"> PAGEREF _Toc210589502 \h </w:instrText>
        </w:r>
        <w:r>
          <w:rPr>
            <w:noProof/>
            <w:webHidden/>
          </w:rPr>
        </w:r>
        <w:r>
          <w:rPr>
            <w:noProof/>
            <w:webHidden/>
          </w:rPr>
          <w:fldChar w:fldCharType="separate"/>
        </w:r>
        <w:r>
          <w:rPr>
            <w:noProof/>
            <w:webHidden/>
          </w:rPr>
          <w:t>113</w:t>
        </w:r>
        <w:r>
          <w:rPr>
            <w:noProof/>
            <w:webHidden/>
          </w:rPr>
          <w:fldChar w:fldCharType="end"/>
        </w:r>
      </w:hyperlink>
    </w:p>
    <w:p w14:paraId="2C2F72AF" w14:textId="7E6087B9" w:rsidR="008704B1" w:rsidRDefault="008704B1">
      <w:pPr>
        <w:pStyle w:val="43"/>
        <w:rPr>
          <w:rFonts w:asciiTheme="minorHAnsi" w:eastAsiaTheme="minorEastAsia" w:hAnsiTheme="minorHAnsi" w:cstheme="minorBidi"/>
          <w:noProof/>
          <w:sz w:val="22"/>
          <w:szCs w:val="22"/>
          <w:lang w:val="en-PH" w:eastAsia="en-PH"/>
        </w:rPr>
      </w:pPr>
      <w:hyperlink w:anchor="_Toc210589503" w:history="1">
        <w:r w:rsidRPr="00274472">
          <w:rPr>
            <w:rStyle w:val="aff6"/>
            <w:noProof/>
          </w:rPr>
          <w:t>8.2.1.1</w:t>
        </w:r>
        <w:r>
          <w:rPr>
            <w:rFonts w:asciiTheme="minorHAnsi" w:eastAsiaTheme="minorEastAsia" w:hAnsiTheme="minorHAnsi" w:cstheme="minorBidi"/>
            <w:noProof/>
            <w:sz w:val="22"/>
            <w:szCs w:val="22"/>
            <w:lang w:val="en-PH" w:eastAsia="en-PH"/>
          </w:rPr>
          <w:tab/>
        </w:r>
        <w:r w:rsidRPr="00274472">
          <w:rPr>
            <w:rStyle w:val="aff6"/>
            <w:noProof/>
          </w:rPr>
          <w:t>Occupational Health and Safety Hazard</w:t>
        </w:r>
        <w:r>
          <w:rPr>
            <w:noProof/>
            <w:webHidden/>
          </w:rPr>
          <w:tab/>
        </w:r>
        <w:r>
          <w:rPr>
            <w:noProof/>
            <w:webHidden/>
          </w:rPr>
          <w:fldChar w:fldCharType="begin"/>
        </w:r>
        <w:r>
          <w:rPr>
            <w:noProof/>
            <w:webHidden/>
          </w:rPr>
          <w:instrText xml:space="preserve"> PAGEREF _Toc210589503 \h </w:instrText>
        </w:r>
        <w:r>
          <w:rPr>
            <w:noProof/>
            <w:webHidden/>
          </w:rPr>
        </w:r>
        <w:r>
          <w:rPr>
            <w:noProof/>
            <w:webHidden/>
          </w:rPr>
          <w:fldChar w:fldCharType="separate"/>
        </w:r>
        <w:r>
          <w:rPr>
            <w:noProof/>
            <w:webHidden/>
          </w:rPr>
          <w:t>116</w:t>
        </w:r>
        <w:r>
          <w:rPr>
            <w:noProof/>
            <w:webHidden/>
          </w:rPr>
          <w:fldChar w:fldCharType="end"/>
        </w:r>
      </w:hyperlink>
    </w:p>
    <w:p w14:paraId="334F7F96" w14:textId="2DA113DF" w:rsidR="008704B1" w:rsidRDefault="008704B1">
      <w:pPr>
        <w:pStyle w:val="43"/>
        <w:rPr>
          <w:rFonts w:asciiTheme="minorHAnsi" w:eastAsiaTheme="minorEastAsia" w:hAnsiTheme="minorHAnsi" w:cstheme="minorBidi"/>
          <w:noProof/>
          <w:sz w:val="22"/>
          <w:szCs w:val="22"/>
          <w:lang w:val="en-PH" w:eastAsia="en-PH"/>
        </w:rPr>
      </w:pPr>
      <w:hyperlink w:anchor="_Toc210589504" w:history="1">
        <w:r w:rsidRPr="00274472">
          <w:rPr>
            <w:rStyle w:val="aff6"/>
            <w:noProof/>
          </w:rPr>
          <w:t>8.2.1.2</w:t>
        </w:r>
        <w:r>
          <w:rPr>
            <w:rFonts w:asciiTheme="minorHAnsi" w:eastAsiaTheme="minorEastAsia" w:hAnsiTheme="minorHAnsi" w:cstheme="minorBidi"/>
            <w:noProof/>
            <w:sz w:val="22"/>
            <w:szCs w:val="22"/>
            <w:lang w:val="en-PH" w:eastAsia="en-PH"/>
          </w:rPr>
          <w:tab/>
        </w:r>
        <w:r w:rsidRPr="00274472">
          <w:rPr>
            <w:rStyle w:val="aff6"/>
            <w:noProof/>
          </w:rPr>
          <w:t>Gender-Based Violence (GBV)</w:t>
        </w:r>
        <w:r>
          <w:rPr>
            <w:noProof/>
            <w:webHidden/>
          </w:rPr>
          <w:tab/>
        </w:r>
        <w:r>
          <w:rPr>
            <w:noProof/>
            <w:webHidden/>
          </w:rPr>
          <w:fldChar w:fldCharType="begin"/>
        </w:r>
        <w:r>
          <w:rPr>
            <w:noProof/>
            <w:webHidden/>
          </w:rPr>
          <w:instrText xml:space="preserve"> PAGEREF _Toc210589504 \h </w:instrText>
        </w:r>
        <w:r>
          <w:rPr>
            <w:noProof/>
            <w:webHidden/>
          </w:rPr>
        </w:r>
        <w:r>
          <w:rPr>
            <w:noProof/>
            <w:webHidden/>
          </w:rPr>
          <w:fldChar w:fldCharType="separate"/>
        </w:r>
        <w:r>
          <w:rPr>
            <w:noProof/>
            <w:webHidden/>
          </w:rPr>
          <w:t>119</w:t>
        </w:r>
        <w:r>
          <w:rPr>
            <w:noProof/>
            <w:webHidden/>
          </w:rPr>
          <w:fldChar w:fldCharType="end"/>
        </w:r>
      </w:hyperlink>
    </w:p>
    <w:p w14:paraId="0BDE796F" w14:textId="424CB0C6" w:rsidR="008704B1" w:rsidRDefault="008704B1">
      <w:pPr>
        <w:pStyle w:val="43"/>
        <w:rPr>
          <w:rFonts w:asciiTheme="minorHAnsi" w:eastAsiaTheme="minorEastAsia" w:hAnsiTheme="minorHAnsi" w:cstheme="minorBidi"/>
          <w:noProof/>
          <w:sz w:val="22"/>
          <w:szCs w:val="22"/>
          <w:lang w:val="en-PH" w:eastAsia="en-PH"/>
        </w:rPr>
      </w:pPr>
      <w:hyperlink w:anchor="_Toc210589505" w:history="1">
        <w:r w:rsidRPr="00274472">
          <w:rPr>
            <w:rStyle w:val="aff6"/>
            <w:noProof/>
          </w:rPr>
          <w:t>8.2.1.3</w:t>
        </w:r>
        <w:r>
          <w:rPr>
            <w:rFonts w:asciiTheme="minorHAnsi" w:eastAsiaTheme="minorEastAsia" w:hAnsiTheme="minorHAnsi" w:cstheme="minorBidi"/>
            <w:noProof/>
            <w:sz w:val="22"/>
            <w:szCs w:val="22"/>
            <w:lang w:val="en-PH" w:eastAsia="en-PH"/>
          </w:rPr>
          <w:tab/>
        </w:r>
        <w:r w:rsidRPr="00274472">
          <w:rPr>
            <w:rStyle w:val="aff6"/>
            <w:noProof/>
          </w:rPr>
          <w:t>Social Conflict (Labor Influx)</w:t>
        </w:r>
        <w:r>
          <w:rPr>
            <w:noProof/>
            <w:webHidden/>
          </w:rPr>
          <w:tab/>
        </w:r>
        <w:r>
          <w:rPr>
            <w:noProof/>
            <w:webHidden/>
          </w:rPr>
          <w:fldChar w:fldCharType="begin"/>
        </w:r>
        <w:r>
          <w:rPr>
            <w:noProof/>
            <w:webHidden/>
          </w:rPr>
          <w:instrText xml:space="preserve"> PAGEREF _Toc210589505 \h </w:instrText>
        </w:r>
        <w:r>
          <w:rPr>
            <w:noProof/>
            <w:webHidden/>
          </w:rPr>
        </w:r>
        <w:r>
          <w:rPr>
            <w:noProof/>
            <w:webHidden/>
          </w:rPr>
          <w:fldChar w:fldCharType="separate"/>
        </w:r>
        <w:r>
          <w:rPr>
            <w:noProof/>
            <w:webHidden/>
          </w:rPr>
          <w:t>120</w:t>
        </w:r>
        <w:r>
          <w:rPr>
            <w:noProof/>
            <w:webHidden/>
          </w:rPr>
          <w:fldChar w:fldCharType="end"/>
        </w:r>
      </w:hyperlink>
    </w:p>
    <w:p w14:paraId="70E545ED" w14:textId="71B34E94" w:rsidR="008704B1" w:rsidRDefault="008704B1">
      <w:pPr>
        <w:pStyle w:val="43"/>
        <w:rPr>
          <w:rFonts w:asciiTheme="minorHAnsi" w:eastAsiaTheme="minorEastAsia" w:hAnsiTheme="minorHAnsi" w:cstheme="minorBidi"/>
          <w:noProof/>
          <w:sz w:val="22"/>
          <w:szCs w:val="22"/>
          <w:lang w:val="en-PH" w:eastAsia="en-PH"/>
        </w:rPr>
      </w:pPr>
      <w:hyperlink w:anchor="_Toc210589506" w:history="1">
        <w:r w:rsidRPr="00274472">
          <w:rPr>
            <w:rStyle w:val="aff6"/>
            <w:noProof/>
          </w:rPr>
          <w:t>8.2.1.4</w:t>
        </w:r>
        <w:r>
          <w:rPr>
            <w:rFonts w:asciiTheme="minorHAnsi" w:eastAsiaTheme="minorEastAsia" w:hAnsiTheme="minorHAnsi" w:cstheme="minorBidi"/>
            <w:noProof/>
            <w:sz w:val="22"/>
            <w:szCs w:val="22"/>
            <w:lang w:val="en-PH" w:eastAsia="en-PH"/>
          </w:rPr>
          <w:tab/>
        </w:r>
        <w:r w:rsidRPr="00274472">
          <w:rPr>
            <w:rStyle w:val="aff6"/>
            <w:noProof/>
          </w:rPr>
          <w:t>Employment and Livelihood</w:t>
        </w:r>
        <w:r>
          <w:rPr>
            <w:noProof/>
            <w:webHidden/>
          </w:rPr>
          <w:tab/>
        </w:r>
        <w:r>
          <w:rPr>
            <w:noProof/>
            <w:webHidden/>
          </w:rPr>
          <w:fldChar w:fldCharType="begin"/>
        </w:r>
        <w:r>
          <w:rPr>
            <w:noProof/>
            <w:webHidden/>
          </w:rPr>
          <w:instrText xml:space="preserve"> PAGEREF _Toc210589506 \h </w:instrText>
        </w:r>
        <w:r>
          <w:rPr>
            <w:noProof/>
            <w:webHidden/>
          </w:rPr>
        </w:r>
        <w:r>
          <w:rPr>
            <w:noProof/>
            <w:webHidden/>
          </w:rPr>
          <w:fldChar w:fldCharType="separate"/>
        </w:r>
        <w:r>
          <w:rPr>
            <w:noProof/>
            <w:webHidden/>
          </w:rPr>
          <w:t>121</w:t>
        </w:r>
        <w:r>
          <w:rPr>
            <w:noProof/>
            <w:webHidden/>
          </w:rPr>
          <w:fldChar w:fldCharType="end"/>
        </w:r>
      </w:hyperlink>
    </w:p>
    <w:p w14:paraId="26B8948D" w14:textId="3406172B" w:rsidR="008704B1" w:rsidRDefault="008704B1">
      <w:pPr>
        <w:pStyle w:val="25"/>
        <w:rPr>
          <w:rFonts w:asciiTheme="minorHAnsi" w:eastAsiaTheme="minorEastAsia" w:hAnsiTheme="minorHAnsi" w:cstheme="minorBidi"/>
          <w:noProof/>
          <w:color w:val="auto"/>
          <w:sz w:val="22"/>
          <w:szCs w:val="22"/>
          <w:lang w:val="en-PH" w:eastAsia="en-PH"/>
        </w:rPr>
      </w:pPr>
      <w:hyperlink w:anchor="_Toc210589507" w:history="1">
        <w:r w:rsidRPr="00274472">
          <w:rPr>
            <w:rStyle w:val="aff6"/>
            <w:noProof/>
          </w:rPr>
          <w:t>8.3</w:t>
        </w:r>
        <w:r>
          <w:rPr>
            <w:rFonts w:asciiTheme="minorHAnsi" w:eastAsiaTheme="minorEastAsia" w:hAnsiTheme="minorHAnsi" w:cstheme="minorBidi"/>
            <w:noProof/>
            <w:color w:val="auto"/>
            <w:sz w:val="22"/>
            <w:szCs w:val="22"/>
            <w:lang w:val="en-PH" w:eastAsia="en-PH"/>
          </w:rPr>
          <w:tab/>
        </w:r>
        <w:r w:rsidRPr="00274472">
          <w:rPr>
            <w:rStyle w:val="aff6"/>
            <w:noProof/>
          </w:rPr>
          <w:t>Environmental and Social Risks and Impacts Related to PS3</w:t>
        </w:r>
        <w:r>
          <w:rPr>
            <w:noProof/>
            <w:webHidden/>
          </w:rPr>
          <w:tab/>
        </w:r>
        <w:r>
          <w:rPr>
            <w:noProof/>
            <w:webHidden/>
          </w:rPr>
          <w:fldChar w:fldCharType="begin"/>
        </w:r>
        <w:r>
          <w:rPr>
            <w:noProof/>
            <w:webHidden/>
          </w:rPr>
          <w:instrText xml:space="preserve"> PAGEREF _Toc210589507 \h </w:instrText>
        </w:r>
        <w:r>
          <w:rPr>
            <w:noProof/>
            <w:webHidden/>
          </w:rPr>
        </w:r>
        <w:r>
          <w:rPr>
            <w:noProof/>
            <w:webHidden/>
          </w:rPr>
          <w:fldChar w:fldCharType="separate"/>
        </w:r>
        <w:r>
          <w:rPr>
            <w:noProof/>
            <w:webHidden/>
          </w:rPr>
          <w:t>122</w:t>
        </w:r>
        <w:r>
          <w:rPr>
            <w:noProof/>
            <w:webHidden/>
          </w:rPr>
          <w:fldChar w:fldCharType="end"/>
        </w:r>
      </w:hyperlink>
    </w:p>
    <w:p w14:paraId="1227BE04" w14:textId="17ACD7EA"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08"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8.3.1</w:t>
        </w:r>
        <w:r>
          <w:rPr>
            <w:rFonts w:asciiTheme="minorHAnsi" w:eastAsiaTheme="minorEastAsia" w:hAnsiTheme="minorHAnsi" w:cstheme="minorBidi"/>
            <w:noProof/>
            <w:sz w:val="22"/>
            <w:szCs w:val="22"/>
            <w:lang w:val="en-PH" w:eastAsia="en-PH"/>
          </w:rPr>
          <w:tab/>
        </w:r>
        <w:r w:rsidRPr="00274472">
          <w:rPr>
            <w:rStyle w:val="aff6"/>
            <w:noProof/>
          </w:rPr>
          <w:t>Soil Quality and Land Resources</w:t>
        </w:r>
        <w:r>
          <w:rPr>
            <w:noProof/>
            <w:webHidden/>
          </w:rPr>
          <w:tab/>
        </w:r>
        <w:r>
          <w:rPr>
            <w:noProof/>
            <w:webHidden/>
          </w:rPr>
          <w:fldChar w:fldCharType="begin"/>
        </w:r>
        <w:r>
          <w:rPr>
            <w:noProof/>
            <w:webHidden/>
          </w:rPr>
          <w:instrText xml:space="preserve"> PAGEREF _Toc210589508 \h </w:instrText>
        </w:r>
        <w:r>
          <w:rPr>
            <w:noProof/>
            <w:webHidden/>
          </w:rPr>
        </w:r>
        <w:r>
          <w:rPr>
            <w:noProof/>
            <w:webHidden/>
          </w:rPr>
          <w:fldChar w:fldCharType="separate"/>
        </w:r>
        <w:r>
          <w:rPr>
            <w:noProof/>
            <w:webHidden/>
          </w:rPr>
          <w:t>122</w:t>
        </w:r>
        <w:r>
          <w:rPr>
            <w:noProof/>
            <w:webHidden/>
          </w:rPr>
          <w:fldChar w:fldCharType="end"/>
        </w:r>
      </w:hyperlink>
    </w:p>
    <w:p w14:paraId="19B15C4C" w14:textId="6D7A31C4"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0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8.3.2</w:t>
        </w:r>
        <w:r>
          <w:rPr>
            <w:rFonts w:asciiTheme="minorHAnsi" w:eastAsiaTheme="minorEastAsia" w:hAnsiTheme="minorHAnsi" w:cstheme="minorBidi"/>
            <w:noProof/>
            <w:sz w:val="22"/>
            <w:szCs w:val="22"/>
            <w:lang w:val="en-PH" w:eastAsia="en-PH"/>
          </w:rPr>
          <w:tab/>
        </w:r>
        <w:r w:rsidRPr="00274472">
          <w:rPr>
            <w:rStyle w:val="aff6"/>
            <w:noProof/>
          </w:rPr>
          <w:t>Hazardous Substances &amp; Spill Prevention</w:t>
        </w:r>
        <w:r>
          <w:rPr>
            <w:noProof/>
            <w:webHidden/>
          </w:rPr>
          <w:tab/>
        </w:r>
        <w:r>
          <w:rPr>
            <w:noProof/>
            <w:webHidden/>
          </w:rPr>
          <w:fldChar w:fldCharType="begin"/>
        </w:r>
        <w:r>
          <w:rPr>
            <w:noProof/>
            <w:webHidden/>
          </w:rPr>
          <w:instrText xml:space="preserve"> PAGEREF _Toc210589509 \h </w:instrText>
        </w:r>
        <w:r>
          <w:rPr>
            <w:noProof/>
            <w:webHidden/>
          </w:rPr>
        </w:r>
        <w:r>
          <w:rPr>
            <w:noProof/>
            <w:webHidden/>
          </w:rPr>
          <w:fldChar w:fldCharType="separate"/>
        </w:r>
        <w:r>
          <w:rPr>
            <w:noProof/>
            <w:webHidden/>
          </w:rPr>
          <w:t>125</w:t>
        </w:r>
        <w:r>
          <w:rPr>
            <w:noProof/>
            <w:webHidden/>
          </w:rPr>
          <w:fldChar w:fldCharType="end"/>
        </w:r>
      </w:hyperlink>
    </w:p>
    <w:p w14:paraId="442E95F8" w14:textId="68435269"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0"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8.3.3</w:t>
        </w:r>
        <w:r>
          <w:rPr>
            <w:rFonts w:asciiTheme="minorHAnsi" w:eastAsiaTheme="minorEastAsia" w:hAnsiTheme="minorHAnsi" w:cstheme="minorBidi"/>
            <w:noProof/>
            <w:sz w:val="22"/>
            <w:szCs w:val="22"/>
            <w:lang w:val="en-PH" w:eastAsia="en-PH"/>
          </w:rPr>
          <w:tab/>
        </w:r>
        <w:r w:rsidRPr="00274472">
          <w:rPr>
            <w:rStyle w:val="aff6"/>
            <w:noProof/>
          </w:rPr>
          <w:t>Sediment Pollution (Surface Waters)</w:t>
        </w:r>
        <w:r>
          <w:rPr>
            <w:noProof/>
            <w:webHidden/>
          </w:rPr>
          <w:tab/>
        </w:r>
        <w:r>
          <w:rPr>
            <w:noProof/>
            <w:webHidden/>
          </w:rPr>
          <w:fldChar w:fldCharType="begin"/>
        </w:r>
        <w:r>
          <w:rPr>
            <w:noProof/>
            <w:webHidden/>
          </w:rPr>
          <w:instrText xml:space="preserve"> PAGEREF _Toc210589510 \h </w:instrText>
        </w:r>
        <w:r>
          <w:rPr>
            <w:noProof/>
            <w:webHidden/>
          </w:rPr>
        </w:r>
        <w:r>
          <w:rPr>
            <w:noProof/>
            <w:webHidden/>
          </w:rPr>
          <w:fldChar w:fldCharType="separate"/>
        </w:r>
        <w:r>
          <w:rPr>
            <w:noProof/>
            <w:webHidden/>
          </w:rPr>
          <w:t>126</w:t>
        </w:r>
        <w:r>
          <w:rPr>
            <w:noProof/>
            <w:webHidden/>
          </w:rPr>
          <w:fldChar w:fldCharType="end"/>
        </w:r>
      </w:hyperlink>
    </w:p>
    <w:p w14:paraId="4A3C1413" w14:textId="487404FA"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1"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8.3.4</w:t>
        </w:r>
        <w:r>
          <w:rPr>
            <w:rFonts w:asciiTheme="minorHAnsi" w:eastAsiaTheme="minorEastAsia" w:hAnsiTheme="minorHAnsi" w:cstheme="minorBidi"/>
            <w:noProof/>
            <w:sz w:val="22"/>
            <w:szCs w:val="22"/>
            <w:lang w:val="en-PH" w:eastAsia="en-PH"/>
          </w:rPr>
          <w:tab/>
        </w:r>
        <w:r w:rsidRPr="00274472">
          <w:rPr>
            <w:rStyle w:val="aff6"/>
            <w:noProof/>
          </w:rPr>
          <w:t>Water Resources (Surface and Groundwater) Quantity &amp; Quality</w:t>
        </w:r>
        <w:r>
          <w:rPr>
            <w:noProof/>
            <w:webHidden/>
          </w:rPr>
          <w:tab/>
        </w:r>
        <w:r>
          <w:rPr>
            <w:noProof/>
            <w:webHidden/>
          </w:rPr>
          <w:fldChar w:fldCharType="begin"/>
        </w:r>
        <w:r>
          <w:rPr>
            <w:noProof/>
            <w:webHidden/>
          </w:rPr>
          <w:instrText xml:space="preserve"> PAGEREF _Toc210589511 \h </w:instrText>
        </w:r>
        <w:r>
          <w:rPr>
            <w:noProof/>
            <w:webHidden/>
          </w:rPr>
        </w:r>
        <w:r>
          <w:rPr>
            <w:noProof/>
            <w:webHidden/>
          </w:rPr>
          <w:fldChar w:fldCharType="separate"/>
        </w:r>
        <w:r>
          <w:rPr>
            <w:noProof/>
            <w:webHidden/>
          </w:rPr>
          <w:t>127</w:t>
        </w:r>
        <w:r>
          <w:rPr>
            <w:noProof/>
            <w:webHidden/>
          </w:rPr>
          <w:fldChar w:fldCharType="end"/>
        </w:r>
      </w:hyperlink>
    </w:p>
    <w:p w14:paraId="7DDAF397" w14:textId="3B91CF3E"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2"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8.3.5</w:t>
        </w:r>
        <w:r>
          <w:rPr>
            <w:rFonts w:asciiTheme="minorHAnsi" w:eastAsiaTheme="minorEastAsia" w:hAnsiTheme="minorHAnsi" w:cstheme="minorBidi"/>
            <w:noProof/>
            <w:sz w:val="22"/>
            <w:szCs w:val="22"/>
            <w:lang w:val="en-PH" w:eastAsia="en-PH"/>
          </w:rPr>
          <w:tab/>
        </w:r>
        <w:r w:rsidRPr="00274472">
          <w:rPr>
            <w:rStyle w:val="aff6"/>
            <w:noProof/>
          </w:rPr>
          <w:t>Air Quality</w:t>
        </w:r>
        <w:r>
          <w:rPr>
            <w:noProof/>
            <w:webHidden/>
          </w:rPr>
          <w:tab/>
        </w:r>
        <w:r>
          <w:rPr>
            <w:noProof/>
            <w:webHidden/>
          </w:rPr>
          <w:fldChar w:fldCharType="begin"/>
        </w:r>
        <w:r>
          <w:rPr>
            <w:noProof/>
            <w:webHidden/>
          </w:rPr>
          <w:instrText xml:space="preserve"> PAGEREF _Toc210589512 \h </w:instrText>
        </w:r>
        <w:r>
          <w:rPr>
            <w:noProof/>
            <w:webHidden/>
          </w:rPr>
        </w:r>
        <w:r>
          <w:rPr>
            <w:noProof/>
            <w:webHidden/>
          </w:rPr>
          <w:fldChar w:fldCharType="separate"/>
        </w:r>
        <w:r>
          <w:rPr>
            <w:noProof/>
            <w:webHidden/>
          </w:rPr>
          <w:t>130</w:t>
        </w:r>
        <w:r>
          <w:rPr>
            <w:noProof/>
            <w:webHidden/>
          </w:rPr>
          <w:fldChar w:fldCharType="end"/>
        </w:r>
      </w:hyperlink>
    </w:p>
    <w:p w14:paraId="53BFEE20" w14:textId="7D65403B"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3"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8.3.6</w:t>
        </w:r>
        <w:r>
          <w:rPr>
            <w:rFonts w:asciiTheme="minorHAnsi" w:eastAsiaTheme="minorEastAsia" w:hAnsiTheme="minorHAnsi" w:cstheme="minorBidi"/>
            <w:noProof/>
            <w:sz w:val="22"/>
            <w:szCs w:val="22"/>
            <w:lang w:val="en-PH" w:eastAsia="en-PH"/>
          </w:rPr>
          <w:tab/>
        </w:r>
        <w:r w:rsidRPr="00274472">
          <w:rPr>
            <w:rStyle w:val="aff6"/>
            <w:noProof/>
          </w:rPr>
          <w:t>Noise</w:t>
        </w:r>
        <w:r>
          <w:rPr>
            <w:noProof/>
            <w:webHidden/>
          </w:rPr>
          <w:tab/>
        </w:r>
        <w:r>
          <w:rPr>
            <w:noProof/>
            <w:webHidden/>
          </w:rPr>
          <w:fldChar w:fldCharType="begin"/>
        </w:r>
        <w:r>
          <w:rPr>
            <w:noProof/>
            <w:webHidden/>
          </w:rPr>
          <w:instrText xml:space="preserve"> PAGEREF _Toc210589513 \h </w:instrText>
        </w:r>
        <w:r>
          <w:rPr>
            <w:noProof/>
            <w:webHidden/>
          </w:rPr>
        </w:r>
        <w:r>
          <w:rPr>
            <w:noProof/>
            <w:webHidden/>
          </w:rPr>
          <w:fldChar w:fldCharType="separate"/>
        </w:r>
        <w:r>
          <w:rPr>
            <w:noProof/>
            <w:webHidden/>
          </w:rPr>
          <w:t>134</w:t>
        </w:r>
        <w:r>
          <w:rPr>
            <w:noProof/>
            <w:webHidden/>
          </w:rPr>
          <w:fldChar w:fldCharType="end"/>
        </w:r>
      </w:hyperlink>
    </w:p>
    <w:p w14:paraId="051F2EA6" w14:textId="6A6599B5"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4"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8.3.7</w:t>
        </w:r>
        <w:r>
          <w:rPr>
            <w:rFonts w:asciiTheme="minorHAnsi" w:eastAsiaTheme="minorEastAsia" w:hAnsiTheme="minorHAnsi" w:cstheme="minorBidi"/>
            <w:noProof/>
            <w:sz w:val="22"/>
            <w:szCs w:val="22"/>
            <w:lang w:val="en-PH" w:eastAsia="en-PH"/>
          </w:rPr>
          <w:tab/>
        </w:r>
        <w:r w:rsidRPr="00274472">
          <w:rPr>
            <w:rStyle w:val="aff6"/>
            <w:noProof/>
          </w:rPr>
          <w:t>Wastes Generation</w:t>
        </w:r>
        <w:r>
          <w:rPr>
            <w:noProof/>
            <w:webHidden/>
          </w:rPr>
          <w:tab/>
        </w:r>
        <w:r>
          <w:rPr>
            <w:noProof/>
            <w:webHidden/>
          </w:rPr>
          <w:fldChar w:fldCharType="begin"/>
        </w:r>
        <w:r>
          <w:rPr>
            <w:noProof/>
            <w:webHidden/>
          </w:rPr>
          <w:instrText xml:space="preserve"> PAGEREF _Toc210589514 \h </w:instrText>
        </w:r>
        <w:r>
          <w:rPr>
            <w:noProof/>
            <w:webHidden/>
          </w:rPr>
        </w:r>
        <w:r>
          <w:rPr>
            <w:noProof/>
            <w:webHidden/>
          </w:rPr>
          <w:fldChar w:fldCharType="separate"/>
        </w:r>
        <w:r>
          <w:rPr>
            <w:noProof/>
            <w:webHidden/>
          </w:rPr>
          <w:t>138</w:t>
        </w:r>
        <w:r>
          <w:rPr>
            <w:noProof/>
            <w:webHidden/>
          </w:rPr>
          <w:fldChar w:fldCharType="end"/>
        </w:r>
      </w:hyperlink>
    </w:p>
    <w:p w14:paraId="184D54CC" w14:textId="6D06F5F8"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5"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8.3.8</w:t>
        </w:r>
        <w:r>
          <w:rPr>
            <w:rFonts w:asciiTheme="minorHAnsi" w:eastAsiaTheme="minorEastAsia" w:hAnsiTheme="minorHAnsi" w:cstheme="minorBidi"/>
            <w:noProof/>
            <w:sz w:val="22"/>
            <w:szCs w:val="22"/>
            <w:lang w:val="en-PH" w:eastAsia="en-PH"/>
          </w:rPr>
          <w:tab/>
        </w:r>
        <w:r w:rsidRPr="00274472">
          <w:rPr>
            <w:rStyle w:val="aff6"/>
            <w:noProof/>
          </w:rPr>
          <w:t>E&amp;S Risks and Impacts Relating to PS 4</w:t>
        </w:r>
        <w:r>
          <w:rPr>
            <w:noProof/>
            <w:webHidden/>
          </w:rPr>
          <w:tab/>
        </w:r>
        <w:r>
          <w:rPr>
            <w:noProof/>
            <w:webHidden/>
          </w:rPr>
          <w:fldChar w:fldCharType="begin"/>
        </w:r>
        <w:r>
          <w:rPr>
            <w:noProof/>
            <w:webHidden/>
          </w:rPr>
          <w:instrText xml:space="preserve"> PAGEREF _Toc210589515 \h </w:instrText>
        </w:r>
        <w:r>
          <w:rPr>
            <w:noProof/>
            <w:webHidden/>
          </w:rPr>
        </w:r>
        <w:r>
          <w:rPr>
            <w:noProof/>
            <w:webHidden/>
          </w:rPr>
          <w:fldChar w:fldCharType="separate"/>
        </w:r>
        <w:r>
          <w:rPr>
            <w:noProof/>
            <w:webHidden/>
          </w:rPr>
          <w:t>142</w:t>
        </w:r>
        <w:r>
          <w:rPr>
            <w:noProof/>
            <w:webHidden/>
          </w:rPr>
          <w:fldChar w:fldCharType="end"/>
        </w:r>
      </w:hyperlink>
    </w:p>
    <w:p w14:paraId="69BADC51" w14:textId="33C64DA2"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8.3.9</w:t>
        </w:r>
        <w:r>
          <w:rPr>
            <w:rFonts w:asciiTheme="minorHAnsi" w:eastAsiaTheme="minorEastAsia" w:hAnsiTheme="minorHAnsi" w:cstheme="minorBidi"/>
            <w:noProof/>
            <w:sz w:val="22"/>
            <w:szCs w:val="22"/>
            <w:lang w:val="en-PH" w:eastAsia="en-PH"/>
          </w:rPr>
          <w:tab/>
        </w:r>
        <w:r w:rsidRPr="00274472">
          <w:rPr>
            <w:rStyle w:val="aff6"/>
            <w:noProof/>
          </w:rPr>
          <w:t>E&amp;S risks and impacts relating to PS 5</w:t>
        </w:r>
        <w:r>
          <w:rPr>
            <w:noProof/>
            <w:webHidden/>
          </w:rPr>
          <w:tab/>
        </w:r>
        <w:r>
          <w:rPr>
            <w:noProof/>
            <w:webHidden/>
          </w:rPr>
          <w:fldChar w:fldCharType="begin"/>
        </w:r>
        <w:r>
          <w:rPr>
            <w:noProof/>
            <w:webHidden/>
          </w:rPr>
          <w:instrText xml:space="preserve"> PAGEREF _Toc210589516 \h </w:instrText>
        </w:r>
        <w:r>
          <w:rPr>
            <w:noProof/>
            <w:webHidden/>
          </w:rPr>
        </w:r>
        <w:r>
          <w:rPr>
            <w:noProof/>
            <w:webHidden/>
          </w:rPr>
          <w:fldChar w:fldCharType="separate"/>
        </w:r>
        <w:r>
          <w:rPr>
            <w:noProof/>
            <w:webHidden/>
          </w:rPr>
          <w:t>143</w:t>
        </w:r>
        <w:r>
          <w:rPr>
            <w:noProof/>
            <w:webHidden/>
          </w:rPr>
          <w:fldChar w:fldCharType="end"/>
        </w:r>
      </w:hyperlink>
    </w:p>
    <w:p w14:paraId="40A2F0D5" w14:textId="7857E8AC" w:rsidR="008704B1" w:rsidRDefault="008704B1">
      <w:pPr>
        <w:pStyle w:val="43"/>
        <w:rPr>
          <w:rFonts w:asciiTheme="minorHAnsi" w:eastAsiaTheme="minorEastAsia" w:hAnsiTheme="minorHAnsi" w:cstheme="minorBidi"/>
          <w:noProof/>
          <w:sz w:val="22"/>
          <w:szCs w:val="22"/>
          <w:lang w:val="en-PH" w:eastAsia="en-PH"/>
        </w:rPr>
      </w:pPr>
      <w:hyperlink w:anchor="_Toc210589517" w:history="1">
        <w:r w:rsidRPr="00274472">
          <w:rPr>
            <w:rStyle w:val="aff6"/>
            <w:noProof/>
          </w:rPr>
          <w:t>8.3.9.1</w:t>
        </w:r>
        <w:r>
          <w:rPr>
            <w:rFonts w:asciiTheme="minorHAnsi" w:eastAsiaTheme="minorEastAsia" w:hAnsiTheme="minorHAnsi" w:cstheme="minorBidi"/>
            <w:noProof/>
            <w:sz w:val="22"/>
            <w:szCs w:val="22"/>
            <w:lang w:val="en-PH" w:eastAsia="en-PH"/>
          </w:rPr>
          <w:tab/>
        </w:r>
        <w:r w:rsidRPr="00274472">
          <w:rPr>
            <w:rStyle w:val="aff6"/>
            <w:noProof/>
          </w:rPr>
          <w:t>Land Acquisition, Resettlements and Involuntary Resettlement</w:t>
        </w:r>
        <w:r>
          <w:rPr>
            <w:noProof/>
            <w:webHidden/>
          </w:rPr>
          <w:tab/>
        </w:r>
        <w:r>
          <w:rPr>
            <w:noProof/>
            <w:webHidden/>
          </w:rPr>
          <w:fldChar w:fldCharType="begin"/>
        </w:r>
        <w:r>
          <w:rPr>
            <w:noProof/>
            <w:webHidden/>
          </w:rPr>
          <w:instrText xml:space="preserve"> PAGEREF _Toc210589517 \h </w:instrText>
        </w:r>
        <w:r>
          <w:rPr>
            <w:noProof/>
            <w:webHidden/>
          </w:rPr>
        </w:r>
        <w:r>
          <w:rPr>
            <w:noProof/>
            <w:webHidden/>
          </w:rPr>
          <w:fldChar w:fldCharType="separate"/>
        </w:r>
        <w:r>
          <w:rPr>
            <w:noProof/>
            <w:webHidden/>
          </w:rPr>
          <w:t>144</w:t>
        </w:r>
        <w:r>
          <w:rPr>
            <w:noProof/>
            <w:webHidden/>
          </w:rPr>
          <w:fldChar w:fldCharType="end"/>
        </w:r>
      </w:hyperlink>
    </w:p>
    <w:p w14:paraId="45FDFA50" w14:textId="27274BB1" w:rsidR="008704B1" w:rsidRDefault="008704B1">
      <w:pPr>
        <w:pStyle w:val="43"/>
        <w:rPr>
          <w:rFonts w:asciiTheme="minorHAnsi" w:eastAsiaTheme="minorEastAsia" w:hAnsiTheme="minorHAnsi" w:cstheme="minorBidi"/>
          <w:noProof/>
          <w:sz w:val="22"/>
          <w:szCs w:val="22"/>
          <w:lang w:val="en-PH" w:eastAsia="en-PH"/>
        </w:rPr>
      </w:pPr>
      <w:hyperlink w:anchor="_Toc210589518" w:history="1">
        <w:r w:rsidRPr="00274472">
          <w:rPr>
            <w:rStyle w:val="aff6"/>
            <w:noProof/>
          </w:rPr>
          <w:t>8.3.9.2</w:t>
        </w:r>
        <w:r>
          <w:rPr>
            <w:rFonts w:asciiTheme="minorHAnsi" w:eastAsiaTheme="minorEastAsia" w:hAnsiTheme="minorHAnsi" w:cstheme="minorBidi"/>
            <w:noProof/>
            <w:sz w:val="22"/>
            <w:szCs w:val="22"/>
            <w:lang w:val="en-PH" w:eastAsia="en-PH"/>
          </w:rPr>
          <w:tab/>
        </w:r>
        <w:r w:rsidRPr="00274472">
          <w:rPr>
            <w:rStyle w:val="aff6"/>
            <w:noProof/>
          </w:rPr>
          <w:t>Constrained Access</w:t>
        </w:r>
        <w:r>
          <w:rPr>
            <w:noProof/>
            <w:webHidden/>
          </w:rPr>
          <w:tab/>
        </w:r>
        <w:r>
          <w:rPr>
            <w:noProof/>
            <w:webHidden/>
          </w:rPr>
          <w:fldChar w:fldCharType="begin"/>
        </w:r>
        <w:r>
          <w:rPr>
            <w:noProof/>
            <w:webHidden/>
          </w:rPr>
          <w:instrText xml:space="preserve"> PAGEREF _Toc210589518 \h </w:instrText>
        </w:r>
        <w:r>
          <w:rPr>
            <w:noProof/>
            <w:webHidden/>
          </w:rPr>
        </w:r>
        <w:r>
          <w:rPr>
            <w:noProof/>
            <w:webHidden/>
          </w:rPr>
          <w:fldChar w:fldCharType="separate"/>
        </w:r>
        <w:r>
          <w:rPr>
            <w:noProof/>
            <w:webHidden/>
          </w:rPr>
          <w:t>147</w:t>
        </w:r>
        <w:r>
          <w:rPr>
            <w:noProof/>
            <w:webHidden/>
          </w:rPr>
          <w:fldChar w:fldCharType="end"/>
        </w:r>
      </w:hyperlink>
    </w:p>
    <w:p w14:paraId="3B78AE39" w14:textId="575D1255"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19"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8.3.10</w:t>
        </w:r>
        <w:r>
          <w:rPr>
            <w:rFonts w:asciiTheme="minorHAnsi" w:eastAsiaTheme="minorEastAsia" w:hAnsiTheme="minorHAnsi" w:cstheme="minorBidi"/>
            <w:noProof/>
            <w:sz w:val="22"/>
            <w:szCs w:val="22"/>
            <w:lang w:val="en-PH" w:eastAsia="en-PH"/>
          </w:rPr>
          <w:tab/>
        </w:r>
        <w:r w:rsidRPr="00274472">
          <w:rPr>
            <w:rStyle w:val="aff6"/>
            <w:noProof/>
          </w:rPr>
          <w:t>E&amp;S Risks and Impacts Related to PS 6</w:t>
        </w:r>
        <w:r>
          <w:rPr>
            <w:noProof/>
            <w:webHidden/>
          </w:rPr>
          <w:tab/>
        </w:r>
        <w:r>
          <w:rPr>
            <w:noProof/>
            <w:webHidden/>
          </w:rPr>
          <w:fldChar w:fldCharType="begin"/>
        </w:r>
        <w:r>
          <w:rPr>
            <w:noProof/>
            <w:webHidden/>
          </w:rPr>
          <w:instrText xml:space="preserve"> PAGEREF _Toc210589519 \h </w:instrText>
        </w:r>
        <w:r>
          <w:rPr>
            <w:noProof/>
            <w:webHidden/>
          </w:rPr>
        </w:r>
        <w:r>
          <w:rPr>
            <w:noProof/>
            <w:webHidden/>
          </w:rPr>
          <w:fldChar w:fldCharType="separate"/>
        </w:r>
        <w:r>
          <w:rPr>
            <w:noProof/>
            <w:webHidden/>
          </w:rPr>
          <w:t>148</w:t>
        </w:r>
        <w:r>
          <w:rPr>
            <w:noProof/>
            <w:webHidden/>
          </w:rPr>
          <w:fldChar w:fldCharType="end"/>
        </w:r>
      </w:hyperlink>
    </w:p>
    <w:p w14:paraId="1FC08E69" w14:textId="0025C13C" w:rsidR="008704B1" w:rsidRDefault="008704B1">
      <w:pPr>
        <w:pStyle w:val="43"/>
        <w:rPr>
          <w:rFonts w:asciiTheme="minorHAnsi" w:eastAsiaTheme="minorEastAsia" w:hAnsiTheme="minorHAnsi" w:cstheme="minorBidi"/>
          <w:noProof/>
          <w:sz w:val="22"/>
          <w:szCs w:val="22"/>
          <w:lang w:val="en-PH" w:eastAsia="en-PH"/>
        </w:rPr>
      </w:pPr>
      <w:hyperlink w:anchor="_Toc210589520" w:history="1">
        <w:r w:rsidRPr="00274472">
          <w:rPr>
            <w:rStyle w:val="aff6"/>
            <w:noProof/>
          </w:rPr>
          <w:t>8.3.10.1</w:t>
        </w:r>
        <w:r>
          <w:rPr>
            <w:rFonts w:asciiTheme="minorHAnsi" w:eastAsiaTheme="minorEastAsia" w:hAnsiTheme="minorHAnsi" w:cstheme="minorBidi"/>
            <w:noProof/>
            <w:sz w:val="22"/>
            <w:szCs w:val="22"/>
            <w:lang w:val="en-PH" w:eastAsia="en-PH"/>
          </w:rPr>
          <w:tab/>
        </w:r>
        <w:r w:rsidRPr="00274472">
          <w:rPr>
            <w:rStyle w:val="aff6"/>
            <w:noProof/>
          </w:rPr>
          <w:t>Flora and Fauna</w:t>
        </w:r>
        <w:r>
          <w:rPr>
            <w:noProof/>
            <w:webHidden/>
          </w:rPr>
          <w:tab/>
        </w:r>
        <w:r>
          <w:rPr>
            <w:noProof/>
            <w:webHidden/>
          </w:rPr>
          <w:fldChar w:fldCharType="begin"/>
        </w:r>
        <w:r>
          <w:rPr>
            <w:noProof/>
            <w:webHidden/>
          </w:rPr>
          <w:instrText xml:space="preserve"> PAGEREF _Toc210589520 \h </w:instrText>
        </w:r>
        <w:r>
          <w:rPr>
            <w:noProof/>
            <w:webHidden/>
          </w:rPr>
        </w:r>
        <w:r>
          <w:rPr>
            <w:noProof/>
            <w:webHidden/>
          </w:rPr>
          <w:fldChar w:fldCharType="separate"/>
        </w:r>
        <w:r>
          <w:rPr>
            <w:noProof/>
            <w:webHidden/>
          </w:rPr>
          <w:t>148</w:t>
        </w:r>
        <w:r>
          <w:rPr>
            <w:noProof/>
            <w:webHidden/>
          </w:rPr>
          <w:fldChar w:fldCharType="end"/>
        </w:r>
      </w:hyperlink>
    </w:p>
    <w:p w14:paraId="3924137C" w14:textId="06183DE7" w:rsidR="008704B1" w:rsidRDefault="008704B1">
      <w:pPr>
        <w:pStyle w:val="43"/>
        <w:rPr>
          <w:rFonts w:asciiTheme="minorHAnsi" w:eastAsiaTheme="minorEastAsia" w:hAnsiTheme="minorHAnsi" w:cstheme="minorBidi"/>
          <w:noProof/>
          <w:sz w:val="22"/>
          <w:szCs w:val="22"/>
          <w:lang w:val="en-PH" w:eastAsia="en-PH"/>
        </w:rPr>
      </w:pPr>
      <w:hyperlink w:anchor="_Toc210589521" w:history="1">
        <w:r w:rsidRPr="00274472">
          <w:rPr>
            <w:rStyle w:val="aff6"/>
            <w:noProof/>
            <w:lang w:val="en-GB"/>
          </w:rPr>
          <w:t>8.3.10.2</w:t>
        </w:r>
        <w:r>
          <w:rPr>
            <w:rFonts w:asciiTheme="minorHAnsi" w:eastAsiaTheme="minorEastAsia" w:hAnsiTheme="minorHAnsi" w:cstheme="minorBidi"/>
            <w:noProof/>
            <w:sz w:val="22"/>
            <w:szCs w:val="22"/>
            <w:lang w:val="en-PH" w:eastAsia="en-PH"/>
          </w:rPr>
          <w:tab/>
        </w:r>
        <w:r w:rsidRPr="00274472">
          <w:rPr>
            <w:rStyle w:val="aff6"/>
            <w:noProof/>
            <w:lang w:val="en-GB"/>
          </w:rPr>
          <w:t>Biodiversity and Protected Areas</w:t>
        </w:r>
        <w:r>
          <w:rPr>
            <w:noProof/>
            <w:webHidden/>
          </w:rPr>
          <w:tab/>
        </w:r>
        <w:r>
          <w:rPr>
            <w:noProof/>
            <w:webHidden/>
          </w:rPr>
          <w:fldChar w:fldCharType="begin"/>
        </w:r>
        <w:r>
          <w:rPr>
            <w:noProof/>
            <w:webHidden/>
          </w:rPr>
          <w:instrText xml:space="preserve"> PAGEREF _Toc210589521 \h </w:instrText>
        </w:r>
        <w:r>
          <w:rPr>
            <w:noProof/>
            <w:webHidden/>
          </w:rPr>
        </w:r>
        <w:r>
          <w:rPr>
            <w:noProof/>
            <w:webHidden/>
          </w:rPr>
          <w:fldChar w:fldCharType="separate"/>
        </w:r>
        <w:r>
          <w:rPr>
            <w:noProof/>
            <w:webHidden/>
          </w:rPr>
          <w:t>153</w:t>
        </w:r>
        <w:r>
          <w:rPr>
            <w:noProof/>
            <w:webHidden/>
          </w:rPr>
          <w:fldChar w:fldCharType="end"/>
        </w:r>
      </w:hyperlink>
    </w:p>
    <w:p w14:paraId="380C3E82" w14:textId="470A612B" w:rsidR="008704B1" w:rsidRDefault="008704B1">
      <w:pPr>
        <w:pStyle w:val="43"/>
        <w:rPr>
          <w:rFonts w:asciiTheme="minorHAnsi" w:eastAsiaTheme="minorEastAsia" w:hAnsiTheme="minorHAnsi" w:cstheme="minorBidi"/>
          <w:noProof/>
          <w:sz w:val="22"/>
          <w:szCs w:val="22"/>
          <w:lang w:val="en-PH" w:eastAsia="en-PH"/>
        </w:rPr>
      </w:pPr>
      <w:hyperlink w:anchor="_Toc210589522" w:history="1">
        <w:r w:rsidRPr="00274472">
          <w:rPr>
            <w:rStyle w:val="aff6"/>
            <w:noProof/>
          </w:rPr>
          <w:t>8.3.10.3</w:t>
        </w:r>
        <w:r>
          <w:rPr>
            <w:rFonts w:asciiTheme="minorHAnsi" w:eastAsiaTheme="minorEastAsia" w:hAnsiTheme="minorHAnsi" w:cstheme="minorBidi"/>
            <w:noProof/>
            <w:sz w:val="22"/>
            <w:szCs w:val="22"/>
            <w:lang w:val="en-PH" w:eastAsia="en-PH"/>
          </w:rPr>
          <w:tab/>
        </w:r>
        <w:r w:rsidRPr="00274472">
          <w:rPr>
            <w:rStyle w:val="aff6"/>
            <w:noProof/>
          </w:rPr>
          <w:t>Compliance with Andasai SPNA Requirements</w:t>
        </w:r>
        <w:r>
          <w:rPr>
            <w:noProof/>
            <w:webHidden/>
          </w:rPr>
          <w:tab/>
        </w:r>
        <w:r>
          <w:rPr>
            <w:noProof/>
            <w:webHidden/>
          </w:rPr>
          <w:fldChar w:fldCharType="begin"/>
        </w:r>
        <w:r>
          <w:rPr>
            <w:noProof/>
            <w:webHidden/>
          </w:rPr>
          <w:instrText xml:space="preserve"> PAGEREF _Toc210589522 \h </w:instrText>
        </w:r>
        <w:r>
          <w:rPr>
            <w:noProof/>
            <w:webHidden/>
          </w:rPr>
        </w:r>
        <w:r>
          <w:rPr>
            <w:noProof/>
            <w:webHidden/>
          </w:rPr>
          <w:fldChar w:fldCharType="separate"/>
        </w:r>
        <w:r>
          <w:rPr>
            <w:noProof/>
            <w:webHidden/>
          </w:rPr>
          <w:t>156</w:t>
        </w:r>
        <w:r>
          <w:rPr>
            <w:noProof/>
            <w:webHidden/>
          </w:rPr>
          <w:fldChar w:fldCharType="end"/>
        </w:r>
      </w:hyperlink>
    </w:p>
    <w:p w14:paraId="48C6DF7C" w14:textId="40C81095" w:rsidR="008704B1" w:rsidRDefault="008704B1">
      <w:pPr>
        <w:pStyle w:val="43"/>
        <w:rPr>
          <w:rFonts w:asciiTheme="minorHAnsi" w:eastAsiaTheme="minorEastAsia" w:hAnsiTheme="minorHAnsi" w:cstheme="minorBidi"/>
          <w:noProof/>
          <w:sz w:val="22"/>
          <w:szCs w:val="22"/>
          <w:lang w:val="en-PH" w:eastAsia="en-PH"/>
        </w:rPr>
      </w:pPr>
      <w:hyperlink w:anchor="_Toc210589523" w:history="1">
        <w:r w:rsidRPr="00274472">
          <w:rPr>
            <w:rStyle w:val="aff6"/>
            <w:noProof/>
          </w:rPr>
          <w:t>8.3.10.4</w:t>
        </w:r>
        <w:r>
          <w:rPr>
            <w:rFonts w:asciiTheme="minorHAnsi" w:eastAsiaTheme="minorEastAsia" w:hAnsiTheme="minorHAnsi" w:cstheme="minorBidi"/>
            <w:noProof/>
            <w:sz w:val="22"/>
            <w:szCs w:val="22"/>
            <w:lang w:val="en-PH" w:eastAsia="en-PH"/>
          </w:rPr>
          <w:tab/>
        </w:r>
        <w:r w:rsidRPr="00274472">
          <w:rPr>
            <w:rStyle w:val="aff6"/>
            <w:noProof/>
          </w:rPr>
          <w:t>Cumulative Impacts for Biodiversity</w:t>
        </w:r>
        <w:r>
          <w:rPr>
            <w:noProof/>
            <w:webHidden/>
          </w:rPr>
          <w:tab/>
        </w:r>
        <w:r>
          <w:rPr>
            <w:noProof/>
            <w:webHidden/>
          </w:rPr>
          <w:fldChar w:fldCharType="begin"/>
        </w:r>
        <w:r>
          <w:rPr>
            <w:noProof/>
            <w:webHidden/>
          </w:rPr>
          <w:instrText xml:space="preserve"> PAGEREF _Toc210589523 \h </w:instrText>
        </w:r>
        <w:r>
          <w:rPr>
            <w:noProof/>
            <w:webHidden/>
          </w:rPr>
        </w:r>
        <w:r>
          <w:rPr>
            <w:noProof/>
            <w:webHidden/>
          </w:rPr>
          <w:fldChar w:fldCharType="separate"/>
        </w:r>
        <w:r>
          <w:rPr>
            <w:noProof/>
            <w:webHidden/>
          </w:rPr>
          <w:t>156</w:t>
        </w:r>
        <w:r>
          <w:rPr>
            <w:noProof/>
            <w:webHidden/>
          </w:rPr>
          <w:fldChar w:fldCharType="end"/>
        </w:r>
      </w:hyperlink>
    </w:p>
    <w:p w14:paraId="10788538" w14:textId="42F428DF"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24"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8.3.11</w:t>
        </w:r>
        <w:r>
          <w:rPr>
            <w:rFonts w:asciiTheme="minorHAnsi" w:eastAsiaTheme="minorEastAsia" w:hAnsiTheme="minorHAnsi" w:cstheme="minorBidi"/>
            <w:noProof/>
            <w:sz w:val="22"/>
            <w:szCs w:val="22"/>
            <w:lang w:val="en-PH" w:eastAsia="en-PH"/>
          </w:rPr>
          <w:tab/>
        </w:r>
        <w:r w:rsidRPr="00274472">
          <w:rPr>
            <w:rStyle w:val="aff6"/>
            <w:noProof/>
          </w:rPr>
          <w:t>E&amp;S Risks and Impacts Related to PS 8</w:t>
        </w:r>
        <w:r>
          <w:rPr>
            <w:noProof/>
            <w:webHidden/>
          </w:rPr>
          <w:tab/>
        </w:r>
        <w:r>
          <w:rPr>
            <w:noProof/>
            <w:webHidden/>
          </w:rPr>
          <w:fldChar w:fldCharType="begin"/>
        </w:r>
        <w:r>
          <w:rPr>
            <w:noProof/>
            <w:webHidden/>
          </w:rPr>
          <w:instrText xml:space="preserve"> PAGEREF _Toc210589524 \h </w:instrText>
        </w:r>
        <w:r>
          <w:rPr>
            <w:noProof/>
            <w:webHidden/>
          </w:rPr>
        </w:r>
        <w:r>
          <w:rPr>
            <w:noProof/>
            <w:webHidden/>
          </w:rPr>
          <w:fldChar w:fldCharType="separate"/>
        </w:r>
        <w:r>
          <w:rPr>
            <w:noProof/>
            <w:webHidden/>
          </w:rPr>
          <w:t>157</w:t>
        </w:r>
        <w:r>
          <w:rPr>
            <w:noProof/>
            <w:webHidden/>
          </w:rPr>
          <w:fldChar w:fldCharType="end"/>
        </w:r>
      </w:hyperlink>
    </w:p>
    <w:p w14:paraId="7A9B81C4" w14:textId="4244A89F" w:rsidR="008704B1" w:rsidRDefault="008704B1">
      <w:pPr>
        <w:pStyle w:val="43"/>
        <w:rPr>
          <w:rFonts w:asciiTheme="minorHAnsi" w:eastAsiaTheme="minorEastAsia" w:hAnsiTheme="minorHAnsi" w:cstheme="minorBidi"/>
          <w:noProof/>
          <w:sz w:val="22"/>
          <w:szCs w:val="22"/>
          <w:lang w:val="en-PH" w:eastAsia="en-PH"/>
        </w:rPr>
      </w:pPr>
      <w:hyperlink w:anchor="_Toc210589525" w:history="1">
        <w:r w:rsidRPr="00274472">
          <w:rPr>
            <w:rStyle w:val="aff6"/>
            <w:noProof/>
          </w:rPr>
          <w:t>8.3.11.1</w:t>
        </w:r>
        <w:r>
          <w:rPr>
            <w:rFonts w:asciiTheme="minorHAnsi" w:eastAsiaTheme="minorEastAsia" w:hAnsiTheme="minorHAnsi" w:cstheme="minorBidi"/>
            <w:noProof/>
            <w:sz w:val="22"/>
            <w:szCs w:val="22"/>
            <w:lang w:val="en-PH" w:eastAsia="en-PH"/>
          </w:rPr>
          <w:tab/>
        </w:r>
        <w:r w:rsidRPr="00274472">
          <w:rPr>
            <w:rStyle w:val="aff6"/>
            <w:noProof/>
          </w:rPr>
          <w:t>Cultural Heritage</w:t>
        </w:r>
        <w:r>
          <w:rPr>
            <w:noProof/>
            <w:webHidden/>
          </w:rPr>
          <w:tab/>
        </w:r>
        <w:r>
          <w:rPr>
            <w:noProof/>
            <w:webHidden/>
          </w:rPr>
          <w:fldChar w:fldCharType="begin"/>
        </w:r>
        <w:r>
          <w:rPr>
            <w:noProof/>
            <w:webHidden/>
          </w:rPr>
          <w:instrText xml:space="preserve"> PAGEREF _Toc210589525 \h </w:instrText>
        </w:r>
        <w:r>
          <w:rPr>
            <w:noProof/>
            <w:webHidden/>
          </w:rPr>
        </w:r>
        <w:r>
          <w:rPr>
            <w:noProof/>
            <w:webHidden/>
          </w:rPr>
          <w:fldChar w:fldCharType="separate"/>
        </w:r>
        <w:r>
          <w:rPr>
            <w:noProof/>
            <w:webHidden/>
          </w:rPr>
          <w:t>158</w:t>
        </w:r>
        <w:r>
          <w:rPr>
            <w:noProof/>
            <w:webHidden/>
          </w:rPr>
          <w:fldChar w:fldCharType="end"/>
        </w:r>
      </w:hyperlink>
    </w:p>
    <w:p w14:paraId="3ACE46E5" w14:textId="6A8F46DB" w:rsidR="008704B1" w:rsidRDefault="008704B1">
      <w:pPr>
        <w:pStyle w:val="35"/>
        <w:tabs>
          <w:tab w:val="left" w:pos="1440"/>
          <w:tab w:val="right" w:leader="dot" w:pos="9260"/>
        </w:tabs>
        <w:rPr>
          <w:rFonts w:asciiTheme="minorHAnsi" w:eastAsiaTheme="minorEastAsia" w:hAnsiTheme="minorHAnsi" w:cstheme="minorBidi"/>
          <w:noProof/>
          <w:sz w:val="22"/>
          <w:szCs w:val="22"/>
          <w:lang w:val="en-PH" w:eastAsia="en-PH"/>
        </w:rPr>
      </w:pPr>
      <w:hyperlink w:anchor="_Toc210589526" w:history="1">
        <w:r w:rsidRPr="00274472">
          <w:rPr>
            <w:rStyle w:val="aff6"/>
            <w:noProof/>
            <w14:textOutline w14:w="0" w14:cap="flat" w14:cmpd="sng" w14:algn="ctr">
              <w14:noFill/>
              <w14:prstDash w14:val="solid"/>
              <w14:bevel/>
            </w14:textOutline>
            <w14:scene3d>
              <w14:camera w14:prst="orthographicFront"/>
              <w14:lightRig w14:rig="threePt" w14:dir="t">
                <w14:rot w14:lat="0" w14:lon="0" w14:rev="0"/>
              </w14:lightRig>
            </w14:scene3d>
            <w14:cntxtAlts/>
          </w:rPr>
          <w:t>8.3.1</w:t>
        </w:r>
        <w:r>
          <w:rPr>
            <w:rFonts w:asciiTheme="minorHAnsi" w:eastAsiaTheme="minorEastAsia" w:hAnsiTheme="minorHAnsi" w:cstheme="minorBidi"/>
            <w:noProof/>
            <w:sz w:val="22"/>
            <w:szCs w:val="22"/>
            <w:lang w:val="en-PH" w:eastAsia="en-PH"/>
          </w:rPr>
          <w:tab/>
        </w:r>
        <w:r w:rsidRPr="00274472">
          <w:rPr>
            <w:rStyle w:val="aff6"/>
            <w:noProof/>
          </w:rPr>
          <w:t>Summary Assessment of Impacts and Risks during Construction</w:t>
        </w:r>
        <w:r>
          <w:rPr>
            <w:noProof/>
            <w:webHidden/>
          </w:rPr>
          <w:tab/>
        </w:r>
        <w:r>
          <w:rPr>
            <w:noProof/>
            <w:webHidden/>
          </w:rPr>
          <w:fldChar w:fldCharType="begin"/>
        </w:r>
        <w:r>
          <w:rPr>
            <w:noProof/>
            <w:webHidden/>
          </w:rPr>
          <w:instrText xml:space="preserve"> PAGEREF _Toc210589526 \h </w:instrText>
        </w:r>
        <w:r>
          <w:rPr>
            <w:noProof/>
            <w:webHidden/>
          </w:rPr>
        </w:r>
        <w:r>
          <w:rPr>
            <w:noProof/>
            <w:webHidden/>
          </w:rPr>
          <w:fldChar w:fldCharType="separate"/>
        </w:r>
        <w:r>
          <w:rPr>
            <w:noProof/>
            <w:webHidden/>
          </w:rPr>
          <w:t>159</w:t>
        </w:r>
        <w:r>
          <w:rPr>
            <w:noProof/>
            <w:webHidden/>
          </w:rPr>
          <w:fldChar w:fldCharType="end"/>
        </w:r>
      </w:hyperlink>
    </w:p>
    <w:p w14:paraId="1682A16D" w14:textId="5E992B6A" w:rsidR="008704B1" w:rsidRDefault="008704B1">
      <w:pPr>
        <w:pStyle w:val="25"/>
        <w:rPr>
          <w:rFonts w:asciiTheme="minorHAnsi" w:eastAsiaTheme="minorEastAsia" w:hAnsiTheme="minorHAnsi" w:cstheme="minorBidi"/>
          <w:noProof/>
          <w:color w:val="auto"/>
          <w:sz w:val="22"/>
          <w:szCs w:val="22"/>
          <w:lang w:val="en-PH" w:eastAsia="en-PH"/>
        </w:rPr>
      </w:pPr>
      <w:hyperlink w:anchor="_Toc210589527" w:history="1">
        <w:r w:rsidRPr="00274472">
          <w:rPr>
            <w:rStyle w:val="aff6"/>
            <w:noProof/>
          </w:rPr>
          <w:t>8.4</w:t>
        </w:r>
        <w:r>
          <w:rPr>
            <w:rFonts w:asciiTheme="minorHAnsi" w:eastAsiaTheme="minorEastAsia" w:hAnsiTheme="minorHAnsi" w:cstheme="minorBidi"/>
            <w:noProof/>
            <w:color w:val="auto"/>
            <w:sz w:val="22"/>
            <w:szCs w:val="22"/>
            <w:lang w:val="en-PH" w:eastAsia="en-PH"/>
          </w:rPr>
          <w:tab/>
        </w:r>
        <w:r w:rsidRPr="00274472">
          <w:rPr>
            <w:rStyle w:val="aff6"/>
            <w:noProof/>
          </w:rPr>
          <w:t>Potential Impacts and Risks during Operations Phase</w:t>
        </w:r>
        <w:r>
          <w:rPr>
            <w:noProof/>
            <w:webHidden/>
          </w:rPr>
          <w:tab/>
        </w:r>
        <w:r>
          <w:rPr>
            <w:noProof/>
            <w:webHidden/>
          </w:rPr>
          <w:fldChar w:fldCharType="begin"/>
        </w:r>
        <w:r>
          <w:rPr>
            <w:noProof/>
            <w:webHidden/>
          </w:rPr>
          <w:instrText xml:space="preserve"> PAGEREF _Toc210589527 \h </w:instrText>
        </w:r>
        <w:r>
          <w:rPr>
            <w:noProof/>
            <w:webHidden/>
          </w:rPr>
        </w:r>
        <w:r>
          <w:rPr>
            <w:noProof/>
            <w:webHidden/>
          </w:rPr>
          <w:fldChar w:fldCharType="separate"/>
        </w:r>
        <w:r>
          <w:rPr>
            <w:noProof/>
            <w:webHidden/>
          </w:rPr>
          <w:t>160</w:t>
        </w:r>
        <w:r>
          <w:rPr>
            <w:noProof/>
            <w:webHidden/>
          </w:rPr>
          <w:fldChar w:fldCharType="end"/>
        </w:r>
      </w:hyperlink>
    </w:p>
    <w:p w14:paraId="2C778B18" w14:textId="694A47AA"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528" w:history="1">
        <w:r w:rsidRPr="00274472">
          <w:rPr>
            <w:rStyle w:val="aff6"/>
            <w:rFonts w:cs="Arial"/>
            <w:noProof/>
          </w:rPr>
          <w:t>9</w:t>
        </w:r>
        <w:r>
          <w:rPr>
            <w:rFonts w:asciiTheme="minorHAnsi" w:eastAsiaTheme="minorEastAsia" w:hAnsiTheme="minorHAnsi" w:cstheme="minorBidi"/>
            <w:b w:val="0"/>
            <w:noProof/>
            <w:sz w:val="22"/>
            <w:szCs w:val="22"/>
            <w:lang w:val="en-PH" w:eastAsia="en-PH"/>
          </w:rPr>
          <w:tab/>
        </w:r>
        <w:r w:rsidRPr="00274472">
          <w:rPr>
            <w:rStyle w:val="aff6"/>
            <w:rFonts w:cs="Arial"/>
            <w:noProof/>
          </w:rPr>
          <w:t>ENVIRONMENTAL AND SOCIAL MANAGEMENT APPROACH</w:t>
        </w:r>
        <w:r>
          <w:rPr>
            <w:noProof/>
            <w:webHidden/>
          </w:rPr>
          <w:tab/>
        </w:r>
        <w:r>
          <w:rPr>
            <w:noProof/>
            <w:webHidden/>
          </w:rPr>
          <w:fldChar w:fldCharType="begin"/>
        </w:r>
        <w:r>
          <w:rPr>
            <w:noProof/>
            <w:webHidden/>
          </w:rPr>
          <w:instrText xml:space="preserve"> PAGEREF _Toc210589528 \h </w:instrText>
        </w:r>
        <w:r>
          <w:rPr>
            <w:noProof/>
            <w:webHidden/>
          </w:rPr>
        </w:r>
        <w:r>
          <w:rPr>
            <w:noProof/>
            <w:webHidden/>
          </w:rPr>
          <w:fldChar w:fldCharType="separate"/>
        </w:r>
        <w:r>
          <w:rPr>
            <w:noProof/>
            <w:webHidden/>
          </w:rPr>
          <w:t>163</w:t>
        </w:r>
        <w:r>
          <w:rPr>
            <w:noProof/>
            <w:webHidden/>
          </w:rPr>
          <w:fldChar w:fldCharType="end"/>
        </w:r>
      </w:hyperlink>
    </w:p>
    <w:p w14:paraId="011FEFEA" w14:textId="789BCA60" w:rsidR="008704B1" w:rsidRDefault="008704B1">
      <w:pPr>
        <w:pStyle w:val="25"/>
        <w:rPr>
          <w:rFonts w:asciiTheme="minorHAnsi" w:eastAsiaTheme="minorEastAsia" w:hAnsiTheme="minorHAnsi" w:cstheme="minorBidi"/>
          <w:noProof/>
          <w:color w:val="auto"/>
          <w:sz w:val="22"/>
          <w:szCs w:val="22"/>
          <w:lang w:val="en-PH" w:eastAsia="en-PH"/>
        </w:rPr>
      </w:pPr>
      <w:hyperlink w:anchor="_Toc210589529" w:history="1">
        <w:r w:rsidRPr="00274472">
          <w:rPr>
            <w:rStyle w:val="aff6"/>
            <w:noProof/>
          </w:rPr>
          <w:t>9.1</w:t>
        </w:r>
        <w:r>
          <w:rPr>
            <w:rFonts w:asciiTheme="minorHAnsi" w:eastAsiaTheme="minorEastAsia" w:hAnsiTheme="minorHAnsi" w:cstheme="minorBidi"/>
            <w:noProof/>
            <w:color w:val="auto"/>
            <w:sz w:val="22"/>
            <w:szCs w:val="22"/>
            <w:lang w:val="en-PH" w:eastAsia="en-PH"/>
          </w:rPr>
          <w:tab/>
        </w:r>
        <w:r w:rsidRPr="00274472">
          <w:rPr>
            <w:rStyle w:val="aff6"/>
            <w:noProof/>
          </w:rPr>
          <w:t>Environmental and Social Management Plan</w:t>
        </w:r>
        <w:r>
          <w:rPr>
            <w:noProof/>
            <w:webHidden/>
          </w:rPr>
          <w:tab/>
        </w:r>
        <w:r>
          <w:rPr>
            <w:noProof/>
            <w:webHidden/>
          </w:rPr>
          <w:fldChar w:fldCharType="begin"/>
        </w:r>
        <w:r>
          <w:rPr>
            <w:noProof/>
            <w:webHidden/>
          </w:rPr>
          <w:instrText xml:space="preserve"> PAGEREF _Toc210589529 \h </w:instrText>
        </w:r>
        <w:r>
          <w:rPr>
            <w:noProof/>
            <w:webHidden/>
          </w:rPr>
        </w:r>
        <w:r>
          <w:rPr>
            <w:noProof/>
            <w:webHidden/>
          </w:rPr>
          <w:fldChar w:fldCharType="separate"/>
        </w:r>
        <w:r>
          <w:rPr>
            <w:noProof/>
            <w:webHidden/>
          </w:rPr>
          <w:t>164</w:t>
        </w:r>
        <w:r>
          <w:rPr>
            <w:noProof/>
            <w:webHidden/>
          </w:rPr>
          <w:fldChar w:fldCharType="end"/>
        </w:r>
      </w:hyperlink>
    </w:p>
    <w:p w14:paraId="41438F77" w14:textId="53DD1F1D" w:rsidR="008704B1" w:rsidRDefault="008704B1">
      <w:pPr>
        <w:pStyle w:val="25"/>
        <w:rPr>
          <w:rFonts w:asciiTheme="minorHAnsi" w:eastAsiaTheme="minorEastAsia" w:hAnsiTheme="minorHAnsi" w:cstheme="minorBidi"/>
          <w:noProof/>
          <w:color w:val="auto"/>
          <w:sz w:val="22"/>
          <w:szCs w:val="22"/>
          <w:lang w:val="en-PH" w:eastAsia="en-PH"/>
        </w:rPr>
      </w:pPr>
      <w:hyperlink w:anchor="_Toc210589530" w:history="1">
        <w:r w:rsidRPr="00274472">
          <w:rPr>
            <w:rStyle w:val="aff6"/>
            <w:rFonts w:eastAsia="SimSun"/>
            <w:noProof/>
          </w:rPr>
          <w:t>9.2</w:t>
        </w:r>
        <w:r>
          <w:rPr>
            <w:rFonts w:asciiTheme="minorHAnsi" w:eastAsiaTheme="minorEastAsia" w:hAnsiTheme="minorHAnsi" w:cstheme="minorBidi"/>
            <w:noProof/>
            <w:color w:val="auto"/>
            <w:sz w:val="22"/>
            <w:szCs w:val="22"/>
            <w:lang w:val="en-PH" w:eastAsia="en-PH"/>
          </w:rPr>
          <w:tab/>
        </w:r>
        <w:r w:rsidRPr="00274472">
          <w:rPr>
            <w:rStyle w:val="aff6"/>
            <w:rFonts w:eastAsia="SimSun"/>
            <w:noProof/>
            <w:lang w:eastAsia="en-GB"/>
          </w:rPr>
          <w:t>Monitoring Plan</w:t>
        </w:r>
        <w:r>
          <w:rPr>
            <w:noProof/>
            <w:webHidden/>
          </w:rPr>
          <w:tab/>
        </w:r>
        <w:r>
          <w:rPr>
            <w:noProof/>
            <w:webHidden/>
          </w:rPr>
          <w:fldChar w:fldCharType="begin"/>
        </w:r>
        <w:r>
          <w:rPr>
            <w:noProof/>
            <w:webHidden/>
          </w:rPr>
          <w:instrText xml:space="preserve"> PAGEREF _Toc210589530 \h </w:instrText>
        </w:r>
        <w:r>
          <w:rPr>
            <w:noProof/>
            <w:webHidden/>
          </w:rPr>
        </w:r>
        <w:r>
          <w:rPr>
            <w:noProof/>
            <w:webHidden/>
          </w:rPr>
          <w:fldChar w:fldCharType="separate"/>
        </w:r>
        <w:r>
          <w:rPr>
            <w:noProof/>
            <w:webHidden/>
          </w:rPr>
          <w:t>191</w:t>
        </w:r>
        <w:r>
          <w:rPr>
            <w:noProof/>
            <w:webHidden/>
          </w:rPr>
          <w:fldChar w:fldCharType="end"/>
        </w:r>
      </w:hyperlink>
    </w:p>
    <w:p w14:paraId="57E3AF8E" w14:textId="2CBCAA24" w:rsidR="008704B1" w:rsidRDefault="008704B1">
      <w:pPr>
        <w:pStyle w:val="25"/>
        <w:rPr>
          <w:rFonts w:asciiTheme="minorHAnsi" w:eastAsiaTheme="minorEastAsia" w:hAnsiTheme="minorHAnsi" w:cstheme="minorBidi"/>
          <w:noProof/>
          <w:color w:val="auto"/>
          <w:sz w:val="22"/>
          <w:szCs w:val="22"/>
          <w:lang w:val="en-PH" w:eastAsia="en-PH"/>
        </w:rPr>
      </w:pPr>
      <w:hyperlink w:anchor="_Toc210589531" w:history="1">
        <w:r w:rsidRPr="00274472">
          <w:rPr>
            <w:rStyle w:val="aff6"/>
            <w:rFonts w:eastAsia="SimSun"/>
            <w:noProof/>
          </w:rPr>
          <w:t>9.3</w:t>
        </w:r>
        <w:r>
          <w:rPr>
            <w:rFonts w:asciiTheme="minorHAnsi" w:eastAsiaTheme="minorEastAsia" w:hAnsiTheme="minorHAnsi" w:cstheme="minorBidi"/>
            <w:noProof/>
            <w:color w:val="auto"/>
            <w:sz w:val="22"/>
            <w:szCs w:val="22"/>
            <w:lang w:val="en-PH" w:eastAsia="en-PH"/>
          </w:rPr>
          <w:tab/>
        </w:r>
        <w:r w:rsidRPr="00274472">
          <w:rPr>
            <w:rStyle w:val="aff6"/>
            <w:rFonts w:eastAsia="SimSun"/>
            <w:noProof/>
            <w:lang w:eastAsia="en-GB"/>
          </w:rPr>
          <w:t>Contractor’s ‘Site Specific’ ES Management Plans (C-ESMP)</w:t>
        </w:r>
        <w:r>
          <w:rPr>
            <w:noProof/>
            <w:webHidden/>
          </w:rPr>
          <w:tab/>
        </w:r>
        <w:r>
          <w:rPr>
            <w:noProof/>
            <w:webHidden/>
          </w:rPr>
          <w:fldChar w:fldCharType="begin"/>
        </w:r>
        <w:r>
          <w:rPr>
            <w:noProof/>
            <w:webHidden/>
          </w:rPr>
          <w:instrText xml:space="preserve"> PAGEREF _Toc210589531 \h </w:instrText>
        </w:r>
        <w:r>
          <w:rPr>
            <w:noProof/>
            <w:webHidden/>
          </w:rPr>
        </w:r>
        <w:r>
          <w:rPr>
            <w:noProof/>
            <w:webHidden/>
          </w:rPr>
          <w:fldChar w:fldCharType="separate"/>
        </w:r>
        <w:r>
          <w:rPr>
            <w:noProof/>
            <w:webHidden/>
          </w:rPr>
          <w:t>196</w:t>
        </w:r>
        <w:r>
          <w:rPr>
            <w:noProof/>
            <w:webHidden/>
          </w:rPr>
          <w:fldChar w:fldCharType="end"/>
        </w:r>
      </w:hyperlink>
    </w:p>
    <w:p w14:paraId="54D2D265" w14:textId="178CB2D3" w:rsidR="008704B1" w:rsidRDefault="008704B1">
      <w:pPr>
        <w:pStyle w:val="25"/>
        <w:rPr>
          <w:rFonts w:asciiTheme="minorHAnsi" w:eastAsiaTheme="minorEastAsia" w:hAnsiTheme="minorHAnsi" w:cstheme="minorBidi"/>
          <w:noProof/>
          <w:color w:val="auto"/>
          <w:sz w:val="22"/>
          <w:szCs w:val="22"/>
          <w:lang w:val="en-PH" w:eastAsia="en-PH"/>
        </w:rPr>
      </w:pPr>
      <w:hyperlink w:anchor="_Toc210589532" w:history="1">
        <w:r w:rsidRPr="00274472">
          <w:rPr>
            <w:rStyle w:val="aff6"/>
            <w:noProof/>
          </w:rPr>
          <w:t>9.4</w:t>
        </w:r>
        <w:r>
          <w:rPr>
            <w:rFonts w:asciiTheme="minorHAnsi" w:eastAsiaTheme="minorEastAsia" w:hAnsiTheme="minorHAnsi" w:cstheme="minorBidi"/>
            <w:noProof/>
            <w:color w:val="auto"/>
            <w:sz w:val="22"/>
            <w:szCs w:val="22"/>
            <w:lang w:val="en-PH" w:eastAsia="en-PH"/>
          </w:rPr>
          <w:tab/>
        </w:r>
        <w:r w:rsidRPr="00274472">
          <w:rPr>
            <w:rStyle w:val="aff6"/>
            <w:noProof/>
          </w:rPr>
          <w:t>Implementation Schedule and Cost Estimates</w:t>
        </w:r>
        <w:r>
          <w:rPr>
            <w:noProof/>
            <w:webHidden/>
          </w:rPr>
          <w:tab/>
        </w:r>
        <w:r>
          <w:rPr>
            <w:noProof/>
            <w:webHidden/>
          </w:rPr>
          <w:fldChar w:fldCharType="begin"/>
        </w:r>
        <w:r>
          <w:rPr>
            <w:noProof/>
            <w:webHidden/>
          </w:rPr>
          <w:instrText xml:space="preserve"> PAGEREF _Toc210589532 \h </w:instrText>
        </w:r>
        <w:r>
          <w:rPr>
            <w:noProof/>
            <w:webHidden/>
          </w:rPr>
        </w:r>
        <w:r>
          <w:rPr>
            <w:noProof/>
            <w:webHidden/>
          </w:rPr>
          <w:fldChar w:fldCharType="separate"/>
        </w:r>
        <w:r>
          <w:rPr>
            <w:noProof/>
            <w:webHidden/>
          </w:rPr>
          <w:t>202</w:t>
        </w:r>
        <w:r>
          <w:rPr>
            <w:noProof/>
            <w:webHidden/>
          </w:rPr>
          <w:fldChar w:fldCharType="end"/>
        </w:r>
      </w:hyperlink>
    </w:p>
    <w:p w14:paraId="36DE578A" w14:textId="28BA8E48"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533" w:history="1">
        <w:r w:rsidRPr="00274472">
          <w:rPr>
            <w:rStyle w:val="aff6"/>
            <w:rFonts w:cs="Arial"/>
            <w:noProof/>
          </w:rPr>
          <w:t>10</w:t>
        </w:r>
        <w:r>
          <w:rPr>
            <w:rFonts w:asciiTheme="minorHAnsi" w:eastAsiaTheme="minorEastAsia" w:hAnsiTheme="minorHAnsi" w:cstheme="minorBidi"/>
            <w:b w:val="0"/>
            <w:noProof/>
            <w:sz w:val="22"/>
            <w:szCs w:val="22"/>
            <w:lang w:val="en-PH" w:eastAsia="en-PH"/>
          </w:rPr>
          <w:tab/>
        </w:r>
        <w:r w:rsidRPr="00274472">
          <w:rPr>
            <w:rStyle w:val="aff6"/>
            <w:rFonts w:cs="Arial"/>
            <w:noProof/>
          </w:rPr>
          <w:t>CONSULTATION AND STAKEHOLDER ENGAGEMENT</w:t>
        </w:r>
        <w:r>
          <w:rPr>
            <w:noProof/>
            <w:webHidden/>
          </w:rPr>
          <w:tab/>
        </w:r>
        <w:r>
          <w:rPr>
            <w:noProof/>
            <w:webHidden/>
          </w:rPr>
          <w:fldChar w:fldCharType="begin"/>
        </w:r>
        <w:r>
          <w:rPr>
            <w:noProof/>
            <w:webHidden/>
          </w:rPr>
          <w:instrText xml:space="preserve"> PAGEREF _Toc210589533 \h </w:instrText>
        </w:r>
        <w:r>
          <w:rPr>
            <w:noProof/>
            <w:webHidden/>
          </w:rPr>
        </w:r>
        <w:r>
          <w:rPr>
            <w:noProof/>
            <w:webHidden/>
          </w:rPr>
          <w:fldChar w:fldCharType="separate"/>
        </w:r>
        <w:r>
          <w:rPr>
            <w:noProof/>
            <w:webHidden/>
          </w:rPr>
          <w:t>203</w:t>
        </w:r>
        <w:r>
          <w:rPr>
            <w:noProof/>
            <w:webHidden/>
          </w:rPr>
          <w:fldChar w:fldCharType="end"/>
        </w:r>
      </w:hyperlink>
    </w:p>
    <w:p w14:paraId="0AD123BA" w14:textId="1D7DDE2F" w:rsidR="008704B1" w:rsidRDefault="008704B1">
      <w:pPr>
        <w:pStyle w:val="25"/>
        <w:rPr>
          <w:rFonts w:asciiTheme="minorHAnsi" w:eastAsiaTheme="minorEastAsia" w:hAnsiTheme="minorHAnsi" w:cstheme="minorBidi"/>
          <w:noProof/>
          <w:color w:val="auto"/>
          <w:sz w:val="22"/>
          <w:szCs w:val="22"/>
          <w:lang w:val="en-PH" w:eastAsia="en-PH"/>
        </w:rPr>
      </w:pPr>
      <w:hyperlink w:anchor="_Toc210589534" w:history="1">
        <w:r w:rsidRPr="00274472">
          <w:rPr>
            <w:rStyle w:val="aff6"/>
            <w:rFonts w:eastAsia="SimSun"/>
            <w:noProof/>
          </w:rPr>
          <w:t>10.1</w:t>
        </w:r>
        <w:r>
          <w:rPr>
            <w:rFonts w:asciiTheme="minorHAnsi" w:eastAsiaTheme="minorEastAsia" w:hAnsiTheme="minorHAnsi" w:cstheme="minorBidi"/>
            <w:noProof/>
            <w:color w:val="auto"/>
            <w:sz w:val="22"/>
            <w:szCs w:val="22"/>
            <w:lang w:val="en-PH" w:eastAsia="en-PH"/>
          </w:rPr>
          <w:tab/>
        </w:r>
        <w:r w:rsidRPr="00274472">
          <w:rPr>
            <w:rStyle w:val="aff6"/>
            <w:rFonts w:eastAsia="SimSun"/>
            <w:noProof/>
          </w:rPr>
          <w:t>Consultations During Project Preparation</w:t>
        </w:r>
        <w:r>
          <w:rPr>
            <w:noProof/>
            <w:webHidden/>
          </w:rPr>
          <w:tab/>
        </w:r>
        <w:r>
          <w:rPr>
            <w:noProof/>
            <w:webHidden/>
          </w:rPr>
          <w:fldChar w:fldCharType="begin"/>
        </w:r>
        <w:r>
          <w:rPr>
            <w:noProof/>
            <w:webHidden/>
          </w:rPr>
          <w:instrText xml:space="preserve"> PAGEREF _Toc210589534 \h </w:instrText>
        </w:r>
        <w:r>
          <w:rPr>
            <w:noProof/>
            <w:webHidden/>
          </w:rPr>
        </w:r>
        <w:r>
          <w:rPr>
            <w:noProof/>
            <w:webHidden/>
          </w:rPr>
          <w:fldChar w:fldCharType="separate"/>
        </w:r>
        <w:r>
          <w:rPr>
            <w:noProof/>
            <w:webHidden/>
          </w:rPr>
          <w:t>204</w:t>
        </w:r>
        <w:r>
          <w:rPr>
            <w:noProof/>
            <w:webHidden/>
          </w:rPr>
          <w:fldChar w:fldCharType="end"/>
        </w:r>
      </w:hyperlink>
    </w:p>
    <w:p w14:paraId="14543AD7" w14:textId="59B1ABB6" w:rsidR="008704B1" w:rsidRDefault="008704B1">
      <w:pPr>
        <w:pStyle w:val="25"/>
        <w:rPr>
          <w:rFonts w:asciiTheme="minorHAnsi" w:eastAsiaTheme="minorEastAsia" w:hAnsiTheme="minorHAnsi" w:cstheme="minorBidi"/>
          <w:noProof/>
          <w:color w:val="auto"/>
          <w:sz w:val="22"/>
          <w:szCs w:val="22"/>
          <w:lang w:val="en-PH" w:eastAsia="en-PH"/>
        </w:rPr>
      </w:pPr>
      <w:hyperlink w:anchor="_Toc210589535" w:history="1">
        <w:r w:rsidRPr="00274472">
          <w:rPr>
            <w:rStyle w:val="aff6"/>
            <w:noProof/>
          </w:rPr>
          <w:t>10.2</w:t>
        </w:r>
        <w:r>
          <w:rPr>
            <w:rFonts w:asciiTheme="minorHAnsi" w:eastAsiaTheme="minorEastAsia" w:hAnsiTheme="minorHAnsi" w:cstheme="minorBidi"/>
            <w:noProof/>
            <w:color w:val="auto"/>
            <w:sz w:val="22"/>
            <w:szCs w:val="22"/>
            <w:lang w:val="en-PH" w:eastAsia="en-PH"/>
          </w:rPr>
          <w:tab/>
        </w:r>
        <w:r w:rsidRPr="00274472">
          <w:rPr>
            <w:rStyle w:val="aff6"/>
            <w:noProof/>
          </w:rPr>
          <w:t>Consultations During Project Implementation</w:t>
        </w:r>
        <w:r>
          <w:rPr>
            <w:noProof/>
            <w:webHidden/>
          </w:rPr>
          <w:tab/>
        </w:r>
        <w:r>
          <w:rPr>
            <w:noProof/>
            <w:webHidden/>
          </w:rPr>
          <w:fldChar w:fldCharType="begin"/>
        </w:r>
        <w:r>
          <w:rPr>
            <w:noProof/>
            <w:webHidden/>
          </w:rPr>
          <w:instrText xml:space="preserve"> PAGEREF _Toc210589535 \h </w:instrText>
        </w:r>
        <w:r>
          <w:rPr>
            <w:noProof/>
            <w:webHidden/>
          </w:rPr>
        </w:r>
        <w:r>
          <w:rPr>
            <w:noProof/>
            <w:webHidden/>
          </w:rPr>
          <w:fldChar w:fldCharType="separate"/>
        </w:r>
        <w:r>
          <w:rPr>
            <w:noProof/>
            <w:webHidden/>
          </w:rPr>
          <w:t>205</w:t>
        </w:r>
        <w:r>
          <w:rPr>
            <w:noProof/>
            <w:webHidden/>
          </w:rPr>
          <w:fldChar w:fldCharType="end"/>
        </w:r>
      </w:hyperlink>
    </w:p>
    <w:p w14:paraId="7E61FA48" w14:textId="63CB051F" w:rsidR="008704B1" w:rsidRDefault="008704B1">
      <w:pPr>
        <w:pStyle w:val="25"/>
        <w:rPr>
          <w:rFonts w:asciiTheme="minorHAnsi" w:eastAsiaTheme="minorEastAsia" w:hAnsiTheme="minorHAnsi" w:cstheme="minorBidi"/>
          <w:noProof/>
          <w:color w:val="auto"/>
          <w:sz w:val="22"/>
          <w:szCs w:val="22"/>
          <w:lang w:val="en-PH" w:eastAsia="en-PH"/>
        </w:rPr>
      </w:pPr>
      <w:hyperlink w:anchor="_Toc210589536" w:history="1">
        <w:r w:rsidRPr="00274472">
          <w:rPr>
            <w:rStyle w:val="aff6"/>
            <w:rFonts w:eastAsia="SimSun"/>
            <w:noProof/>
          </w:rPr>
          <w:t>10.3</w:t>
        </w:r>
        <w:r>
          <w:rPr>
            <w:rFonts w:asciiTheme="minorHAnsi" w:eastAsiaTheme="minorEastAsia" w:hAnsiTheme="minorHAnsi" w:cstheme="minorBidi"/>
            <w:noProof/>
            <w:color w:val="auto"/>
            <w:sz w:val="22"/>
            <w:szCs w:val="22"/>
            <w:lang w:val="en-PH" w:eastAsia="en-PH"/>
          </w:rPr>
          <w:tab/>
        </w:r>
        <w:r w:rsidRPr="00274472">
          <w:rPr>
            <w:rStyle w:val="aff6"/>
            <w:rFonts w:eastAsia="SimSun"/>
            <w:noProof/>
          </w:rPr>
          <w:t>Reporting Back to Stakeholders</w:t>
        </w:r>
        <w:r>
          <w:rPr>
            <w:noProof/>
            <w:webHidden/>
          </w:rPr>
          <w:tab/>
        </w:r>
        <w:r>
          <w:rPr>
            <w:noProof/>
            <w:webHidden/>
          </w:rPr>
          <w:fldChar w:fldCharType="begin"/>
        </w:r>
        <w:r>
          <w:rPr>
            <w:noProof/>
            <w:webHidden/>
          </w:rPr>
          <w:instrText xml:space="preserve"> PAGEREF _Toc210589536 \h </w:instrText>
        </w:r>
        <w:r>
          <w:rPr>
            <w:noProof/>
            <w:webHidden/>
          </w:rPr>
        </w:r>
        <w:r>
          <w:rPr>
            <w:noProof/>
            <w:webHidden/>
          </w:rPr>
          <w:fldChar w:fldCharType="separate"/>
        </w:r>
        <w:r>
          <w:rPr>
            <w:noProof/>
            <w:webHidden/>
          </w:rPr>
          <w:t>206</w:t>
        </w:r>
        <w:r>
          <w:rPr>
            <w:noProof/>
            <w:webHidden/>
          </w:rPr>
          <w:fldChar w:fldCharType="end"/>
        </w:r>
      </w:hyperlink>
    </w:p>
    <w:p w14:paraId="0FCB947F" w14:textId="140AD42A" w:rsidR="008704B1" w:rsidRDefault="008704B1">
      <w:pPr>
        <w:pStyle w:val="25"/>
        <w:rPr>
          <w:rFonts w:asciiTheme="minorHAnsi" w:eastAsiaTheme="minorEastAsia" w:hAnsiTheme="minorHAnsi" w:cstheme="minorBidi"/>
          <w:noProof/>
          <w:color w:val="auto"/>
          <w:sz w:val="22"/>
          <w:szCs w:val="22"/>
          <w:lang w:val="en-PH" w:eastAsia="en-PH"/>
        </w:rPr>
      </w:pPr>
      <w:hyperlink w:anchor="_Toc210589537" w:history="1">
        <w:r w:rsidRPr="00274472">
          <w:rPr>
            <w:rStyle w:val="aff6"/>
            <w:rFonts w:eastAsia="SimSun"/>
            <w:noProof/>
          </w:rPr>
          <w:t>10.4</w:t>
        </w:r>
        <w:r>
          <w:rPr>
            <w:rFonts w:asciiTheme="minorHAnsi" w:eastAsiaTheme="minorEastAsia" w:hAnsiTheme="minorHAnsi" w:cstheme="minorBidi"/>
            <w:noProof/>
            <w:color w:val="auto"/>
            <w:sz w:val="22"/>
            <w:szCs w:val="22"/>
            <w:lang w:val="en-PH" w:eastAsia="en-PH"/>
          </w:rPr>
          <w:tab/>
        </w:r>
        <w:r w:rsidRPr="00274472">
          <w:rPr>
            <w:rStyle w:val="aff6"/>
            <w:rFonts w:eastAsia="SimSun"/>
            <w:noProof/>
          </w:rPr>
          <w:t>Information Disclosure Tools</w:t>
        </w:r>
        <w:r>
          <w:rPr>
            <w:noProof/>
            <w:webHidden/>
          </w:rPr>
          <w:tab/>
        </w:r>
        <w:r>
          <w:rPr>
            <w:noProof/>
            <w:webHidden/>
          </w:rPr>
          <w:fldChar w:fldCharType="begin"/>
        </w:r>
        <w:r>
          <w:rPr>
            <w:noProof/>
            <w:webHidden/>
          </w:rPr>
          <w:instrText xml:space="preserve"> PAGEREF _Toc210589537 \h </w:instrText>
        </w:r>
        <w:r>
          <w:rPr>
            <w:noProof/>
            <w:webHidden/>
          </w:rPr>
        </w:r>
        <w:r>
          <w:rPr>
            <w:noProof/>
            <w:webHidden/>
          </w:rPr>
          <w:fldChar w:fldCharType="separate"/>
        </w:r>
        <w:r>
          <w:rPr>
            <w:noProof/>
            <w:webHidden/>
          </w:rPr>
          <w:t>206</w:t>
        </w:r>
        <w:r>
          <w:rPr>
            <w:noProof/>
            <w:webHidden/>
          </w:rPr>
          <w:fldChar w:fldCharType="end"/>
        </w:r>
      </w:hyperlink>
    </w:p>
    <w:p w14:paraId="100C74D3" w14:textId="52058062" w:rsidR="008704B1" w:rsidRDefault="008704B1">
      <w:pPr>
        <w:pStyle w:val="25"/>
        <w:rPr>
          <w:rFonts w:asciiTheme="minorHAnsi" w:eastAsiaTheme="minorEastAsia" w:hAnsiTheme="minorHAnsi" w:cstheme="minorBidi"/>
          <w:noProof/>
          <w:color w:val="auto"/>
          <w:sz w:val="22"/>
          <w:szCs w:val="22"/>
          <w:lang w:val="en-PH" w:eastAsia="en-PH"/>
        </w:rPr>
      </w:pPr>
      <w:hyperlink w:anchor="_Toc210589538" w:history="1">
        <w:r w:rsidRPr="00274472">
          <w:rPr>
            <w:rStyle w:val="aff6"/>
            <w:rFonts w:eastAsia="SimSun"/>
            <w:noProof/>
          </w:rPr>
          <w:t>10.5</w:t>
        </w:r>
        <w:r>
          <w:rPr>
            <w:rFonts w:asciiTheme="minorHAnsi" w:eastAsiaTheme="minorEastAsia" w:hAnsiTheme="minorHAnsi" w:cstheme="minorBidi"/>
            <w:noProof/>
            <w:color w:val="auto"/>
            <w:sz w:val="22"/>
            <w:szCs w:val="22"/>
            <w:lang w:val="en-PH" w:eastAsia="en-PH"/>
          </w:rPr>
          <w:tab/>
        </w:r>
        <w:r w:rsidRPr="00274472">
          <w:rPr>
            <w:rStyle w:val="aff6"/>
            <w:rFonts w:eastAsia="SimSun"/>
            <w:noProof/>
          </w:rPr>
          <w:t>Feedback and Monitoring</w:t>
        </w:r>
        <w:r>
          <w:rPr>
            <w:noProof/>
            <w:webHidden/>
          </w:rPr>
          <w:tab/>
        </w:r>
        <w:r>
          <w:rPr>
            <w:noProof/>
            <w:webHidden/>
          </w:rPr>
          <w:fldChar w:fldCharType="begin"/>
        </w:r>
        <w:r>
          <w:rPr>
            <w:noProof/>
            <w:webHidden/>
          </w:rPr>
          <w:instrText xml:space="preserve"> PAGEREF _Toc210589538 \h </w:instrText>
        </w:r>
        <w:r>
          <w:rPr>
            <w:noProof/>
            <w:webHidden/>
          </w:rPr>
        </w:r>
        <w:r>
          <w:rPr>
            <w:noProof/>
            <w:webHidden/>
          </w:rPr>
          <w:fldChar w:fldCharType="separate"/>
        </w:r>
        <w:r>
          <w:rPr>
            <w:noProof/>
            <w:webHidden/>
          </w:rPr>
          <w:t>207</w:t>
        </w:r>
        <w:r>
          <w:rPr>
            <w:noProof/>
            <w:webHidden/>
          </w:rPr>
          <w:fldChar w:fldCharType="end"/>
        </w:r>
      </w:hyperlink>
    </w:p>
    <w:p w14:paraId="48EA8E54" w14:textId="050E2F11"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539" w:history="1">
        <w:r w:rsidRPr="00274472">
          <w:rPr>
            <w:rStyle w:val="aff6"/>
            <w:rFonts w:cs="Arial"/>
            <w:noProof/>
          </w:rPr>
          <w:t>11</w:t>
        </w:r>
        <w:r>
          <w:rPr>
            <w:rFonts w:asciiTheme="minorHAnsi" w:eastAsiaTheme="minorEastAsia" w:hAnsiTheme="minorHAnsi" w:cstheme="minorBidi"/>
            <w:b w:val="0"/>
            <w:noProof/>
            <w:sz w:val="22"/>
            <w:szCs w:val="22"/>
            <w:lang w:val="en-PH" w:eastAsia="en-PH"/>
          </w:rPr>
          <w:tab/>
        </w:r>
        <w:r w:rsidRPr="00274472">
          <w:rPr>
            <w:rStyle w:val="aff6"/>
            <w:rFonts w:cs="Arial"/>
            <w:noProof/>
          </w:rPr>
          <w:t>GRIEVANCE REDRESS</w:t>
        </w:r>
        <w:r>
          <w:rPr>
            <w:noProof/>
            <w:webHidden/>
          </w:rPr>
          <w:tab/>
        </w:r>
        <w:r>
          <w:rPr>
            <w:noProof/>
            <w:webHidden/>
          </w:rPr>
          <w:fldChar w:fldCharType="begin"/>
        </w:r>
        <w:r>
          <w:rPr>
            <w:noProof/>
            <w:webHidden/>
          </w:rPr>
          <w:instrText xml:space="preserve"> PAGEREF _Toc210589539 \h </w:instrText>
        </w:r>
        <w:r>
          <w:rPr>
            <w:noProof/>
            <w:webHidden/>
          </w:rPr>
        </w:r>
        <w:r>
          <w:rPr>
            <w:noProof/>
            <w:webHidden/>
          </w:rPr>
          <w:fldChar w:fldCharType="separate"/>
        </w:r>
        <w:r>
          <w:rPr>
            <w:noProof/>
            <w:webHidden/>
          </w:rPr>
          <w:t>208</w:t>
        </w:r>
        <w:r>
          <w:rPr>
            <w:noProof/>
            <w:webHidden/>
          </w:rPr>
          <w:fldChar w:fldCharType="end"/>
        </w:r>
      </w:hyperlink>
    </w:p>
    <w:p w14:paraId="696317E3" w14:textId="1BD16BB5" w:rsidR="008704B1" w:rsidRDefault="008704B1">
      <w:pPr>
        <w:pStyle w:val="25"/>
        <w:rPr>
          <w:rFonts w:asciiTheme="minorHAnsi" w:eastAsiaTheme="minorEastAsia" w:hAnsiTheme="minorHAnsi" w:cstheme="minorBidi"/>
          <w:noProof/>
          <w:color w:val="auto"/>
          <w:sz w:val="22"/>
          <w:szCs w:val="22"/>
          <w:lang w:val="en-PH" w:eastAsia="en-PH"/>
        </w:rPr>
      </w:pPr>
      <w:hyperlink w:anchor="_Toc210589540" w:history="1">
        <w:r w:rsidRPr="00274472">
          <w:rPr>
            <w:rStyle w:val="aff6"/>
            <w:noProof/>
          </w:rPr>
          <w:t>11.1</w:t>
        </w:r>
        <w:r>
          <w:rPr>
            <w:rFonts w:asciiTheme="minorHAnsi" w:eastAsiaTheme="minorEastAsia" w:hAnsiTheme="minorHAnsi" w:cstheme="minorBidi"/>
            <w:noProof/>
            <w:color w:val="auto"/>
            <w:sz w:val="22"/>
            <w:szCs w:val="22"/>
            <w:lang w:val="en-PH" w:eastAsia="en-PH"/>
          </w:rPr>
          <w:tab/>
        </w:r>
        <w:r w:rsidRPr="00274472">
          <w:rPr>
            <w:rStyle w:val="aff6"/>
            <w:noProof/>
          </w:rPr>
          <w:t>Grievance Redress Mechanisms</w:t>
        </w:r>
        <w:r>
          <w:rPr>
            <w:noProof/>
            <w:webHidden/>
          </w:rPr>
          <w:tab/>
        </w:r>
        <w:r>
          <w:rPr>
            <w:noProof/>
            <w:webHidden/>
          </w:rPr>
          <w:fldChar w:fldCharType="begin"/>
        </w:r>
        <w:r>
          <w:rPr>
            <w:noProof/>
            <w:webHidden/>
          </w:rPr>
          <w:instrText xml:space="preserve"> PAGEREF _Toc210589540 \h </w:instrText>
        </w:r>
        <w:r>
          <w:rPr>
            <w:noProof/>
            <w:webHidden/>
          </w:rPr>
        </w:r>
        <w:r>
          <w:rPr>
            <w:noProof/>
            <w:webHidden/>
          </w:rPr>
          <w:fldChar w:fldCharType="separate"/>
        </w:r>
        <w:r>
          <w:rPr>
            <w:noProof/>
            <w:webHidden/>
          </w:rPr>
          <w:t>208</w:t>
        </w:r>
        <w:r>
          <w:rPr>
            <w:noProof/>
            <w:webHidden/>
          </w:rPr>
          <w:fldChar w:fldCharType="end"/>
        </w:r>
      </w:hyperlink>
    </w:p>
    <w:p w14:paraId="19984479" w14:textId="26CD5247" w:rsidR="008704B1" w:rsidRDefault="008704B1">
      <w:pPr>
        <w:pStyle w:val="25"/>
        <w:rPr>
          <w:rFonts w:asciiTheme="minorHAnsi" w:eastAsiaTheme="minorEastAsia" w:hAnsiTheme="minorHAnsi" w:cstheme="minorBidi"/>
          <w:noProof/>
          <w:color w:val="auto"/>
          <w:sz w:val="22"/>
          <w:szCs w:val="22"/>
          <w:lang w:val="en-PH" w:eastAsia="en-PH"/>
        </w:rPr>
      </w:pPr>
      <w:hyperlink w:anchor="_Toc210589541" w:history="1">
        <w:r w:rsidRPr="00274472">
          <w:rPr>
            <w:rStyle w:val="aff6"/>
            <w:noProof/>
          </w:rPr>
          <w:t>11.2</w:t>
        </w:r>
        <w:r>
          <w:rPr>
            <w:rFonts w:asciiTheme="minorHAnsi" w:eastAsiaTheme="minorEastAsia" w:hAnsiTheme="minorHAnsi" w:cstheme="minorBidi"/>
            <w:noProof/>
            <w:color w:val="auto"/>
            <w:sz w:val="22"/>
            <w:szCs w:val="22"/>
            <w:lang w:val="en-PH" w:eastAsia="en-PH"/>
          </w:rPr>
          <w:tab/>
        </w:r>
        <w:r w:rsidRPr="00274472">
          <w:rPr>
            <w:rStyle w:val="aff6"/>
            <w:noProof/>
          </w:rPr>
          <w:t>Disclosure of the Grievance Process</w:t>
        </w:r>
        <w:r>
          <w:rPr>
            <w:noProof/>
            <w:webHidden/>
          </w:rPr>
          <w:tab/>
        </w:r>
        <w:r>
          <w:rPr>
            <w:noProof/>
            <w:webHidden/>
          </w:rPr>
          <w:fldChar w:fldCharType="begin"/>
        </w:r>
        <w:r>
          <w:rPr>
            <w:noProof/>
            <w:webHidden/>
          </w:rPr>
          <w:instrText xml:space="preserve"> PAGEREF _Toc210589541 \h </w:instrText>
        </w:r>
        <w:r>
          <w:rPr>
            <w:noProof/>
            <w:webHidden/>
          </w:rPr>
        </w:r>
        <w:r>
          <w:rPr>
            <w:noProof/>
            <w:webHidden/>
          </w:rPr>
          <w:fldChar w:fldCharType="separate"/>
        </w:r>
        <w:r>
          <w:rPr>
            <w:noProof/>
            <w:webHidden/>
          </w:rPr>
          <w:t>210</w:t>
        </w:r>
        <w:r>
          <w:rPr>
            <w:noProof/>
            <w:webHidden/>
          </w:rPr>
          <w:fldChar w:fldCharType="end"/>
        </w:r>
      </w:hyperlink>
    </w:p>
    <w:p w14:paraId="018783BE" w14:textId="310458EE" w:rsidR="008704B1" w:rsidRDefault="008704B1">
      <w:pPr>
        <w:pStyle w:val="11"/>
        <w:tabs>
          <w:tab w:val="left" w:pos="735"/>
          <w:tab w:val="right" w:leader="dot" w:pos="9260"/>
        </w:tabs>
        <w:rPr>
          <w:rFonts w:asciiTheme="minorHAnsi" w:eastAsiaTheme="minorEastAsia" w:hAnsiTheme="minorHAnsi" w:cstheme="minorBidi"/>
          <w:b w:val="0"/>
          <w:noProof/>
          <w:sz w:val="22"/>
          <w:szCs w:val="22"/>
          <w:lang w:val="en-PH" w:eastAsia="en-PH"/>
        </w:rPr>
      </w:pPr>
      <w:hyperlink w:anchor="_Toc210589542" w:history="1">
        <w:r w:rsidRPr="00274472">
          <w:rPr>
            <w:rStyle w:val="aff6"/>
            <w:rFonts w:cs="Arial"/>
            <w:noProof/>
          </w:rPr>
          <w:t>12</w:t>
        </w:r>
        <w:r>
          <w:rPr>
            <w:rFonts w:asciiTheme="minorHAnsi" w:eastAsiaTheme="minorEastAsia" w:hAnsiTheme="minorHAnsi" w:cstheme="minorBidi"/>
            <w:b w:val="0"/>
            <w:noProof/>
            <w:sz w:val="22"/>
            <w:szCs w:val="22"/>
            <w:lang w:val="en-PH" w:eastAsia="en-PH"/>
          </w:rPr>
          <w:tab/>
        </w:r>
        <w:r w:rsidRPr="00274472">
          <w:rPr>
            <w:rStyle w:val="aff6"/>
            <w:rFonts w:cs="Arial"/>
            <w:noProof/>
          </w:rPr>
          <w:t>MONITORING, REPORTING AND BUDGET</w:t>
        </w:r>
        <w:r>
          <w:rPr>
            <w:noProof/>
            <w:webHidden/>
          </w:rPr>
          <w:tab/>
        </w:r>
        <w:r>
          <w:rPr>
            <w:noProof/>
            <w:webHidden/>
          </w:rPr>
          <w:fldChar w:fldCharType="begin"/>
        </w:r>
        <w:r>
          <w:rPr>
            <w:noProof/>
            <w:webHidden/>
          </w:rPr>
          <w:instrText xml:space="preserve"> PAGEREF _Toc210589542 \h </w:instrText>
        </w:r>
        <w:r>
          <w:rPr>
            <w:noProof/>
            <w:webHidden/>
          </w:rPr>
        </w:r>
        <w:r>
          <w:rPr>
            <w:noProof/>
            <w:webHidden/>
          </w:rPr>
          <w:fldChar w:fldCharType="separate"/>
        </w:r>
        <w:r>
          <w:rPr>
            <w:noProof/>
            <w:webHidden/>
          </w:rPr>
          <w:t>211</w:t>
        </w:r>
        <w:r>
          <w:rPr>
            <w:noProof/>
            <w:webHidden/>
          </w:rPr>
          <w:fldChar w:fldCharType="end"/>
        </w:r>
      </w:hyperlink>
    </w:p>
    <w:p w14:paraId="46D5C2D3" w14:textId="4BA1DFBE" w:rsidR="008704B1" w:rsidRDefault="008704B1">
      <w:pPr>
        <w:pStyle w:val="25"/>
        <w:rPr>
          <w:rFonts w:asciiTheme="minorHAnsi" w:eastAsiaTheme="minorEastAsia" w:hAnsiTheme="minorHAnsi" w:cstheme="minorBidi"/>
          <w:noProof/>
          <w:color w:val="auto"/>
          <w:sz w:val="22"/>
          <w:szCs w:val="22"/>
          <w:lang w:val="en-PH" w:eastAsia="en-PH"/>
        </w:rPr>
      </w:pPr>
      <w:hyperlink w:anchor="_Toc210589543" w:history="1">
        <w:r w:rsidRPr="00274472">
          <w:rPr>
            <w:rStyle w:val="aff6"/>
            <w:noProof/>
          </w:rPr>
          <w:t>12.1</w:t>
        </w:r>
        <w:r>
          <w:rPr>
            <w:rFonts w:asciiTheme="minorHAnsi" w:eastAsiaTheme="minorEastAsia" w:hAnsiTheme="minorHAnsi" w:cstheme="minorBidi"/>
            <w:noProof/>
            <w:color w:val="auto"/>
            <w:sz w:val="22"/>
            <w:szCs w:val="22"/>
            <w:lang w:val="en-PH" w:eastAsia="en-PH"/>
          </w:rPr>
          <w:tab/>
        </w:r>
        <w:r w:rsidRPr="00274472">
          <w:rPr>
            <w:rStyle w:val="aff6"/>
            <w:noProof/>
          </w:rPr>
          <w:t>Internal Monitoring</w:t>
        </w:r>
        <w:r>
          <w:rPr>
            <w:noProof/>
            <w:webHidden/>
          </w:rPr>
          <w:tab/>
        </w:r>
        <w:r>
          <w:rPr>
            <w:noProof/>
            <w:webHidden/>
          </w:rPr>
          <w:fldChar w:fldCharType="begin"/>
        </w:r>
        <w:r>
          <w:rPr>
            <w:noProof/>
            <w:webHidden/>
          </w:rPr>
          <w:instrText xml:space="preserve"> PAGEREF _Toc210589543 \h </w:instrText>
        </w:r>
        <w:r>
          <w:rPr>
            <w:noProof/>
            <w:webHidden/>
          </w:rPr>
        </w:r>
        <w:r>
          <w:rPr>
            <w:noProof/>
            <w:webHidden/>
          </w:rPr>
          <w:fldChar w:fldCharType="separate"/>
        </w:r>
        <w:r>
          <w:rPr>
            <w:noProof/>
            <w:webHidden/>
          </w:rPr>
          <w:t>211</w:t>
        </w:r>
        <w:r>
          <w:rPr>
            <w:noProof/>
            <w:webHidden/>
          </w:rPr>
          <w:fldChar w:fldCharType="end"/>
        </w:r>
      </w:hyperlink>
    </w:p>
    <w:p w14:paraId="119FF857" w14:textId="31448D31" w:rsidR="008704B1" w:rsidRDefault="008704B1">
      <w:pPr>
        <w:pStyle w:val="11"/>
        <w:tabs>
          <w:tab w:val="right" w:leader="dot" w:pos="9260"/>
        </w:tabs>
        <w:rPr>
          <w:rFonts w:asciiTheme="minorHAnsi" w:eastAsiaTheme="minorEastAsia" w:hAnsiTheme="minorHAnsi" w:cstheme="minorBidi"/>
          <w:b w:val="0"/>
          <w:noProof/>
          <w:sz w:val="22"/>
          <w:szCs w:val="22"/>
          <w:lang w:val="en-PH" w:eastAsia="en-PH"/>
        </w:rPr>
      </w:pPr>
      <w:hyperlink w:anchor="_Toc210589544" w:history="1">
        <w:r w:rsidRPr="00274472">
          <w:rPr>
            <w:rStyle w:val="aff6"/>
            <w:rFonts w:eastAsia="Arial" w:cs="Arial"/>
            <w:noProof/>
          </w:rPr>
          <w:t>Appendix 1: Inventory of Initially Obtained Electronic Data from KTZ</w:t>
        </w:r>
        <w:r>
          <w:rPr>
            <w:noProof/>
            <w:webHidden/>
          </w:rPr>
          <w:tab/>
        </w:r>
        <w:r>
          <w:rPr>
            <w:noProof/>
            <w:webHidden/>
          </w:rPr>
          <w:fldChar w:fldCharType="begin"/>
        </w:r>
        <w:r>
          <w:rPr>
            <w:noProof/>
            <w:webHidden/>
          </w:rPr>
          <w:instrText xml:space="preserve"> PAGEREF _Toc210589544 \h </w:instrText>
        </w:r>
        <w:r>
          <w:rPr>
            <w:noProof/>
            <w:webHidden/>
          </w:rPr>
        </w:r>
        <w:r>
          <w:rPr>
            <w:noProof/>
            <w:webHidden/>
          </w:rPr>
          <w:fldChar w:fldCharType="separate"/>
        </w:r>
        <w:r>
          <w:rPr>
            <w:noProof/>
            <w:webHidden/>
          </w:rPr>
          <w:t>212</w:t>
        </w:r>
        <w:r>
          <w:rPr>
            <w:noProof/>
            <w:webHidden/>
          </w:rPr>
          <w:fldChar w:fldCharType="end"/>
        </w:r>
      </w:hyperlink>
    </w:p>
    <w:p w14:paraId="6B1EC6F7" w14:textId="545DBC58" w:rsidR="00F61F8E" w:rsidRPr="002B3F36" w:rsidRDefault="00B947A4" w:rsidP="00B947A4">
      <w:pPr>
        <w:rPr>
          <w:rFonts w:ascii="Arial" w:hAnsi="Arial" w:cs="Arial"/>
        </w:rPr>
      </w:pPr>
      <w:r w:rsidRPr="002B3F36">
        <w:rPr>
          <w:rFonts w:ascii="Arial" w:eastAsia="MS Mincho" w:hAnsi="Arial" w:cs="Arial"/>
          <w:noProof/>
          <w:color w:val="2B579A"/>
        </w:rPr>
        <w:fldChar w:fldCharType="end"/>
      </w:r>
    </w:p>
    <w:p w14:paraId="16C3D2C4" w14:textId="16EE0ECA" w:rsidR="00F61F8E" w:rsidRPr="002B3F36" w:rsidRDefault="00F61F8E" w:rsidP="00E25704">
      <w:pPr>
        <w:pStyle w:val="ReportBodyPar"/>
      </w:pPr>
    </w:p>
    <w:p w14:paraId="45BA23D7" w14:textId="77777777" w:rsidR="00B32FEB" w:rsidRPr="002B3F36" w:rsidRDefault="00B32FEB" w:rsidP="00E25704">
      <w:pPr>
        <w:pStyle w:val="ReportBodyPar"/>
      </w:pPr>
    </w:p>
    <w:p w14:paraId="5418633A" w14:textId="6A870111" w:rsidR="00517A3E" w:rsidRPr="002B3F36" w:rsidRDefault="00517A3E" w:rsidP="00517A3E">
      <w:pPr>
        <w:spacing w:line="242" w:lineRule="exact"/>
        <w:jc w:val="center"/>
        <w:rPr>
          <w:rFonts w:ascii="Arial" w:hAnsi="Arial" w:cs="Arial"/>
          <w:b/>
          <w:bCs/>
          <w:sz w:val="24"/>
          <w:szCs w:val="28"/>
        </w:rPr>
      </w:pPr>
      <w:r w:rsidRPr="002B3F36">
        <w:rPr>
          <w:rFonts w:ascii="Arial" w:hAnsi="Arial" w:cs="Arial"/>
          <w:b/>
          <w:bCs/>
          <w:sz w:val="24"/>
          <w:szCs w:val="28"/>
        </w:rPr>
        <w:t>List of Tables</w:t>
      </w:r>
    </w:p>
    <w:p w14:paraId="3ED5DBC5" w14:textId="77777777" w:rsidR="00517A3E" w:rsidRPr="002B3F36" w:rsidRDefault="00517A3E" w:rsidP="00517A3E">
      <w:pPr>
        <w:spacing w:line="242" w:lineRule="exact"/>
        <w:jc w:val="center"/>
        <w:rPr>
          <w:rFonts w:ascii="Arial" w:hAnsi="Arial" w:cs="Arial"/>
          <w:b/>
          <w:bCs/>
          <w:sz w:val="24"/>
          <w:szCs w:val="28"/>
        </w:rPr>
      </w:pPr>
    </w:p>
    <w:p w14:paraId="0ABF562D" w14:textId="780C90F7" w:rsidR="008704B1" w:rsidRDefault="00DE0226">
      <w:pPr>
        <w:pStyle w:val="aff4"/>
        <w:rPr>
          <w:rFonts w:asciiTheme="minorHAnsi" w:eastAsiaTheme="minorEastAsia" w:hAnsiTheme="minorHAnsi" w:cstheme="minorBidi"/>
          <w:noProof/>
          <w:sz w:val="22"/>
          <w:lang w:val="en-PH" w:eastAsia="en-PH"/>
        </w:rPr>
      </w:pPr>
      <w:r w:rsidRPr="002B3F36">
        <w:rPr>
          <w:rFonts w:cs="Arial"/>
        </w:rPr>
        <w:fldChar w:fldCharType="begin"/>
      </w:r>
      <w:r w:rsidRPr="002B3F36">
        <w:rPr>
          <w:rFonts w:cs="Arial"/>
        </w:rPr>
        <w:instrText xml:space="preserve"> TOC \h \z \c "Table" </w:instrText>
      </w:r>
      <w:r w:rsidRPr="002B3F36">
        <w:rPr>
          <w:rFonts w:cs="Arial"/>
        </w:rPr>
        <w:fldChar w:fldCharType="separate"/>
      </w:r>
      <w:hyperlink w:anchor="_Toc210589545" w:history="1">
        <w:r w:rsidR="008704B1" w:rsidRPr="00F540DA">
          <w:rPr>
            <w:rStyle w:val="aff6"/>
            <w:noProof/>
          </w:rPr>
          <w:t>Table 1: Supplemental Reference Information for ESIA</w:t>
        </w:r>
        <w:r w:rsidR="008704B1">
          <w:rPr>
            <w:noProof/>
            <w:webHidden/>
          </w:rPr>
          <w:tab/>
        </w:r>
        <w:r w:rsidR="008704B1">
          <w:rPr>
            <w:noProof/>
            <w:webHidden/>
          </w:rPr>
          <w:fldChar w:fldCharType="begin"/>
        </w:r>
        <w:r w:rsidR="008704B1">
          <w:rPr>
            <w:noProof/>
            <w:webHidden/>
          </w:rPr>
          <w:instrText xml:space="preserve"> PAGEREF _Toc210589545 \h </w:instrText>
        </w:r>
        <w:r w:rsidR="008704B1">
          <w:rPr>
            <w:noProof/>
            <w:webHidden/>
          </w:rPr>
        </w:r>
        <w:r w:rsidR="008704B1">
          <w:rPr>
            <w:noProof/>
            <w:webHidden/>
          </w:rPr>
          <w:fldChar w:fldCharType="separate"/>
        </w:r>
        <w:r w:rsidR="008704B1">
          <w:rPr>
            <w:noProof/>
            <w:webHidden/>
          </w:rPr>
          <w:t>3</w:t>
        </w:r>
        <w:r w:rsidR="008704B1">
          <w:rPr>
            <w:noProof/>
            <w:webHidden/>
          </w:rPr>
          <w:fldChar w:fldCharType="end"/>
        </w:r>
      </w:hyperlink>
    </w:p>
    <w:p w14:paraId="6959C254" w14:textId="4BBE91C3" w:rsidR="008704B1" w:rsidRDefault="008704B1">
      <w:pPr>
        <w:pStyle w:val="aff4"/>
        <w:rPr>
          <w:rFonts w:asciiTheme="minorHAnsi" w:eastAsiaTheme="minorEastAsia" w:hAnsiTheme="minorHAnsi" w:cstheme="minorBidi"/>
          <w:noProof/>
          <w:sz w:val="22"/>
          <w:lang w:val="en-PH" w:eastAsia="en-PH"/>
        </w:rPr>
      </w:pPr>
      <w:hyperlink w:anchor="_Toc210589546" w:history="1">
        <w:r w:rsidRPr="00F540DA">
          <w:rPr>
            <w:rStyle w:val="aff6"/>
            <w:noProof/>
          </w:rPr>
          <w:t>Table 2: Design Parameters for Mointy-Kyzylzhar Railway</w:t>
        </w:r>
        <w:r>
          <w:rPr>
            <w:noProof/>
            <w:webHidden/>
          </w:rPr>
          <w:tab/>
        </w:r>
        <w:r>
          <w:rPr>
            <w:noProof/>
            <w:webHidden/>
          </w:rPr>
          <w:fldChar w:fldCharType="begin"/>
        </w:r>
        <w:r>
          <w:rPr>
            <w:noProof/>
            <w:webHidden/>
          </w:rPr>
          <w:instrText xml:space="preserve"> PAGEREF _Toc210589546 \h </w:instrText>
        </w:r>
        <w:r>
          <w:rPr>
            <w:noProof/>
            <w:webHidden/>
          </w:rPr>
        </w:r>
        <w:r>
          <w:rPr>
            <w:noProof/>
            <w:webHidden/>
          </w:rPr>
          <w:fldChar w:fldCharType="separate"/>
        </w:r>
        <w:r>
          <w:rPr>
            <w:noProof/>
            <w:webHidden/>
          </w:rPr>
          <w:t>11</w:t>
        </w:r>
        <w:r>
          <w:rPr>
            <w:noProof/>
            <w:webHidden/>
          </w:rPr>
          <w:fldChar w:fldCharType="end"/>
        </w:r>
      </w:hyperlink>
    </w:p>
    <w:p w14:paraId="33810362" w14:textId="2DB7E72B" w:rsidR="008704B1" w:rsidRDefault="008704B1">
      <w:pPr>
        <w:pStyle w:val="aff4"/>
        <w:rPr>
          <w:rFonts w:asciiTheme="minorHAnsi" w:eastAsiaTheme="minorEastAsia" w:hAnsiTheme="minorHAnsi" w:cstheme="minorBidi"/>
          <w:noProof/>
          <w:sz w:val="22"/>
          <w:lang w:val="en-PH" w:eastAsia="en-PH"/>
        </w:rPr>
      </w:pPr>
      <w:hyperlink w:anchor="_Toc210589547" w:history="1">
        <w:r w:rsidRPr="00F540DA">
          <w:rPr>
            <w:rStyle w:val="aff6"/>
            <w:noProof/>
          </w:rPr>
          <w:t>Table 3: Railway Construction Components</w:t>
        </w:r>
        <w:r>
          <w:rPr>
            <w:noProof/>
            <w:webHidden/>
          </w:rPr>
          <w:tab/>
        </w:r>
        <w:r>
          <w:rPr>
            <w:noProof/>
            <w:webHidden/>
          </w:rPr>
          <w:fldChar w:fldCharType="begin"/>
        </w:r>
        <w:r>
          <w:rPr>
            <w:noProof/>
            <w:webHidden/>
          </w:rPr>
          <w:instrText xml:space="preserve"> PAGEREF _Toc210589547 \h </w:instrText>
        </w:r>
        <w:r>
          <w:rPr>
            <w:noProof/>
            <w:webHidden/>
          </w:rPr>
        </w:r>
        <w:r>
          <w:rPr>
            <w:noProof/>
            <w:webHidden/>
          </w:rPr>
          <w:fldChar w:fldCharType="separate"/>
        </w:r>
        <w:r>
          <w:rPr>
            <w:noProof/>
            <w:webHidden/>
          </w:rPr>
          <w:t>13</w:t>
        </w:r>
        <w:r>
          <w:rPr>
            <w:noProof/>
            <w:webHidden/>
          </w:rPr>
          <w:fldChar w:fldCharType="end"/>
        </w:r>
      </w:hyperlink>
    </w:p>
    <w:p w14:paraId="776B8B88" w14:textId="05A49272" w:rsidR="008704B1" w:rsidRDefault="008704B1">
      <w:pPr>
        <w:pStyle w:val="aff4"/>
        <w:rPr>
          <w:rFonts w:asciiTheme="minorHAnsi" w:eastAsiaTheme="minorEastAsia" w:hAnsiTheme="minorHAnsi" w:cstheme="minorBidi"/>
          <w:noProof/>
          <w:sz w:val="22"/>
          <w:lang w:val="en-PH" w:eastAsia="en-PH"/>
        </w:rPr>
      </w:pPr>
      <w:hyperlink w:anchor="_Toc210589548" w:history="1">
        <w:r w:rsidRPr="00F540DA">
          <w:rPr>
            <w:rStyle w:val="aff6"/>
            <w:noProof/>
          </w:rPr>
          <w:t>Table 4: Institutional Framework for “Construction of the Mointy–Kyzylzhar Railway</w:t>
        </w:r>
        <w:r>
          <w:rPr>
            <w:noProof/>
            <w:webHidden/>
          </w:rPr>
          <w:tab/>
        </w:r>
        <w:r>
          <w:rPr>
            <w:noProof/>
            <w:webHidden/>
          </w:rPr>
          <w:fldChar w:fldCharType="begin"/>
        </w:r>
        <w:r>
          <w:rPr>
            <w:noProof/>
            <w:webHidden/>
          </w:rPr>
          <w:instrText xml:space="preserve"> PAGEREF _Toc210589548 \h </w:instrText>
        </w:r>
        <w:r>
          <w:rPr>
            <w:noProof/>
            <w:webHidden/>
          </w:rPr>
        </w:r>
        <w:r>
          <w:rPr>
            <w:noProof/>
            <w:webHidden/>
          </w:rPr>
          <w:fldChar w:fldCharType="separate"/>
        </w:r>
        <w:r>
          <w:rPr>
            <w:noProof/>
            <w:webHidden/>
          </w:rPr>
          <w:t>27</w:t>
        </w:r>
        <w:r>
          <w:rPr>
            <w:noProof/>
            <w:webHidden/>
          </w:rPr>
          <w:fldChar w:fldCharType="end"/>
        </w:r>
      </w:hyperlink>
    </w:p>
    <w:p w14:paraId="73D4E4CD" w14:textId="31F3B934" w:rsidR="008704B1" w:rsidRDefault="008704B1">
      <w:pPr>
        <w:pStyle w:val="aff4"/>
        <w:rPr>
          <w:rFonts w:asciiTheme="minorHAnsi" w:eastAsiaTheme="minorEastAsia" w:hAnsiTheme="minorHAnsi" w:cstheme="minorBidi"/>
          <w:noProof/>
          <w:sz w:val="22"/>
          <w:lang w:val="en-PH" w:eastAsia="en-PH"/>
        </w:rPr>
      </w:pPr>
      <w:hyperlink w:anchor="_Toc210589549" w:history="1">
        <w:r w:rsidRPr="00F540DA">
          <w:rPr>
            <w:rStyle w:val="aff6"/>
            <w:noProof/>
          </w:rPr>
          <w:t>Table 5: Summary Table for With Project and No Project Alternatives</w:t>
        </w:r>
        <w:r>
          <w:rPr>
            <w:noProof/>
            <w:webHidden/>
          </w:rPr>
          <w:tab/>
        </w:r>
        <w:r>
          <w:rPr>
            <w:noProof/>
            <w:webHidden/>
          </w:rPr>
          <w:fldChar w:fldCharType="begin"/>
        </w:r>
        <w:r>
          <w:rPr>
            <w:noProof/>
            <w:webHidden/>
          </w:rPr>
          <w:instrText xml:space="preserve"> PAGEREF _Toc210589549 \h </w:instrText>
        </w:r>
        <w:r>
          <w:rPr>
            <w:noProof/>
            <w:webHidden/>
          </w:rPr>
        </w:r>
        <w:r>
          <w:rPr>
            <w:noProof/>
            <w:webHidden/>
          </w:rPr>
          <w:fldChar w:fldCharType="separate"/>
        </w:r>
        <w:r>
          <w:rPr>
            <w:noProof/>
            <w:webHidden/>
          </w:rPr>
          <w:t>29</w:t>
        </w:r>
        <w:r>
          <w:rPr>
            <w:noProof/>
            <w:webHidden/>
          </w:rPr>
          <w:fldChar w:fldCharType="end"/>
        </w:r>
      </w:hyperlink>
    </w:p>
    <w:p w14:paraId="495A8B2D" w14:textId="275A6632" w:rsidR="008704B1" w:rsidRDefault="008704B1">
      <w:pPr>
        <w:pStyle w:val="aff4"/>
        <w:rPr>
          <w:rFonts w:asciiTheme="minorHAnsi" w:eastAsiaTheme="minorEastAsia" w:hAnsiTheme="minorHAnsi" w:cstheme="minorBidi"/>
          <w:noProof/>
          <w:sz w:val="22"/>
          <w:lang w:val="en-PH" w:eastAsia="en-PH"/>
        </w:rPr>
      </w:pPr>
      <w:hyperlink w:anchor="_Toc210589550" w:history="1">
        <w:r w:rsidRPr="00F540DA">
          <w:rPr>
            <w:rStyle w:val="aff6"/>
            <w:noProof/>
          </w:rPr>
          <w:t>Table 6: Technical Parameters of the Route Options</w:t>
        </w:r>
        <w:r>
          <w:rPr>
            <w:noProof/>
            <w:webHidden/>
          </w:rPr>
          <w:tab/>
        </w:r>
        <w:r>
          <w:rPr>
            <w:noProof/>
            <w:webHidden/>
          </w:rPr>
          <w:fldChar w:fldCharType="begin"/>
        </w:r>
        <w:r>
          <w:rPr>
            <w:noProof/>
            <w:webHidden/>
          </w:rPr>
          <w:instrText xml:space="preserve"> PAGEREF _Toc210589550 \h </w:instrText>
        </w:r>
        <w:r>
          <w:rPr>
            <w:noProof/>
            <w:webHidden/>
          </w:rPr>
        </w:r>
        <w:r>
          <w:rPr>
            <w:noProof/>
            <w:webHidden/>
          </w:rPr>
          <w:fldChar w:fldCharType="separate"/>
        </w:r>
        <w:r>
          <w:rPr>
            <w:noProof/>
            <w:webHidden/>
          </w:rPr>
          <w:t>33</w:t>
        </w:r>
        <w:r>
          <w:rPr>
            <w:noProof/>
            <w:webHidden/>
          </w:rPr>
          <w:fldChar w:fldCharType="end"/>
        </w:r>
      </w:hyperlink>
    </w:p>
    <w:p w14:paraId="319A1D2F" w14:textId="111DA308" w:rsidR="008704B1" w:rsidRDefault="008704B1">
      <w:pPr>
        <w:pStyle w:val="aff4"/>
        <w:rPr>
          <w:rFonts w:asciiTheme="minorHAnsi" w:eastAsiaTheme="minorEastAsia" w:hAnsiTheme="minorHAnsi" w:cstheme="minorBidi"/>
          <w:noProof/>
          <w:sz w:val="22"/>
          <w:lang w:val="en-PH" w:eastAsia="en-PH"/>
        </w:rPr>
      </w:pPr>
      <w:hyperlink w:anchor="_Toc210589551" w:history="1">
        <w:r w:rsidRPr="00F540DA">
          <w:rPr>
            <w:rStyle w:val="aff6"/>
            <w:noProof/>
          </w:rPr>
          <w:t>Table 7: Comparison of routes by their technical and economic indicators</w:t>
        </w:r>
        <w:r>
          <w:rPr>
            <w:noProof/>
            <w:webHidden/>
          </w:rPr>
          <w:tab/>
        </w:r>
        <w:r>
          <w:rPr>
            <w:noProof/>
            <w:webHidden/>
          </w:rPr>
          <w:fldChar w:fldCharType="begin"/>
        </w:r>
        <w:r>
          <w:rPr>
            <w:noProof/>
            <w:webHidden/>
          </w:rPr>
          <w:instrText xml:space="preserve"> PAGEREF _Toc210589551 \h </w:instrText>
        </w:r>
        <w:r>
          <w:rPr>
            <w:noProof/>
            <w:webHidden/>
          </w:rPr>
        </w:r>
        <w:r>
          <w:rPr>
            <w:noProof/>
            <w:webHidden/>
          </w:rPr>
          <w:fldChar w:fldCharType="separate"/>
        </w:r>
        <w:r>
          <w:rPr>
            <w:noProof/>
            <w:webHidden/>
          </w:rPr>
          <w:t>35</w:t>
        </w:r>
        <w:r>
          <w:rPr>
            <w:noProof/>
            <w:webHidden/>
          </w:rPr>
          <w:fldChar w:fldCharType="end"/>
        </w:r>
      </w:hyperlink>
    </w:p>
    <w:p w14:paraId="005E53C4" w14:textId="47423C1A" w:rsidR="008704B1" w:rsidRDefault="008704B1">
      <w:pPr>
        <w:pStyle w:val="aff4"/>
        <w:rPr>
          <w:rFonts w:asciiTheme="minorHAnsi" w:eastAsiaTheme="minorEastAsia" w:hAnsiTheme="minorHAnsi" w:cstheme="minorBidi"/>
          <w:noProof/>
          <w:sz w:val="22"/>
          <w:lang w:val="en-PH" w:eastAsia="en-PH"/>
        </w:rPr>
      </w:pPr>
      <w:hyperlink w:anchor="_Toc210589552" w:history="1">
        <w:r w:rsidRPr="00F540DA">
          <w:rPr>
            <w:rStyle w:val="aff6"/>
            <w:noProof/>
          </w:rPr>
          <w:t>Table 8: Republic of Kazakhstan Legislation</w:t>
        </w:r>
        <w:r>
          <w:rPr>
            <w:noProof/>
            <w:webHidden/>
          </w:rPr>
          <w:tab/>
        </w:r>
        <w:r>
          <w:rPr>
            <w:noProof/>
            <w:webHidden/>
          </w:rPr>
          <w:fldChar w:fldCharType="begin"/>
        </w:r>
        <w:r>
          <w:rPr>
            <w:noProof/>
            <w:webHidden/>
          </w:rPr>
          <w:instrText xml:space="preserve"> PAGEREF _Toc210589552 \h </w:instrText>
        </w:r>
        <w:r>
          <w:rPr>
            <w:noProof/>
            <w:webHidden/>
          </w:rPr>
        </w:r>
        <w:r>
          <w:rPr>
            <w:noProof/>
            <w:webHidden/>
          </w:rPr>
          <w:fldChar w:fldCharType="separate"/>
        </w:r>
        <w:r>
          <w:rPr>
            <w:noProof/>
            <w:webHidden/>
          </w:rPr>
          <w:t>39</w:t>
        </w:r>
        <w:r>
          <w:rPr>
            <w:noProof/>
            <w:webHidden/>
          </w:rPr>
          <w:fldChar w:fldCharType="end"/>
        </w:r>
      </w:hyperlink>
    </w:p>
    <w:p w14:paraId="3DC048D1" w14:textId="00EE6BC9" w:rsidR="008704B1" w:rsidRDefault="008704B1">
      <w:pPr>
        <w:pStyle w:val="aff4"/>
        <w:rPr>
          <w:rFonts w:asciiTheme="minorHAnsi" w:eastAsiaTheme="minorEastAsia" w:hAnsiTheme="minorHAnsi" w:cstheme="minorBidi"/>
          <w:noProof/>
          <w:sz w:val="22"/>
          <w:lang w:val="en-PH" w:eastAsia="en-PH"/>
        </w:rPr>
      </w:pPr>
      <w:hyperlink w:anchor="_Toc210589553" w:history="1">
        <w:r w:rsidRPr="00F540DA">
          <w:rPr>
            <w:rStyle w:val="aff6"/>
            <w:noProof/>
          </w:rPr>
          <w:t>Table 9</w:t>
        </w:r>
        <w:r w:rsidRPr="00F540DA">
          <w:rPr>
            <w:rStyle w:val="aff6"/>
            <w:noProof/>
            <w:spacing w:val="-5"/>
          </w:rPr>
          <w:t xml:space="preserve">: </w:t>
        </w:r>
        <w:r w:rsidRPr="00F540DA">
          <w:rPr>
            <w:rStyle w:val="aff6"/>
            <w:noProof/>
          </w:rPr>
          <w:t>Public</w:t>
        </w:r>
        <w:r w:rsidRPr="00F540DA">
          <w:rPr>
            <w:rStyle w:val="aff6"/>
            <w:noProof/>
            <w:spacing w:val="7"/>
          </w:rPr>
          <w:t xml:space="preserve"> </w:t>
        </w:r>
        <w:r w:rsidRPr="00F540DA">
          <w:rPr>
            <w:rStyle w:val="aff6"/>
            <w:noProof/>
          </w:rPr>
          <w:t>Consultation</w:t>
        </w:r>
        <w:r w:rsidRPr="00F540DA">
          <w:rPr>
            <w:rStyle w:val="aff6"/>
            <w:noProof/>
            <w:spacing w:val="7"/>
          </w:rPr>
          <w:t xml:space="preserve"> </w:t>
        </w:r>
        <w:r w:rsidRPr="00F540DA">
          <w:rPr>
            <w:rStyle w:val="aff6"/>
            <w:noProof/>
            <w:spacing w:val="-2"/>
          </w:rPr>
          <w:t>Regulations</w:t>
        </w:r>
        <w:r>
          <w:rPr>
            <w:noProof/>
            <w:webHidden/>
          </w:rPr>
          <w:tab/>
        </w:r>
        <w:r>
          <w:rPr>
            <w:noProof/>
            <w:webHidden/>
          </w:rPr>
          <w:fldChar w:fldCharType="begin"/>
        </w:r>
        <w:r>
          <w:rPr>
            <w:noProof/>
            <w:webHidden/>
          </w:rPr>
          <w:instrText xml:space="preserve"> PAGEREF _Toc210589553 \h </w:instrText>
        </w:r>
        <w:r>
          <w:rPr>
            <w:noProof/>
            <w:webHidden/>
          </w:rPr>
        </w:r>
        <w:r>
          <w:rPr>
            <w:noProof/>
            <w:webHidden/>
          </w:rPr>
          <w:fldChar w:fldCharType="separate"/>
        </w:r>
        <w:r>
          <w:rPr>
            <w:noProof/>
            <w:webHidden/>
          </w:rPr>
          <w:t>39</w:t>
        </w:r>
        <w:r>
          <w:rPr>
            <w:noProof/>
            <w:webHidden/>
          </w:rPr>
          <w:fldChar w:fldCharType="end"/>
        </w:r>
      </w:hyperlink>
    </w:p>
    <w:p w14:paraId="14B63FC3" w14:textId="6F26FA9F" w:rsidR="008704B1" w:rsidRDefault="008704B1">
      <w:pPr>
        <w:pStyle w:val="aff4"/>
        <w:rPr>
          <w:rFonts w:asciiTheme="minorHAnsi" w:eastAsiaTheme="minorEastAsia" w:hAnsiTheme="minorHAnsi" w:cstheme="minorBidi"/>
          <w:noProof/>
          <w:sz w:val="22"/>
          <w:lang w:val="en-PH" w:eastAsia="en-PH"/>
        </w:rPr>
      </w:pPr>
      <w:hyperlink w:anchor="_Toc210589554" w:history="1">
        <w:r w:rsidRPr="00F540DA">
          <w:rPr>
            <w:rStyle w:val="aff6"/>
            <w:noProof/>
          </w:rPr>
          <w:t>Table 10</w:t>
        </w:r>
        <w:r w:rsidRPr="00F540DA">
          <w:rPr>
            <w:rStyle w:val="aff6"/>
            <w:noProof/>
            <w:spacing w:val="-5"/>
          </w:rPr>
          <w:t xml:space="preserve">: </w:t>
        </w:r>
        <w:r w:rsidRPr="00F540DA">
          <w:rPr>
            <w:rStyle w:val="aff6"/>
            <w:noProof/>
          </w:rPr>
          <w:t>Land</w:t>
        </w:r>
        <w:r w:rsidRPr="00F540DA">
          <w:rPr>
            <w:rStyle w:val="aff6"/>
            <w:noProof/>
            <w:spacing w:val="24"/>
          </w:rPr>
          <w:t xml:space="preserve"> </w:t>
        </w:r>
        <w:r w:rsidRPr="00F540DA">
          <w:rPr>
            <w:rStyle w:val="aff6"/>
            <w:noProof/>
          </w:rPr>
          <w:t>Acquisition</w:t>
        </w:r>
        <w:r w:rsidRPr="00F540DA">
          <w:rPr>
            <w:rStyle w:val="aff6"/>
            <w:noProof/>
            <w:spacing w:val="24"/>
          </w:rPr>
          <w:t xml:space="preserve"> </w:t>
        </w:r>
        <w:r w:rsidRPr="00F540DA">
          <w:rPr>
            <w:rStyle w:val="aff6"/>
            <w:noProof/>
            <w:spacing w:val="-2"/>
          </w:rPr>
          <w:t>Regulations</w:t>
        </w:r>
        <w:r>
          <w:rPr>
            <w:noProof/>
            <w:webHidden/>
          </w:rPr>
          <w:tab/>
        </w:r>
        <w:r>
          <w:rPr>
            <w:noProof/>
            <w:webHidden/>
          </w:rPr>
          <w:fldChar w:fldCharType="begin"/>
        </w:r>
        <w:r>
          <w:rPr>
            <w:noProof/>
            <w:webHidden/>
          </w:rPr>
          <w:instrText xml:space="preserve"> PAGEREF _Toc210589554 \h </w:instrText>
        </w:r>
        <w:r>
          <w:rPr>
            <w:noProof/>
            <w:webHidden/>
          </w:rPr>
        </w:r>
        <w:r>
          <w:rPr>
            <w:noProof/>
            <w:webHidden/>
          </w:rPr>
          <w:fldChar w:fldCharType="separate"/>
        </w:r>
        <w:r>
          <w:rPr>
            <w:noProof/>
            <w:webHidden/>
          </w:rPr>
          <w:t>42</w:t>
        </w:r>
        <w:r>
          <w:rPr>
            <w:noProof/>
            <w:webHidden/>
          </w:rPr>
          <w:fldChar w:fldCharType="end"/>
        </w:r>
      </w:hyperlink>
    </w:p>
    <w:p w14:paraId="2EB8E8CB" w14:textId="6CF9D0AE" w:rsidR="008704B1" w:rsidRDefault="008704B1">
      <w:pPr>
        <w:pStyle w:val="aff4"/>
        <w:rPr>
          <w:rFonts w:asciiTheme="minorHAnsi" w:eastAsiaTheme="minorEastAsia" w:hAnsiTheme="minorHAnsi" w:cstheme="minorBidi"/>
          <w:noProof/>
          <w:sz w:val="22"/>
          <w:lang w:val="en-PH" w:eastAsia="en-PH"/>
        </w:rPr>
      </w:pPr>
      <w:hyperlink w:anchor="_Toc210589555" w:history="1">
        <w:r w:rsidRPr="00F540DA">
          <w:rPr>
            <w:rStyle w:val="aff6"/>
            <w:noProof/>
          </w:rPr>
          <w:t>Table 11: Key E&amp;S Permitting Status</w:t>
        </w:r>
        <w:r>
          <w:rPr>
            <w:noProof/>
            <w:webHidden/>
          </w:rPr>
          <w:tab/>
        </w:r>
        <w:r>
          <w:rPr>
            <w:noProof/>
            <w:webHidden/>
          </w:rPr>
          <w:fldChar w:fldCharType="begin"/>
        </w:r>
        <w:r>
          <w:rPr>
            <w:noProof/>
            <w:webHidden/>
          </w:rPr>
          <w:instrText xml:space="preserve"> PAGEREF _Toc210589555 \h </w:instrText>
        </w:r>
        <w:r>
          <w:rPr>
            <w:noProof/>
            <w:webHidden/>
          </w:rPr>
        </w:r>
        <w:r>
          <w:rPr>
            <w:noProof/>
            <w:webHidden/>
          </w:rPr>
          <w:fldChar w:fldCharType="separate"/>
        </w:r>
        <w:r>
          <w:rPr>
            <w:noProof/>
            <w:webHidden/>
          </w:rPr>
          <w:t>43</w:t>
        </w:r>
        <w:r>
          <w:rPr>
            <w:noProof/>
            <w:webHidden/>
          </w:rPr>
          <w:fldChar w:fldCharType="end"/>
        </w:r>
      </w:hyperlink>
    </w:p>
    <w:p w14:paraId="06C77C21" w14:textId="3D9BF30E" w:rsidR="008704B1" w:rsidRDefault="008704B1">
      <w:pPr>
        <w:pStyle w:val="aff4"/>
        <w:rPr>
          <w:rFonts w:asciiTheme="minorHAnsi" w:eastAsiaTheme="minorEastAsia" w:hAnsiTheme="minorHAnsi" w:cstheme="minorBidi"/>
          <w:noProof/>
          <w:sz w:val="22"/>
          <w:lang w:val="en-PH" w:eastAsia="en-PH"/>
        </w:rPr>
      </w:pPr>
      <w:hyperlink w:anchor="_Toc210589556" w:history="1">
        <w:r w:rsidRPr="00F540DA">
          <w:rPr>
            <w:rStyle w:val="aff6"/>
            <w:noProof/>
          </w:rPr>
          <w:t>Table 12: Applicability of WB Performance Standards to The Project</w:t>
        </w:r>
        <w:r>
          <w:rPr>
            <w:noProof/>
            <w:webHidden/>
          </w:rPr>
          <w:tab/>
        </w:r>
        <w:r>
          <w:rPr>
            <w:noProof/>
            <w:webHidden/>
          </w:rPr>
          <w:fldChar w:fldCharType="begin"/>
        </w:r>
        <w:r>
          <w:rPr>
            <w:noProof/>
            <w:webHidden/>
          </w:rPr>
          <w:instrText xml:space="preserve"> PAGEREF _Toc210589556 \h </w:instrText>
        </w:r>
        <w:r>
          <w:rPr>
            <w:noProof/>
            <w:webHidden/>
          </w:rPr>
        </w:r>
        <w:r>
          <w:rPr>
            <w:noProof/>
            <w:webHidden/>
          </w:rPr>
          <w:fldChar w:fldCharType="separate"/>
        </w:r>
        <w:r>
          <w:rPr>
            <w:noProof/>
            <w:webHidden/>
          </w:rPr>
          <w:t>45</w:t>
        </w:r>
        <w:r>
          <w:rPr>
            <w:noProof/>
            <w:webHidden/>
          </w:rPr>
          <w:fldChar w:fldCharType="end"/>
        </w:r>
      </w:hyperlink>
    </w:p>
    <w:p w14:paraId="2DF1C34C" w14:textId="50562128" w:rsidR="008704B1" w:rsidRDefault="008704B1">
      <w:pPr>
        <w:pStyle w:val="aff4"/>
        <w:rPr>
          <w:rFonts w:asciiTheme="minorHAnsi" w:eastAsiaTheme="minorEastAsia" w:hAnsiTheme="minorHAnsi" w:cstheme="minorBidi"/>
          <w:noProof/>
          <w:sz w:val="22"/>
          <w:lang w:val="en-PH" w:eastAsia="en-PH"/>
        </w:rPr>
      </w:pPr>
      <w:hyperlink w:anchor="_Toc210589557" w:history="1">
        <w:r w:rsidRPr="00F540DA">
          <w:rPr>
            <w:rStyle w:val="aff6"/>
            <w:noProof/>
          </w:rPr>
          <w:t>Table 13: International Conventions and Agreements Signed &amp; Ratified by the RoK</w:t>
        </w:r>
        <w:r>
          <w:rPr>
            <w:noProof/>
            <w:webHidden/>
          </w:rPr>
          <w:tab/>
        </w:r>
        <w:r>
          <w:rPr>
            <w:noProof/>
            <w:webHidden/>
          </w:rPr>
          <w:fldChar w:fldCharType="begin"/>
        </w:r>
        <w:r>
          <w:rPr>
            <w:noProof/>
            <w:webHidden/>
          </w:rPr>
          <w:instrText xml:space="preserve"> PAGEREF _Toc210589557 \h </w:instrText>
        </w:r>
        <w:r>
          <w:rPr>
            <w:noProof/>
            <w:webHidden/>
          </w:rPr>
        </w:r>
        <w:r>
          <w:rPr>
            <w:noProof/>
            <w:webHidden/>
          </w:rPr>
          <w:fldChar w:fldCharType="separate"/>
        </w:r>
        <w:r>
          <w:rPr>
            <w:noProof/>
            <w:webHidden/>
          </w:rPr>
          <w:t>46</w:t>
        </w:r>
        <w:r>
          <w:rPr>
            <w:noProof/>
            <w:webHidden/>
          </w:rPr>
          <w:fldChar w:fldCharType="end"/>
        </w:r>
      </w:hyperlink>
    </w:p>
    <w:p w14:paraId="2EDE1520" w14:textId="12329AAB" w:rsidR="008704B1" w:rsidRDefault="008704B1">
      <w:pPr>
        <w:pStyle w:val="aff4"/>
        <w:rPr>
          <w:rFonts w:asciiTheme="minorHAnsi" w:eastAsiaTheme="minorEastAsia" w:hAnsiTheme="minorHAnsi" w:cstheme="minorBidi"/>
          <w:noProof/>
          <w:sz w:val="22"/>
          <w:lang w:val="en-PH" w:eastAsia="en-PH"/>
        </w:rPr>
      </w:pPr>
      <w:hyperlink w:anchor="_Toc210589558" w:history="1">
        <w:r w:rsidRPr="00F540DA">
          <w:rPr>
            <w:rStyle w:val="aff6"/>
            <w:noProof/>
          </w:rPr>
          <w:t>Table 14: Stakeholder Groups, Interests and Engagement Approach</w:t>
        </w:r>
        <w:r>
          <w:rPr>
            <w:noProof/>
            <w:webHidden/>
          </w:rPr>
          <w:tab/>
        </w:r>
        <w:r>
          <w:rPr>
            <w:noProof/>
            <w:webHidden/>
          </w:rPr>
          <w:fldChar w:fldCharType="begin"/>
        </w:r>
        <w:r>
          <w:rPr>
            <w:noProof/>
            <w:webHidden/>
          </w:rPr>
          <w:instrText xml:space="preserve"> PAGEREF _Toc210589558 \h </w:instrText>
        </w:r>
        <w:r>
          <w:rPr>
            <w:noProof/>
            <w:webHidden/>
          </w:rPr>
        </w:r>
        <w:r>
          <w:rPr>
            <w:noProof/>
            <w:webHidden/>
          </w:rPr>
          <w:fldChar w:fldCharType="separate"/>
        </w:r>
        <w:r>
          <w:rPr>
            <w:noProof/>
            <w:webHidden/>
          </w:rPr>
          <w:t>54</w:t>
        </w:r>
        <w:r>
          <w:rPr>
            <w:noProof/>
            <w:webHidden/>
          </w:rPr>
          <w:fldChar w:fldCharType="end"/>
        </w:r>
      </w:hyperlink>
    </w:p>
    <w:p w14:paraId="18DD304A" w14:textId="03C4E930" w:rsidR="008704B1" w:rsidRDefault="008704B1">
      <w:pPr>
        <w:pStyle w:val="aff4"/>
        <w:rPr>
          <w:rFonts w:asciiTheme="minorHAnsi" w:eastAsiaTheme="minorEastAsia" w:hAnsiTheme="minorHAnsi" w:cstheme="minorBidi"/>
          <w:noProof/>
          <w:sz w:val="22"/>
          <w:lang w:val="en-PH" w:eastAsia="en-PH"/>
        </w:rPr>
      </w:pPr>
      <w:hyperlink w:anchor="_Toc210589559" w:history="1">
        <w:r w:rsidRPr="00F540DA">
          <w:rPr>
            <w:rStyle w:val="aff6"/>
            <w:noProof/>
          </w:rPr>
          <w:t>Table 15: Key Environmental Risk Areas for Greenfield Project (WB PS)</w:t>
        </w:r>
        <w:r>
          <w:rPr>
            <w:noProof/>
            <w:webHidden/>
          </w:rPr>
          <w:tab/>
        </w:r>
        <w:r>
          <w:rPr>
            <w:noProof/>
            <w:webHidden/>
          </w:rPr>
          <w:fldChar w:fldCharType="begin"/>
        </w:r>
        <w:r>
          <w:rPr>
            <w:noProof/>
            <w:webHidden/>
          </w:rPr>
          <w:instrText xml:space="preserve"> PAGEREF _Toc210589559 \h </w:instrText>
        </w:r>
        <w:r>
          <w:rPr>
            <w:noProof/>
            <w:webHidden/>
          </w:rPr>
        </w:r>
        <w:r>
          <w:rPr>
            <w:noProof/>
            <w:webHidden/>
          </w:rPr>
          <w:fldChar w:fldCharType="separate"/>
        </w:r>
        <w:r>
          <w:rPr>
            <w:noProof/>
            <w:webHidden/>
          </w:rPr>
          <w:t>59</w:t>
        </w:r>
        <w:r>
          <w:rPr>
            <w:noProof/>
            <w:webHidden/>
          </w:rPr>
          <w:fldChar w:fldCharType="end"/>
        </w:r>
      </w:hyperlink>
    </w:p>
    <w:p w14:paraId="78923B2E" w14:textId="71DD35EF" w:rsidR="008704B1" w:rsidRDefault="008704B1">
      <w:pPr>
        <w:pStyle w:val="aff4"/>
        <w:rPr>
          <w:rFonts w:asciiTheme="minorHAnsi" w:eastAsiaTheme="minorEastAsia" w:hAnsiTheme="minorHAnsi" w:cstheme="minorBidi"/>
          <w:noProof/>
          <w:sz w:val="22"/>
          <w:lang w:val="en-PH" w:eastAsia="en-PH"/>
        </w:rPr>
      </w:pPr>
      <w:hyperlink w:anchor="_Toc210589560" w:history="1">
        <w:r w:rsidRPr="00F540DA">
          <w:rPr>
            <w:rStyle w:val="aff6"/>
            <w:noProof/>
          </w:rPr>
          <w:t>Table 16: Summary of Natural and Modified Habitats in the Project Area</w:t>
        </w:r>
        <w:r>
          <w:rPr>
            <w:noProof/>
            <w:webHidden/>
          </w:rPr>
          <w:tab/>
        </w:r>
        <w:r>
          <w:rPr>
            <w:noProof/>
            <w:webHidden/>
          </w:rPr>
          <w:fldChar w:fldCharType="begin"/>
        </w:r>
        <w:r>
          <w:rPr>
            <w:noProof/>
            <w:webHidden/>
          </w:rPr>
          <w:instrText xml:space="preserve"> PAGEREF _Toc210589560 \h </w:instrText>
        </w:r>
        <w:r>
          <w:rPr>
            <w:noProof/>
            <w:webHidden/>
          </w:rPr>
        </w:r>
        <w:r>
          <w:rPr>
            <w:noProof/>
            <w:webHidden/>
          </w:rPr>
          <w:fldChar w:fldCharType="separate"/>
        </w:r>
        <w:r>
          <w:rPr>
            <w:noProof/>
            <w:webHidden/>
          </w:rPr>
          <w:t>73</w:t>
        </w:r>
        <w:r>
          <w:rPr>
            <w:noProof/>
            <w:webHidden/>
          </w:rPr>
          <w:fldChar w:fldCharType="end"/>
        </w:r>
      </w:hyperlink>
    </w:p>
    <w:p w14:paraId="1CF54BAC" w14:textId="6DFB7601" w:rsidR="008704B1" w:rsidRDefault="008704B1">
      <w:pPr>
        <w:pStyle w:val="aff4"/>
        <w:rPr>
          <w:rFonts w:asciiTheme="minorHAnsi" w:eastAsiaTheme="minorEastAsia" w:hAnsiTheme="minorHAnsi" w:cstheme="minorBidi"/>
          <w:noProof/>
          <w:sz w:val="22"/>
          <w:lang w:val="en-PH" w:eastAsia="en-PH"/>
        </w:rPr>
      </w:pPr>
      <w:hyperlink w:anchor="_Toc210589561" w:history="1">
        <w:r w:rsidRPr="00F540DA">
          <w:rPr>
            <w:rStyle w:val="aff6"/>
            <w:noProof/>
          </w:rPr>
          <w:t>Table 17:</w:t>
        </w:r>
        <w:r w:rsidRPr="00F540DA">
          <w:rPr>
            <w:rStyle w:val="aff6"/>
            <w:i/>
            <w:iCs/>
            <w:noProof/>
          </w:rPr>
          <w:t xml:space="preserve"> </w:t>
        </w:r>
        <w:r w:rsidRPr="00F540DA">
          <w:rPr>
            <w:rStyle w:val="aff6"/>
            <w:noProof/>
          </w:rPr>
          <w:t>Assessment of Biodiversity Value and Potential Critical Habitat</w:t>
        </w:r>
        <w:r>
          <w:rPr>
            <w:noProof/>
            <w:webHidden/>
          </w:rPr>
          <w:tab/>
        </w:r>
        <w:r>
          <w:rPr>
            <w:noProof/>
            <w:webHidden/>
          </w:rPr>
          <w:fldChar w:fldCharType="begin"/>
        </w:r>
        <w:r>
          <w:rPr>
            <w:noProof/>
            <w:webHidden/>
          </w:rPr>
          <w:instrText xml:space="preserve"> PAGEREF _Toc210589561 \h </w:instrText>
        </w:r>
        <w:r>
          <w:rPr>
            <w:noProof/>
            <w:webHidden/>
          </w:rPr>
        </w:r>
        <w:r>
          <w:rPr>
            <w:noProof/>
            <w:webHidden/>
          </w:rPr>
          <w:fldChar w:fldCharType="separate"/>
        </w:r>
        <w:r>
          <w:rPr>
            <w:noProof/>
            <w:webHidden/>
          </w:rPr>
          <w:t>74</w:t>
        </w:r>
        <w:r>
          <w:rPr>
            <w:noProof/>
            <w:webHidden/>
          </w:rPr>
          <w:fldChar w:fldCharType="end"/>
        </w:r>
      </w:hyperlink>
    </w:p>
    <w:p w14:paraId="0964D7FC" w14:textId="0A29E91E" w:rsidR="008704B1" w:rsidRDefault="008704B1">
      <w:pPr>
        <w:pStyle w:val="aff4"/>
        <w:rPr>
          <w:rFonts w:asciiTheme="minorHAnsi" w:eastAsiaTheme="minorEastAsia" w:hAnsiTheme="minorHAnsi" w:cstheme="minorBidi"/>
          <w:noProof/>
          <w:sz w:val="22"/>
          <w:lang w:val="en-PH" w:eastAsia="en-PH"/>
        </w:rPr>
      </w:pPr>
      <w:hyperlink w:anchor="_Toc210589562" w:history="1">
        <w:r w:rsidRPr="00F540DA">
          <w:rPr>
            <w:rStyle w:val="aff6"/>
            <w:noProof/>
          </w:rPr>
          <w:t>Table 18: Species threatened at National and International Level</w:t>
        </w:r>
        <w:r>
          <w:rPr>
            <w:noProof/>
            <w:webHidden/>
          </w:rPr>
          <w:tab/>
        </w:r>
        <w:r>
          <w:rPr>
            <w:noProof/>
            <w:webHidden/>
          </w:rPr>
          <w:fldChar w:fldCharType="begin"/>
        </w:r>
        <w:r>
          <w:rPr>
            <w:noProof/>
            <w:webHidden/>
          </w:rPr>
          <w:instrText xml:space="preserve"> PAGEREF _Toc210589562 \h </w:instrText>
        </w:r>
        <w:r>
          <w:rPr>
            <w:noProof/>
            <w:webHidden/>
          </w:rPr>
        </w:r>
        <w:r>
          <w:rPr>
            <w:noProof/>
            <w:webHidden/>
          </w:rPr>
          <w:fldChar w:fldCharType="separate"/>
        </w:r>
        <w:r>
          <w:rPr>
            <w:noProof/>
            <w:webHidden/>
          </w:rPr>
          <w:t>77</w:t>
        </w:r>
        <w:r>
          <w:rPr>
            <w:noProof/>
            <w:webHidden/>
          </w:rPr>
          <w:fldChar w:fldCharType="end"/>
        </w:r>
      </w:hyperlink>
    </w:p>
    <w:p w14:paraId="7CBE917F" w14:textId="0FE85E9F" w:rsidR="008704B1" w:rsidRDefault="008704B1">
      <w:pPr>
        <w:pStyle w:val="aff4"/>
        <w:rPr>
          <w:rFonts w:asciiTheme="minorHAnsi" w:eastAsiaTheme="minorEastAsia" w:hAnsiTheme="minorHAnsi" w:cstheme="minorBidi"/>
          <w:noProof/>
          <w:sz w:val="22"/>
          <w:lang w:val="en-PH" w:eastAsia="en-PH"/>
        </w:rPr>
      </w:pPr>
      <w:hyperlink w:anchor="_Toc210589563" w:history="1">
        <w:r w:rsidRPr="00F540DA">
          <w:rPr>
            <w:rStyle w:val="aff6"/>
            <w:noProof/>
          </w:rPr>
          <w:t>Table 19: Surface Water Quality Sampling Measurement Results (Aug. 2025)</w:t>
        </w:r>
        <w:r>
          <w:rPr>
            <w:noProof/>
            <w:webHidden/>
          </w:rPr>
          <w:tab/>
        </w:r>
        <w:r>
          <w:rPr>
            <w:noProof/>
            <w:webHidden/>
          </w:rPr>
          <w:fldChar w:fldCharType="begin"/>
        </w:r>
        <w:r>
          <w:rPr>
            <w:noProof/>
            <w:webHidden/>
          </w:rPr>
          <w:instrText xml:space="preserve"> PAGEREF _Toc210589563 \h </w:instrText>
        </w:r>
        <w:r>
          <w:rPr>
            <w:noProof/>
            <w:webHidden/>
          </w:rPr>
        </w:r>
        <w:r>
          <w:rPr>
            <w:noProof/>
            <w:webHidden/>
          </w:rPr>
          <w:fldChar w:fldCharType="separate"/>
        </w:r>
        <w:r>
          <w:rPr>
            <w:noProof/>
            <w:webHidden/>
          </w:rPr>
          <w:t>82</w:t>
        </w:r>
        <w:r>
          <w:rPr>
            <w:noProof/>
            <w:webHidden/>
          </w:rPr>
          <w:fldChar w:fldCharType="end"/>
        </w:r>
      </w:hyperlink>
    </w:p>
    <w:p w14:paraId="35E0A2C2" w14:textId="7C19A6B6" w:rsidR="008704B1" w:rsidRDefault="008704B1">
      <w:pPr>
        <w:pStyle w:val="aff4"/>
        <w:rPr>
          <w:rFonts w:asciiTheme="minorHAnsi" w:eastAsiaTheme="minorEastAsia" w:hAnsiTheme="minorHAnsi" w:cstheme="minorBidi"/>
          <w:noProof/>
          <w:sz w:val="22"/>
          <w:lang w:val="en-PH" w:eastAsia="en-PH"/>
        </w:rPr>
      </w:pPr>
      <w:hyperlink w:anchor="_Toc210589564" w:history="1">
        <w:r w:rsidRPr="00F540DA">
          <w:rPr>
            <w:rStyle w:val="aff6"/>
            <w:noProof/>
          </w:rPr>
          <w:t xml:space="preserve">Table 20: Ambient </w:t>
        </w:r>
        <w:r w:rsidRPr="00F540DA">
          <w:rPr>
            <w:rStyle w:val="aff6"/>
            <w:noProof/>
            <w:lang w:val="en-PH" w:eastAsia="en-PH"/>
          </w:rPr>
          <w:t>Air Quality Sampling Measurement Results (Aug. 2025)</w:t>
        </w:r>
        <w:r>
          <w:rPr>
            <w:noProof/>
            <w:webHidden/>
          </w:rPr>
          <w:tab/>
        </w:r>
        <w:r>
          <w:rPr>
            <w:noProof/>
            <w:webHidden/>
          </w:rPr>
          <w:fldChar w:fldCharType="begin"/>
        </w:r>
        <w:r>
          <w:rPr>
            <w:noProof/>
            <w:webHidden/>
          </w:rPr>
          <w:instrText xml:space="preserve"> PAGEREF _Toc210589564 \h </w:instrText>
        </w:r>
        <w:r>
          <w:rPr>
            <w:noProof/>
            <w:webHidden/>
          </w:rPr>
        </w:r>
        <w:r>
          <w:rPr>
            <w:noProof/>
            <w:webHidden/>
          </w:rPr>
          <w:fldChar w:fldCharType="separate"/>
        </w:r>
        <w:r>
          <w:rPr>
            <w:noProof/>
            <w:webHidden/>
          </w:rPr>
          <w:t>86</w:t>
        </w:r>
        <w:r>
          <w:rPr>
            <w:noProof/>
            <w:webHidden/>
          </w:rPr>
          <w:fldChar w:fldCharType="end"/>
        </w:r>
      </w:hyperlink>
    </w:p>
    <w:p w14:paraId="05D0BC6E" w14:textId="5370054F" w:rsidR="008704B1" w:rsidRDefault="008704B1">
      <w:pPr>
        <w:pStyle w:val="aff4"/>
        <w:rPr>
          <w:rFonts w:asciiTheme="minorHAnsi" w:eastAsiaTheme="minorEastAsia" w:hAnsiTheme="minorHAnsi" w:cstheme="minorBidi"/>
          <w:noProof/>
          <w:sz w:val="22"/>
          <w:lang w:val="en-PH" w:eastAsia="en-PH"/>
        </w:rPr>
      </w:pPr>
      <w:hyperlink w:anchor="_Toc210589565" w:history="1">
        <w:r w:rsidRPr="00F540DA">
          <w:rPr>
            <w:rStyle w:val="aff6"/>
            <w:noProof/>
          </w:rPr>
          <w:t>Table 21: Ambient Noise Level Measurement Results</w:t>
        </w:r>
        <w:r>
          <w:rPr>
            <w:noProof/>
            <w:webHidden/>
          </w:rPr>
          <w:tab/>
        </w:r>
        <w:r>
          <w:rPr>
            <w:noProof/>
            <w:webHidden/>
          </w:rPr>
          <w:fldChar w:fldCharType="begin"/>
        </w:r>
        <w:r>
          <w:rPr>
            <w:noProof/>
            <w:webHidden/>
          </w:rPr>
          <w:instrText xml:space="preserve"> PAGEREF _Toc210589565 \h </w:instrText>
        </w:r>
        <w:r>
          <w:rPr>
            <w:noProof/>
            <w:webHidden/>
          </w:rPr>
        </w:r>
        <w:r>
          <w:rPr>
            <w:noProof/>
            <w:webHidden/>
          </w:rPr>
          <w:fldChar w:fldCharType="separate"/>
        </w:r>
        <w:r>
          <w:rPr>
            <w:noProof/>
            <w:webHidden/>
          </w:rPr>
          <w:t>88</w:t>
        </w:r>
        <w:r>
          <w:rPr>
            <w:noProof/>
            <w:webHidden/>
          </w:rPr>
          <w:fldChar w:fldCharType="end"/>
        </w:r>
      </w:hyperlink>
    </w:p>
    <w:p w14:paraId="33D9742B" w14:textId="63C56DCE" w:rsidR="008704B1" w:rsidRDefault="008704B1">
      <w:pPr>
        <w:pStyle w:val="aff4"/>
        <w:rPr>
          <w:rFonts w:asciiTheme="minorHAnsi" w:eastAsiaTheme="minorEastAsia" w:hAnsiTheme="minorHAnsi" w:cstheme="minorBidi"/>
          <w:noProof/>
          <w:sz w:val="22"/>
          <w:lang w:val="en-PH" w:eastAsia="en-PH"/>
        </w:rPr>
      </w:pPr>
      <w:hyperlink w:anchor="_Toc210589566" w:history="1">
        <w:r w:rsidRPr="00F540DA">
          <w:rPr>
            <w:rStyle w:val="aff6"/>
            <w:noProof/>
          </w:rPr>
          <w:t>Table 22: Investigated Sites Along the Project Area</w:t>
        </w:r>
        <w:r>
          <w:rPr>
            <w:noProof/>
            <w:webHidden/>
          </w:rPr>
          <w:tab/>
        </w:r>
        <w:r>
          <w:rPr>
            <w:noProof/>
            <w:webHidden/>
          </w:rPr>
          <w:fldChar w:fldCharType="begin"/>
        </w:r>
        <w:r>
          <w:rPr>
            <w:noProof/>
            <w:webHidden/>
          </w:rPr>
          <w:instrText xml:space="preserve"> PAGEREF _Toc210589566 \h </w:instrText>
        </w:r>
        <w:r>
          <w:rPr>
            <w:noProof/>
            <w:webHidden/>
          </w:rPr>
        </w:r>
        <w:r>
          <w:rPr>
            <w:noProof/>
            <w:webHidden/>
          </w:rPr>
          <w:fldChar w:fldCharType="separate"/>
        </w:r>
        <w:r>
          <w:rPr>
            <w:noProof/>
            <w:webHidden/>
          </w:rPr>
          <w:t>98</w:t>
        </w:r>
        <w:r>
          <w:rPr>
            <w:noProof/>
            <w:webHidden/>
          </w:rPr>
          <w:fldChar w:fldCharType="end"/>
        </w:r>
      </w:hyperlink>
    </w:p>
    <w:p w14:paraId="384A75E8" w14:textId="42006BCF" w:rsidR="008704B1" w:rsidRDefault="008704B1">
      <w:pPr>
        <w:pStyle w:val="aff4"/>
        <w:rPr>
          <w:rFonts w:asciiTheme="minorHAnsi" w:eastAsiaTheme="minorEastAsia" w:hAnsiTheme="minorHAnsi" w:cstheme="minorBidi"/>
          <w:noProof/>
          <w:sz w:val="22"/>
          <w:lang w:val="en-PH" w:eastAsia="en-PH"/>
        </w:rPr>
      </w:pPr>
      <w:hyperlink w:anchor="_Toc210589567" w:history="1">
        <w:r w:rsidRPr="00F540DA">
          <w:rPr>
            <w:rStyle w:val="aff6"/>
            <w:noProof/>
          </w:rPr>
          <w:t>Table 23: Sites Located in Security Zone (0–40m from RA)</w:t>
        </w:r>
        <w:r>
          <w:rPr>
            <w:noProof/>
            <w:webHidden/>
          </w:rPr>
          <w:tab/>
        </w:r>
        <w:r>
          <w:rPr>
            <w:noProof/>
            <w:webHidden/>
          </w:rPr>
          <w:fldChar w:fldCharType="begin"/>
        </w:r>
        <w:r>
          <w:rPr>
            <w:noProof/>
            <w:webHidden/>
          </w:rPr>
          <w:instrText xml:space="preserve"> PAGEREF _Toc210589567 \h </w:instrText>
        </w:r>
        <w:r>
          <w:rPr>
            <w:noProof/>
            <w:webHidden/>
          </w:rPr>
        </w:r>
        <w:r>
          <w:rPr>
            <w:noProof/>
            <w:webHidden/>
          </w:rPr>
          <w:fldChar w:fldCharType="separate"/>
        </w:r>
        <w:r>
          <w:rPr>
            <w:noProof/>
            <w:webHidden/>
          </w:rPr>
          <w:t>98</w:t>
        </w:r>
        <w:r>
          <w:rPr>
            <w:noProof/>
            <w:webHidden/>
          </w:rPr>
          <w:fldChar w:fldCharType="end"/>
        </w:r>
      </w:hyperlink>
    </w:p>
    <w:p w14:paraId="1B9A086B" w14:textId="5C1E4B4C" w:rsidR="008704B1" w:rsidRDefault="008704B1">
      <w:pPr>
        <w:pStyle w:val="aff4"/>
        <w:rPr>
          <w:rFonts w:asciiTheme="minorHAnsi" w:eastAsiaTheme="minorEastAsia" w:hAnsiTheme="minorHAnsi" w:cstheme="minorBidi"/>
          <w:noProof/>
          <w:sz w:val="22"/>
          <w:lang w:val="en-PH" w:eastAsia="en-PH"/>
        </w:rPr>
      </w:pPr>
      <w:hyperlink w:anchor="_Toc210589568" w:history="1">
        <w:r w:rsidRPr="00F540DA">
          <w:rPr>
            <w:rStyle w:val="aff6"/>
            <w:noProof/>
          </w:rPr>
          <w:t>Table 24: Sites Located in Development Regulation Zone (40–80m from RA)</w:t>
        </w:r>
        <w:r>
          <w:rPr>
            <w:noProof/>
            <w:webHidden/>
          </w:rPr>
          <w:tab/>
        </w:r>
        <w:r>
          <w:rPr>
            <w:noProof/>
            <w:webHidden/>
          </w:rPr>
          <w:fldChar w:fldCharType="begin"/>
        </w:r>
        <w:r>
          <w:rPr>
            <w:noProof/>
            <w:webHidden/>
          </w:rPr>
          <w:instrText xml:space="preserve"> PAGEREF _Toc210589568 \h </w:instrText>
        </w:r>
        <w:r>
          <w:rPr>
            <w:noProof/>
            <w:webHidden/>
          </w:rPr>
        </w:r>
        <w:r>
          <w:rPr>
            <w:noProof/>
            <w:webHidden/>
          </w:rPr>
          <w:fldChar w:fldCharType="separate"/>
        </w:r>
        <w:r>
          <w:rPr>
            <w:noProof/>
            <w:webHidden/>
          </w:rPr>
          <w:t>99</w:t>
        </w:r>
        <w:r>
          <w:rPr>
            <w:noProof/>
            <w:webHidden/>
          </w:rPr>
          <w:fldChar w:fldCharType="end"/>
        </w:r>
      </w:hyperlink>
    </w:p>
    <w:p w14:paraId="7F41C11E" w14:textId="5FD1D1BD" w:rsidR="008704B1" w:rsidRDefault="008704B1">
      <w:pPr>
        <w:pStyle w:val="aff4"/>
        <w:rPr>
          <w:rFonts w:asciiTheme="minorHAnsi" w:eastAsiaTheme="minorEastAsia" w:hAnsiTheme="minorHAnsi" w:cstheme="minorBidi"/>
          <w:noProof/>
          <w:sz w:val="22"/>
          <w:lang w:val="en-PH" w:eastAsia="en-PH"/>
        </w:rPr>
      </w:pPr>
      <w:hyperlink w:anchor="_Toc210589569" w:history="1">
        <w:r w:rsidRPr="00F540DA">
          <w:rPr>
            <w:rStyle w:val="aff6"/>
            <w:noProof/>
          </w:rPr>
          <w:t>Table 25: Sites Located in Development Regulation Zone (80–120m from RA)</w:t>
        </w:r>
        <w:r>
          <w:rPr>
            <w:noProof/>
            <w:webHidden/>
          </w:rPr>
          <w:tab/>
        </w:r>
        <w:r>
          <w:rPr>
            <w:noProof/>
            <w:webHidden/>
          </w:rPr>
          <w:fldChar w:fldCharType="begin"/>
        </w:r>
        <w:r>
          <w:rPr>
            <w:noProof/>
            <w:webHidden/>
          </w:rPr>
          <w:instrText xml:space="preserve"> PAGEREF _Toc210589569 \h </w:instrText>
        </w:r>
        <w:r>
          <w:rPr>
            <w:noProof/>
            <w:webHidden/>
          </w:rPr>
        </w:r>
        <w:r>
          <w:rPr>
            <w:noProof/>
            <w:webHidden/>
          </w:rPr>
          <w:fldChar w:fldCharType="separate"/>
        </w:r>
        <w:r>
          <w:rPr>
            <w:noProof/>
            <w:webHidden/>
          </w:rPr>
          <w:t>99</w:t>
        </w:r>
        <w:r>
          <w:rPr>
            <w:noProof/>
            <w:webHidden/>
          </w:rPr>
          <w:fldChar w:fldCharType="end"/>
        </w:r>
      </w:hyperlink>
    </w:p>
    <w:p w14:paraId="189A8A58" w14:textId="2EC977D1" w:rsidR="008704B1" w:rsidRDefault="008704B1">
      <w:pPr>
        <w:pStyle w:val="aff4"/>
        <w:rPr>
          <w:rFonts w:asciiTheme="minorHAnsi" w:eastAsiaTheme="minorEastAsia" w:hAnsiTheme="minorHAnsi" w:cstheme="minorBidi"/>
          <w:noProof/>
          <w:sz w:val="22"/>
          <w:lang w:val="en-PH" w:eastAsia="en-PH"/>
        </w:rPr>
      </w:pPr>
      <w:hyperlink w:anchor="_Toc210589570" w:history="1">
        <w:r w:rsidRPr="00F540DA">
          <w:rPr>
            <w:rStyle w:val="aff6"/>
            <w:noProof/>
          </w:rPr>
          <w:t>Table 26</w:t>
        </w:r>
        <w:r w:rsidRPr="00F540DA">
          <w:rPr>
            <w:rStyle w:val="aff6"/>
            <w:noProof/>
            <w:spacing w:val="-5"/>
          </w:rPr>
          <w:t xml:space="preserve">: </w:t>
        </w:r>
        <w:r w:rsidRPr="00F540DA">
          <w:rPr>
            <w:rStyle w:val="aff6"/>
            <w:noProof/>
          </w:rPr>
          <w:t>Impact</w:t>
        </w:r>
        <w:r w:rsidRPr="00F540DA">
          <w:rPr>
            <w:rStyle w:val="aff6"/>
            <w:noProof/>
            <w:spacing w:val="26"/>
          </w:rPr>
          <w:t xml:space="preserve"> </w:t>
        </w:r>
        <w:r w:rsidRPr="00F540DA">
          <w:rPr>
            <w:rStyle w:val="aff6"/>
            <w:noProof/>
          </w:rPr>
          <w:t>Characteristic</w:t>
        </w:r>
        <w:r w:rsidRPr="00F540DA">
          <w:rPr>
            <w:rStyle w:val="aff6"/>
            <w:noProof/>
            <w:spacing w:val="32"/>
          </w:rPr>
          <w:t xml:space="preserve"> </w:t>
        </w:r>
        <w:r w:rsidRPr="00F540DA">
          <w:rPr>
            <w:rStyle w:val="aff6"/>
            <w:noProof/>
            <w:spacing w:val="-2"/>
          </w:rPr>
          <w:t>Terminology</w:t>
        </w:r>
        <w:r>
          <w:rPr>
            <w:noProof/>
            <w:webHidden/>
          </w:rPr>
          <w:tab/>
        </w:r>
        <w:r>
          <w:rPr>
            <w:noProof/>
            <w:webHidden/>
          </w:rPr>
          <w:fldChar w:fldCharType="begin"/>
        </w:r>
        <w:r>
          <w:rPr>
            <w:noProof/>
            <w:webHidden/>
          </w:rPr>
          <w:instrText xml:space="preserve"> PAGEREF _Toc210589570 \h </w:instrText>
        </w:r>
        <w:r>
          <w:rPr>
            <w:noProof/>
            <w:webHidden/>
          </w:rPr>
        </w:r>
        <w:r>
          <w:rPr>
            <w:noProof/>
            <w:webHidden/>
          </w:rPr>
          <w:fldChar w:fldCharType="separate"/>
        </w:r>
        <w:r>
          <w:rPr>
            <w:noProof/>
            <w:webHidden/>
          </w:rPr>
          <w:t>102</w:t>
        </w:r>
        <w:r>
          <w:rPr>
            <w:noProof/>
            <w:webHidden/>
          </w:rPr>
          <w:fldChar w:fldCharType="end"/>
        </w:r>
      </w:hyperlink>
    </w:p>
    <w:p w14:paraId="7BBA21EA" w14:textId="35FC5EE6" w:rsidR="008704B1" w:rsidRDefault="008704B1">
      <w:pPr>
        <w:pStyle w:val="aff4"/>
        <w:rPr>
          <w:rFonts w:asciiTheme="minorHAnsi" w:eastAsiaTheme="minorEastAsia" w:hAnsiTheme="minorHAnsi" w:cstheme="minorBidi"/>
          <w:noProof/>
          <w:sz w:val="22"/>
          <w:lang w:val="en-PH" w:eastAsia="en-PH"/>
        </w:rPr>
      </w:pPr>
      <w:hyperlink w:anchor="_Toc210589571" w:history="1">
        <w:r w:rsidRPr="00F540DA">
          <w:rPr>
            <w:rStyle w:val="aff6"/>
            <w:noProof/>
          </w:rPr>
          <w:t xml:space="preserve">Table </w:t>
        </w:r>
        <w:r w:rsidRPr="00F540DA">
          <w:rPr>
            <w:rStyle w:val="aff6"/>
            <w:iCs/>
            <w:noProof/>
          </w:rPr>
          <w:t>27</w:t>
        </w:r>
        <w:r w:rsidRPr="00F540DA">
          <w:rPr>
            <w:rStyle w:val="aff6"/>
            <w:noProof/>
            <w:spacing w:val="-5"/>
          </w:rPr>
          <w:t xml:space="preserve">: Impact </w:t>
        </w:r>
        <w:r w:rsidRPr="00F540DA">
          <w:rPr>
            <w:rStyle w:val="aff6"/>
            <w:noProof/>
          </w:rPr>
          <w:t>Designation</w:t>
        </w:r>
        <w:r w:rsidRPr="00F540DA">
          <w:rPr>
            <w:rStyle w:val="aff6"/>
            <w:noProof/>
            <w:spacing w:val="20"/>
          </w:rPr>
          <w:t xml:space="preserve"> </w:t>
        </w:r>
        <w:r w:rsidRPr="00F540DA">
          <w:rPr>
            <w:rStyle w:val="aff6"/>
            <w:noProof/>
            <w:spacing w:val="-2"/>
          </w:rPr>
          <w:t>Definitions</w:t>
        </w:r>
        <w:r>
          <w:rPr>
            <w:noProof/>
            <w:webHidden/>
          </w:rPr>
          <w:tab/>
        </w:r>
        <w:r>
          <w:rPr>
            <w:noProof/>
            <w:webHidden/>
          </w:rPr>
          <w:fldChar w:fldCharType="begin"/>
        </w:r>
        <w:r>
          <w:rPr>
            <w:noProof/>
            <w:webHidden/>
          </w:rPr>
          <w:instrText xml:space="preserve"> PAGEREF _Toc210589571 \h </w:instrText>
        </w:r>
        <w:r>
          <w:rPr>
            <w:noProof/>
            <w:webHidden/>
          </w:rPr>
        </w:r>
        <w:r>
          <w:rPr>
            <w:noProof/>
            <w:webHidden/>
          </w:rPr>
          <w:fldChar w:fldCharType="separate"/>
        </w:r>
        <w:r>
          <w:rPr>
            <w:noProof/>
            <w:webHidden/>
          </w:rPr>
          <w:t>103</w:t>
        </w:r>
        <w:r>
          <w:rPr>
            <w:noProof/>
            <w:webHidden/>
          </w:rPr>
          <w:fldChar w:fldCharType="end"/>
        </w:r>
      </w:hyperlink>
    </w:p>
    <w:p w14:paraId="2EB406F2" w14:textId="64E13291" w:rsidR="008704B1" w:rsidRDefault="008704B1">
      <w:pPr>
        <w:pStyle w:val="aff4"/>
        <w:rPr>
          <w:rFonts w:asciiTheme="minorHAnsi" w:eastAsiaTheme="minorEastAsia" w:hAnsiTheme="minorHAnsi" w:cstheme="minorBidi"/>
          <w:noProof/>
          <w:sz w:val="22"/>
          <w:lang w:val="en-PH" w:eastAsia="en-PH"/>
        </w:rPr>
      </w:pPr>
      <w:hyperlink w:anchor="_Toc210589572" w:history="1">
        <w:r w:rsidRPr="00F540DA">
          <w:rPr>
            <w:rStyle w:val="aff6"/>
            <w:noProof/>
          </w:rPr>
          <w:t>Table 28: Significance of Impact Matrix</w:t>
        </w:r>
        <w:r>
          <w:rPr>
            <w:noProof/>
            <w:webHidden/>
          </w:rPr>
          <w:tab/>
        </w:r>
        <w:r>
          <w:rPr>
            <w:noProof/>
            <w:webHidden/>
          </w:rPr>
          <w:fldChar w:fldCharType="begin"/>
        </w:r>
        <w:r>
          <w:rPr>
            <w:noProof/>
            <w:webHidden/>
          </w:rPr>
          <w:instrText xml:space="preserve"> PAGEREF _Toc210589572 \h </w:instrText>
        </w:r>
        <w:r>
          <w:rPr>
            <w:noProof/>
            <w:webHidden/>
          </w:rPr>
        </w:r>
        <w:r>
          <w:rPr>
            <w:noProof/>
            <w:webHidden/>
          </w:rPr>
          <w:fldChar w:fldCharType="separate"/>
        </w:r>
        <w:r>
          <w:rPr>
            <w:noProof/>
            <w:webHidden/>
          </w:rPr>
          <w:t>105</w:t>
        </w:r>
        <w:r>
          <w:rPr>
            <w:noProof/>
            <w:webHidden/>
          </w:rPr>
          <w:fldChar w:fldCharType="end"/>
        </w:r>
      </w:hyperlink>
    </w:p>
    <w:p w14:paraId="4B7B2BFC" w14:textId="540147D9" w:rsidR="008704B1" w:rsidRDefault="008704B1">
      <w:pPr>
        <w:pStyle w:val="aff4"/>
        <w:rPr>
          <w:rFonts w:asciiTheme="minorHAnsi" w:eastAsiaTheme="minorEastAsia" w:hAnsiTheme="minorHAnsi" w:cstheme="minorBidi"/>
          <w:noProof/>
          <w:sz w:val="22"/>
          <w:lang w:val="en-PH" w:eastAsia="en-PH"/>
        </w:rPr>
      </w:pPr>
      <w:hyperlink w:anchor="_Toc210589573" w:history="1">
        <w:r w:rsidRPr="00F540DA">
          <w:rPr>
            <w:rStyle w:val="aff6"/>
            <w:noProof/>
          </w:rPr>
          <w:t>Table 29: Description of Impact Significances</w:t>
        </w:r>
        <w:r>
          <w:rPr>
            <w:noProof/>
            <w:webHidden/>
          </w:rPr>
          <w:tab/>
        </w:r>
        <w:r>
          <w:rPr>
            <w:noProof/>
            <w:webHidden/>
          </w:rPr>
          <w:fldChar w:fldCharType="begin"/>
        </w:r>
        <w:r>
          <w:rPr>
            <w:noProof/>
            <w:webHidden/>
          </w:rPr>
          <w:instrText xml:space="preserve"> PAGEREF _Toc210589573 \h </w:instrText>
        </w:r>
        <w:r>
          <w:rPr>
            <w:noProof/>
            <w:webHidden/>
          </w:rPr>
        </w:r>
        <w:r>
          <w:rPr>
            <w:noProof/>
            <w:webHidden/>
          </w:rPr>
          <w:fldChar w:fldCharType="separate"/>
        </w:r>
        <w:r>
          <w:rPr>
            <w:noProof/>
            <w:webHidden/>
          </w:rPr>
          <w:t>105</w:t>
        </w:r>
        <w:r>
          <w:rPr>
            <w:noProof/>
            <w:webHidden/>
          </w:rPr>
          <w:fldChar w:fldCharType="end"/>
        </w:r>
      </w:hyperlink>
    </w:p>
    <w:p w14:paraId="4F53339E" w14:textId="54B95385" w:rsidR="008704B1" w:rsidRDefault="008704B1">
      <w:pPr>
        <w:pStyle w:val="aff4"/>
        <w:rPr>
          <w:rFonts w:asciiTheme="minorHAnsi" w:eastAsiaTheme="minorEastAsia" w:hAnsiTheme="minorHAnsi" w:cstheme="minorBidi"/>
          <w:noProof/>
          <w:sz w:val="22"/>
          <w:lang w:val="en-PH" w:eastAsia="en-PH"/>
        </w:rPr>
      </w:pPr>
      <w:hyperlink w:anchor="_Toc210589574" w:history="1">
        <w:r w:rsidRPr="00F540DA">
          <w:rPr>
            <w:rStyle w:val="aff6"/>
            <w:noProof/>
          </w:rPr>
          <w:t>Table 30: Definitions for Likelihood Designations</w:t>
        </w:r>
        <w:r>
          <w:rPr>
            <w:noProof/>
            <w:webHidden/>
          </w:rPr>
          <w:tab/>
        </w:r>
        <w:r>
          <w:rPr>
            <w:noProof/>
            <w:webHidden/>
          </w:rPr>
          <w:fldChar w:fldCharType="begin"/>
        </w:r>
        <w:r>
          <w:rPr>
            <w:noProof/>
            <w:webHidden/>
          </w:rPr>
          <w:instrText xml:space="preserve"> PAGEREF _Toc210589574 \h </w:instrText>
        </w:r>
        <w:r>
          <w:rPr>
            <w:noProof/>
            <w:webHidden/>
          </w:rPr>
        </w:r>
        <w:r>
          <w:rPr>
            <w:noProof/>
            <w:webHidden/>
          </w:rPr>
          <w:fldChar w:fldCharType="separate"/>
        </w:r>
        <w:r>
          <w:rPr>
            <w:noProof/>
            <w:webHidden/>
          </w:rPr>
          <w:t>105</w:t>
        </w:r>
        <w:r>
          <w:rPr>
            <w:noProof/>
            <w:webHidden/>
          </w:rPr>
          <w:fldChar w:fldCharType="end"/>
        </w:r>
      </w:hyperlink>
    </w:p>
    <w:p w14:paraId="45F022C5" w14:textId="3497213C" w:rsidR="008704B1" w:rsidRDefault="008704B1">
      <w:pPr>
        <w:pStyle w:val="aff4"/>
        <w:rPr>
          <w:rFonts w:asciiTheme="minorHAnsi" w:eastAsiaTheme="minorEastAsia" w:hAnsiTheme="minorHAnsi" w:cstheme="minorBidi"/>
          <w:noProof/>
          <w:sz w:val="22"/>
          <w:lang w:val="en-PH" w:eastAsia="en-PH"/>
        </w:rPr>
      </w:pPr>
      <w:hyperlink w:anchor="_Toc210589575" w:history="1">
        <w:r w:rsidRPr="00F540DA">
          <w:rPr>
            <w:rStyle w:val="aff6"/>
            <w:noProof/>
          </w:rPr>
          <w:t>Table 31: Activity – Impact Interaction Matrix</w:t>
        </w:r>
        <w:r>
          <w:rPr>
            <w:noProof/>
            <w:webHidden/>
          </w:rPr>
          <w:tab/>
        </w:r>
        <w:r>
          <w:rPr>
            <w:noProof/>
            <w:webHidden/>
          </w:rPr>
          <w:fldChar w:fldCharType="begin"/>
        </w:r>
        <w:r>
          <w:rPr>
            <w:noProof/>
            <w:webHidden/>
          </w:rPr>
          <w:instrText xml:space="preserve"> PAGEREF _Toc210589575 \h </w:instrText>
        </w:r>
        <w:r>
          <w:rPr>
            <w:noProof/>
            <w:webHidden/>
          </w:rPr>
        </w:r>
        <w:r>
          <w:rPr>
            <w:noProof/>
            <w:webHidden/>
          </w:rPr>
          <w:fldChar w:fldCharType="separate"/>
        </w:r>
        <w:r>
          <w:rPr>
            <w:noProof/>
            <w:webHidden/>
          </w:rPr>
          <w:t>111</w:t>
        </w:r>
        <w:r>
          <w:rPr>
            <w:noProof/>
            <w:webHidden/>
          </w:rPr>
          <w:fldChar w:fldCharType="end"/>
        </w:r>
      </w:hyperlink>
    </w:p>
    <w:p w14:paraId="2872A866" w14:textId="5645BD95" w:rsidR="008704B1" w:rsidRDefault="008704B1">
      <w:pPr>
        <w:pStyle w:val="aff4"/>
        <w:rPr>
          <w:rFonts w:asciiTheme="minorHAnsi" w:eastAsiaTheme="minorEastAsia" w:hAnsiTheme="minorHAnsi" w:cstheme="minorBidi"/>
          <w:noProof/>
          <w:sz w:val="22"/>
          <w:lang w:val="en-PH" w:eastAsia="en-PH"/>
        </w:rPr>
      </w:pPr>
      <w:hyperlink w:anchor="_Toc210589576" w:history="1">
        <w:r w:rsidRPr="00F540DA">
          <w:rPr>
            <w:rStyle w:val="aff6"/>
            <w:noProof/>
          </w:rPr>
          <w:t>Table 32: Labor Impacts and Risks (Pre-Construction and Construction Phase)</w:t>
        </w:r>
        <w:r>
          <w:rPr>
            <w:noProof/>
            <w:webHidden/>
          </w:rPr>
          <w:tab/>
        </w:r>
        <w:r>
          <w:rPr>
            <w:noProof/>
            <w:webHidden/>
          </w:rPr>
          <w:fldChar w:fldCharType="begin"/>
        </w:r>
        <w:r>
          <w:rPr>
            <w:noProof/>
            <w:webHidden/>
          </w:rPr>
          <w:instrText xml:space="preserve"> PAGEREF _Toc210589576 \h </w:instrText>
        </w:r>
        <w:r>
          <w:rPr>
            <w:noProof/>
            <w:webHidden/>
          </w:rPr>
        </w:r>
        <w:r>
          <w:rPr>
            <w:noProof/>
            <w:webHidden/>
          </w:rPr>
          <w:fldChar w:fldCharType="separate"/>
        </w:r>
        <w:r>
          <w:rPr>
            <w:noProof/>
            <w:webHidden/>
          </w:rPr>
          <w:t>114</w:t>
        </w:r>
        <w:r>
          <w:rPr>
            <w:noProof/>
            <w:webHidden/>
          </w:rPr>
          <w:fldChar w:fldCharType="end"/>
        </w:r>
      </w:hyperlink>
    </w:p>
    <w:p w14:paraId="51B319CF" w14:textId="05601EDD" w:rsidR="008704B1" w:rsidRDefault="008704B1">
      <w:pPr>
        <w:pStyle w:val="aff4"/>
        <w:rPr>
          <w:rFonts w:asciiTheme="minorHAnsi" w:eastAsiaTheme="minorEastAsia" w:hAnsiTheme="minorHAnsi" w:cstheme="minorBidi"/>
          <w:noProof/>
          <w:sz w:val="22"/>
          <w:lang w:val="en-PH" w:eastAsia="en-PH"/>
        </w:rPr>
      </w:pPr>
      <w:hyperlink w:anchor="_Toc210589577" w:history="1">
        <w:r w:rsidRPr="00F540DA">
          <w:rPr>
            <w:rStyle w:val="aff6"/>
            <w:noProof/>
          </w:rPr>
          <w:t>Table 33: OHS Impacts/Risks and Mitigation Measures</w:t>
        </w:r>
        <w:r>
          <w:rPr>
            <w:noProof/>
            <w:webHidden/>
          </w:rPr>
          <w:tab/>
        </w:r>
        <w:r>
          <w:rPr>
            <w:noProof/>
            <w:webHidden/>
          </w:rPr>
          <w:fldChar w:fldCharType="begin"/>
        </w:r>
        <w:r>
          <w:rPr>
            <w:noProof/>
            <w:webHidden/>
          </w:rPr>
          <w:instrText xml:space="preserve"> PAGEREF _Toc210589577 \h </w:instrText>
        </w:r>
        <w:r>
          <w:rPr>
            <w:noProof/>
            <w:webHidden/>
          </w:rPr>
        </w:r>
        <w:r>
          <w:rPr>
            <w:noProof/>
            <w:webHidden/>
          </w:rPr>
          <w:fldChar w:fldCharType="separate"/>
        </w:r>
        <w:r>
          <w:rPr>
            <w:noProof/>
            <w:webHidden/>
          </w:rPr>
          <w:t>117</w:t>
        </w:r>
        <w:r>
          <w:rPr>
            <w:noProof/>
            <w:webHidden/>
          </w:rPr>
          <w:fldChar w:fldCharType="end"/>
        </w:r>
      </w:hyperlink>
    </w:p>
    <w:p w14:paraId="5EF20259" w14:textId="7470C9A6" w:rsidR="008704B1" w:rsidRDefault="008704B1">
      <w:pPr>
        <w:pStyle w:val="aff4"/>
        <w:rPr>
          <w:rFonts w:asciiTheme="minorHAnsi" w:eastAsiaTheme="minorEastAsia" w:hAnsiTheme="minorHAnsi" w:cstheme="minorBidi"/>
          <w:noProof/>
          <w:sz w:val="22"/>
          <w:lang w:val="en-PH" w:eastAsia="en-PH"/>
        </w:rPr>
      </w:pPr>
      <w:hyperlink w:anchor="_Toc210589578" w:history="1">
        <w:r w:rsidRPr="00F540DA">
          <w:rPr>
            <w:rStyle w:val="aff6"/>
            <w:noProof/>
          </w:rPr>
          <w:t>Table 34: Sound Levels of Noise-Generating equipment by Analogs</w:t>
        </w:r>
        <w:r>
          <w:rPr>
            <w:noProof/>
            <w:webHidden/>
          </w:rPr>
          <w:tab/>
        </w:r>
        <w:r>
          <w:rPr>
            <w:noProof/>
            <w:webHidden/>
          </w:rPr>
          <w:fldChar w:fldCharType="begin"/>
        </w:r>
        <w:r>
          <w:rPr>
            <w:noProof/>
            <w:webHidden/>
          </w:rPr>
          <w:instrText xml:space="preserve"> PAGEREF _Toc210589578 \h </w:instrText>
        </w:r>
        <w:r>
          <w:rPr>
            <w:noProof/>
            <w:webHidden/>
          </w:rPr>
        </w:r>
        <w:r>
          <w:rPr>
            <w:noProof/>
            <w:webHidden/>
          </w:rPr>
          <w:fldChar w:fldCharType="separate"/>
        </w:r>
        <w:r>
          <w:rPr>
            <w:noProof/>
            <w:webHidden/>
          </w:rPr>
          <w:t>135</w:t>
        </w:r>
        <w:r>
          <w:rPr>
            <w:noProof/>
            <w:webHidden/>
          </w:rPr>
          <w:fldChar w:fldCharType="end"/>
        </w:r>
      </w:hyperlink>
    </w:p>
    <w:p w14:paraId="0550FC9B" w14:textId="59C5D524" w:rsidR="008704B1" w:rsidRDefault="008704B1">
      <w:pPr>
        <w:pStyle w:val="aff4"/>
        <w:rPr>
          <w:rFonts w:asciiTheme="minorHAnsi" w:eastAsiaTheme="minorEastAsia" w:hAnsiTheme="minorHAnsi" w:cstheme="minorBidi"/>
          <w:noProof/>
          <w:sz w:val="22"/>
          <w:lang w:val="en-PH" w:eastAsia="en-PH"/>
        </w:rPr>
      </w:pPr>
      <w:hyperlink w:anchor="_Toc210589579" w:history="1">
        <w:r w:rsidRPr="00F540DA">
          <w:rPr>
            <w:rStyle w:val="aff6"/>
            <w:noProof/>
          </w:rPr>
          <w:t>Table 35: Noise Sources and Characteristics</w:t>
        </w:r>
        <w:r>
          <w:rPr>
            <w:noProof/>
            <w:webHidden/>
          </w:rPr>
          <w:tab/>
        </w:r>
        <w:r>
          <w:rPr>
            <w:noProof/>
            <w:webHidden/>
          </w:rPr>
          <w:fldChar w:fldCharType="begin"/>
        </w:r>
        <w:r>
          <w:rPr>
            <w:noProof/>
            <w:webHidden/>
          </w:rPr>
          <w:instrText xml:space="preserve"> PAGEREF _Toc210589579 \h </w:instrText>
        </w:r>
        <w:r>
          <w:rPr>
            <w:noProof/>
            <w:webHidden/>
          </w:rPr>
        </w:r>
        <w:r>
          <w:rPr>
            <w:noProof/>
            <w:webHidden/>
          </w:rPr>
          <w:fldChar w:fldCharType="separate"/>
        </w:r>
        <w:r>
          <w:rPr>
            <w:noProof/>
            <w:webHidden/>
          </w:rPr>
          <w:t>136</w:t>
        </w:r>
        <w:r>
          <w:rPr>
            <w:noProof/>
            <w:webHidden/>
          </w:rPr>
          <w:fldChar w:fldCharType="end"/>
        </w:r>
      </w:hyperlink>
    </w:p>
    <w:p w14:paraId="0EF78BD8" w14:textId="1D506B8B" w:rsidR="008704B1" w:rsidRDefault="008704B1">
      <w:pPr>
        <w:pStyle w:val="aff4"/>
        <w:rPr>
          <w:rFonts w:asciiTheme="minorHAnsi" w:eastAsiaTheme="minorEastAsia" w:hAnsiTheme="minorHAnsi" w:cstheme="minorBidi"/>
          <w:noProof/>
          <w:sz w:val="22"/>
          <w:lang w:val="en-PH" w:eastAsia="en-PH"/>
        </w:rPr>
      </w:pPr>
      <w:hyperlink w:anchor="_Toc210589580" w:history="1">
        <w:r w:rsidRPr="00F540DA">
          <w:rPr>
            <w:rStyle w:val="aff6"/>
            <w:noProof/>
          </w:rPr>
          <w:t>Table 36: Noise Reduction for a Level Track</w:t>
        </w:r>
        <w:r>
          <w:rPr>
            <w:noProof/>
            <w:webHidden/>
          </w:rPr>
          <w:tab/>
        </w:r>
        <w:r>
          <w:rPr>
            <w:noProof/>
            <w:webHidden/>
          </w:rPr>
          <w:fldChar w:fldCharType="begin"/>
        </w:r>
        <w:r>
          <w:rPr>
            <w:noProof/>
            <w:webHidden/>
          </w:rPr>
          <w:instrText xml:space="preserve"> PAGEREF _Toc210589580 \h </w:instrText>
        </w:r>
        <w:r>
          <w:rPr>
            <w:noProof/>
            <w:webHidden/>
          </w:rPr>
        </w:r>
        <w:r>
          <w:rPr>
            <w:noProof/>
            <w:webHidden/>
          </w:rPr>
          <w:fldChar w:fldCharType="separate"/>
        </w:r>
        <w:r>
          <w:rPr>
            <w:noProof/>
            <w:webHidden/>
          </w:rPr>
          <w:t>136</w:t>
        </w:r>
        <w:r>
          <w:rPr>
            <w:noProof/>
            <w:webHidden/>
          </w:rPr>
          <w:fldChar w:fldCharType="end"/>
        </w:r>
      </w:hyperlink>
    </w:p>
    <w:p w14:paraId="49BCA686" w14:textId="526C3A39" w:rsidR="008704B1" w:rsidRDefault="008704B1">
      <w:pPr>
        <w:pStyle w:val="aff4"/>
        <w:rPr>
          <w:rFonts w:asciiTheme="minorHAnsi" w:eastAsiaTheme="minorEastAsia" w:hAnsiTheme="minorHAnsi" w:cstheme="minorBidi"/>
          <w:noProof/>
          <w:sz w:val="22"/>
          <w:lang w:val="en-PH" w:eastAsia="en-PH"/>
        </w:rPr>
      </w:pPr>
      <w:hyperlink w:anchor="_Toc210589581" w:history="1">
        <w:r w:rsidRPr="00F540DA">
          <w:rPr>
            <w:rStyle w:val="aff6"/>
            <w:noProof/>
          </w:rPr>
          <w:t>Table 37: Flora and Fauna Measures</w:t>
        </w:r>
        <w:r>
          <w:rPr>
            <w:noProof/>
            <w:webHidden/>
          </w:rPr>
          <w:tab/>
        </w:r>
        <w:r>
          <w:rPr>
            <w:noProof/>
            <w:webHidden/>
          </w:rPr>
          <w:fldChar w:fldCharType="begin"/>
        </w:r>
        <w:r>
          <w:rPr>
            <w:noProof/>
            <w:webHidden/>
          </w:rPr>
          <w:instrText xml:space="preserve"> PAGEREF _Toc210589581 \h </w:instrText>
        </w:r>
        <w:r>
          <w:rPr>
            <w:noProof/>
            <w:webHidden/>
          </w:rPr>
        </w:r>
        <w:r>
          <w:rPr>
            <w:noProof/>
            <w:webHidden/>
          </w:rPr>
          <w:fldChar w:fldCharType="separate"/>
        </w:r>
        <w:r>
          <w:rPr>
            <w:noProof/>
            <w:webHidden/>
          </w:rPr>
          <w:t>151</w:t>
        </w:r>
        <w:r>
          <w:rPr>
            <w:noProof/>
            <w:webHidden/>
          </w:rPr>
          <w:fldChar w:fldCharType="end"/>
        </w:r>
      </w:hyperlink>
    </w:p>
    <w:p w14:paraId="654D4057" w14:textId="146FDE25" w:rsidR="008704B1" w:rsidRDefault="008704B1">
      <w:pPr>
        <w:pStyle w:val="aff4"/>
        <w:rPr>
          <w:rFonts w:asciiTheme="minorHAnsi" w:eastAsiaTheme="minorEastAsia" w:hAnsiTheme="minorHAnsi" w:cstheme="minorBidi"/>
          <w:noProof/>
          <w:sz w:val="22"/>
          <w:lang w:val="en-PH" w:eastAsia="en-PH"/>
        </w:rPr>
      </w:pPr>
      <w:hyperlink w:anchor="_Toc210589582" w:history="1">
        <w:r w:rsidRPr="00F540DA">
          <w:rPr>
            <w:rStyle w:val="aff6"/>
            <w:noProof/>
          </w:rPr>
          <w:t>Table 38: Summary Assessment of Impacts and Risks during Construction</w:t>
        </w:r>
        <w:r>
          <w:rPr>
            <w:noProof/>
            <w:webHidden/>
          </w:rPr>
          <w:tab/>
        </w:r>
        <w:r>
          <w:rPr>
            <w:noProof/>
            <w:webHidden/>
          </w:rPr>
          <w:fldChar w:fldCharType="begin"/>
        </w:r>
        <w:r>
          <w:rPr>
            <w:noProof/>
            <w:webHidden/>
          </w:rPr>
          <w:instrText xml:space="preserve"> PAGEREF _Toc210589582 \h </w:instrText>
        </w:r>
        <w:r>
          <w:rPr>
            <w:noProof/>
            <w:webHidden/>
          </w:rPr>
        </w:r>
        <w:r>
          <w:rPr>
            <w:noProof/>
            <w:webHidden/>
          </w:rPr>
          <w:fldChar w:fldCharType="separate"/>
        </w:r>
        <w:r>
          <w:rPr>
            <w:noProof/>
            <w:webHidden/>
          </w:rPr>
          <w:t>159</w:t>
        </w:r>
        <w:r>
          <w:rPr>
            <w:noProof/>
            <w:webHidden/>
          </w:rPr>
          <w:fldChar w:fldCharType="end"/>
        </w:r>
      </w:hyperlink>
    </w:p>
    <w:p w14:paraId="5FAA2564" w14:textId="0240A52D" w:rsidR="008704B1" w:rsidRDefault="008704B1">
      <w:pPr>
        <w:pStyle w:val="aff4"/>
        <w:rPr>
          <w:rFonts w:asciiTheme="minorHAnsi" w:eastAsiaTheme="minorEastAsia" w:hAnsiTheme="minorHAnsi" w:cstheme="minorBidi"/>
          <w:noProof/>
          <w:sz w:val="22"/>
          <w:lang w:val="en-PH" w:eastAsia="en-PH"/>
        </w:rPr>
      </w:pPr>
      <w:hyperlink w:anchor="_Toc210589583" w:history="1">
        <w:r w:rsidRPr="00F540DA">
          <w:rPr>
            <w:rStyle w:val="aff6"/>
            <w:noProof/>
          </w:rPr>
          <w:t>Table 39: Assessment of Impacts and Risks during Operation</w:t>
        </w:r>
        <w:r>
          <w:rPr>
            <w:noProof/>
            <w:webHidden/>
          </w:rPr>
          <w:tab/>
        </w:r>
        <w:r>
          <w:rPr>
            <w:noProof/>
            <w:webHidden/>
          </w:rPr>
          <w:fldChar w:fldCharType="begin"/>
        </w:r>
        <w:r>
          <w:rPr>
            <w:noProof/>
            <w:webHidden/>
          </w:rPr>
          <w:instrText xml:space="preserve"> PAGEREF _Toc210589583 \h </w:instrText>
        </w:r>
        <w:r>
          <w:rPr>
            <w:noProof/>
            <w:webHidden/>
          </w:rPr>
        </w:r>
        <w:r>
          <w:rPr>
            <w:noProof/>
            <w:webHidden/>
          </w:rPr>
          <w:fldChar w:fldCharType="separate"/>
        </w:r>
        <w:r>
          <w:rPr>
            <w:noProof/>
            <w:webHidden/>
          </w:rPr>
          <w:t>161</w:t>
        </w:r>
        <w:r>
          <w:rPr>
            <w:noProof/>
            <w:webHidden/>
          </w:rPr>
          <w:fldChar w:fldCharType="end"/>
        </w:r>
      </w:hyperlink>
    </w:p>
    <w:p w14:paraId="1D695ABA" w14:textId="2016F908" w:rsidR="008704B1" w:rsidRDefault="008704B1">
      <w:pPr>
        <w:pStyle w:val="aff4"/>
        <w:rPr>
          <w:rFonts w:asciiTheme="minorHAnsi" w:eastAsiaTheme="minorEastAsia" w:hAnsiTheme="minorHAnsi" w:cstheme="minorBidi"/>
          <w:noProof/>
          <w:sz w:val="22"/>
          <w:lang w:val="en-PH" w:eastAsia="en-PH"/>
        </w:rPr>
      </w:pPr>
      <w:hyperlink w:anchor="_Toc210589584" w:history="1">
        <w:r w:rsidRPr="00F540DA">
          <w:rPr>
            <w:rStyle w:val="aff6"/>
            <w:noProof/>
          </w:rPr>
          <w:t>Table 40: Operations Impacts/Risks and Measures</w:t>
        </w:r>
        <w:r>
          <w:rPr>
            <w:noProof/>
            <w:webHidden/>
          </w:rPr>
          <w:tab/>
        </w:r>
        <w:r>
          <w:rPr>
            <w:noProof/>
            <w:webHidden/>
          </w:rPr>
          <w:fldChar w:fldCharType="begin"/>
        </w:r>
        <w:r>
          <w:rPr>
            <w:noProof/>
            <w:webHidden/>
          </w:rPr>
          <w:instrText xml:space="preserve"> PAGEREF _Toc210589584 \h </w:instrText>
        </w:r>
        <w:r>
          <w:rPr>
            <w:noProof/>
            <w:webHidden/>
          </w:rPr>
        </w:r>
        <w:r>
          <w:rPr>
            <w:noProof/>
            <w:webHidden/>
          </w:rPr>
          <w:fldChar w:fldCharType="separate"/>
        </w:r>
        <w:r>
          <w:rPr>
            <w:noProof/>
            <w:webHidden/>
          </w:rPr>
          <w:t>161</w:t>
        </w:r>
        <w:r>
          <w:rPr>
            <w:noProof/>
            <w:webHidden/>
          </w:rPr>
          <w:fldChar w:fldCharType="end"/>
        </w:r>
      </w:hyperlink>
    </w:p>
    <w:p w14:paraId="6DCA4C89" w14:textId="6A798E0F" w:rsidR="008704B1" w:rsidRDefault="008704B1">
      <w:pPr>
        <w:pStyle w:val="aff4"/>
        <w:rPr>
          <w:rFonts w:asciiTheme="minorHAnsi" w:eastAsiaTheme="minorEastAsia" w:hAnsiTheme="minorHAnsi" w:cstheme="minorBidi"/>
          <w:noProof/>
          <w:sz w:val="22"/>
          <w:lang w:val="en-PH" w:eastAsia="en-PH"/>
        </w:rPr>
      </w:pPr>
      <w:hyperlink w:anchor="_Toc210589585" w:history="1">
        <w:r w:rsidRPr="00F540DA">
          <w:rPr>
            <w:rStyle w:val="aff6"/>
            <w:noProof/>
          </w:rPr>
          <w:t>Table 41: Environment and Social Managemement Plan Matrix</w:t>
        </w:r>
        <w:r>
          <w:rPr>
            <w:noProof/>
            <w:webHidden/>
          </w:rPr>
          <w:tab/>
        </w:r>
        <w:r>
          <w:rPr>
            <w:noProof/>
            <w:webHidden/>
          </w:rPr>
          <w:fldChar w:fldCharType="begin"/>
        </w:r>
        <w:r>
          <w:rPr>
            <w:noProof/>
            <w:webHidden/>
          </w:rPr>
          <w:instrText xml:space="preserve"> PAGEREF _Toc210589585 \h </w:instrText>
        </w:r>
        <w:r>
          <w:rPr>
            <w:noProof/>
            <w:webHidden/>
          </w:rPr>
        </w:r>
        <w:r>
          <w:rPr>
            <w:noProof/>
            <w:webHidden/>
          </w:rPr>
          <w:fldChar w:fldCharType="separate"/>
        </w:r>
        <w:r>
          <w:rPr>
            <w:noProof/>
            <w:webHidden/>
          </w:rPr>
          <w:t>164</w:t>
        </w:r>
        <w:r>
          <w:rPr>
            <w:noProof/>
            <w:webHidden/>
          </w:rPr>
          <w:fldChar w:fldCharType="end"/>
        </w:r>
      </w:hyperlink>
    </w:p>
    <w:p w14:paraId="04E7221A" w14:textId="1FB39753" w:rsidR="008704B1" w:rsidRDefault="008704B1">
      <w:pPr>
        <w:pStyle w:val="aff4"/>
        <w:rPr>
          <w:rFonts w:asciiTheme="minorHAnsi" w:eastAsiaTheme="minorEastAsia" w:hAnsiTheme="minorHAnsi" w:cstheme="minorBidi"/>
          <w:noProof/>
          <w:sz w:val="22"/>
          <w:lang w:val="en-PH" w:eastAsia="en-PH"/>
        </w:rPr>
      </w:pPr>
      <w:hyperlink w:anchor="_Toc210589586" w:history="1">
        <w:r w:rsidRPr="00F540DA">
          <w:rPr>
            <w:rStyle w:val="aff6"/>
            <w:noProof/>
          </w:rPr>
          <w:t>Table 42: Environment and Social Monitoring Plan</w:t>
        </w:r>
        <w:r>
          <w:rPr>
            <w:noProof/>
            <w:webHidden/>
          </w:rPr>
          <w:tab/>
        </w:r>
        <w:r>
          <w:rPr>
            <w:noProof/>
            <w:webHidden/>
          </w:rPr>
          <w:fldChar w:fldCharType="begin"/>
        </w:r>
        <w:r>
          <w:rPr>
            <w:noProof/>
            <w:webHidden/>
          </w:rPr>
          <w:instrText xml:space="preserve"> PAGEREF _Toc210589586 \h </w:instrText>
        </w:r>
        <w:r>
          <w:rPr>
            <w:noProof/>
            <w:webHidden/>
          </w:rPr>
        </w:r>
        <w:r>
          <w:rPr>
            <w:noProof/>
            <w:webHidden/>
          </w:rPr>
          <w:fldChar w:fldCharType="separate"/>
        </w:r>
        <w:r>
          <w:rPr>
            <w:noProof/>
            <w:webHidden/>
          </w:rPr>
          <w:t>193</w:t>
        </w:r>
        <w:r>
          <w:rPr>
            <w:noProof/>
            <w:webHidden/>
          </w:rPr>
          <w:fldChar w:fldCharType="end"/>
        </w:r>
      </w:hyperlink>
    </w:p>
    <w:p w14:paraId="3213FC83" w14:textId="46F19B25" w:rsidR="008704B1" w:rsidRDefault="008704B1">
      <w:pPr>
        <w:pStyle w:val="aff4"/>
        <w:rPr>
          <w:rFonts w:asciiTheme="minorHAnsi" w:eastAsiaTheme="minorEastAsia" w:hAnsiTheme="minorHAnsi" w:cstheme="minorBidi"/>
          <w:noProof/>
          <w:sz w:val="22"/>
          <w:lang w:val="en-PH" w:eastAsia="en-PH"/>
        </w:rPr>
      </w:pPr>
      <w:hyperlink w:anchor="_Toc210589587" w:history="1">
        <w:r w:rsidRPr="00F540DA">
          <w:rPr>
            <w:rStyle w:val="aff6"/>
            <w:noProof/>
          </w:rPr>
          <w:t>Table 43: Summary ES Risks and Impacts and Mitigation Measures</w:t>
        </w:r>
        <w:r>
          <w:rPr>
            <w:noProof/>
            <w:webHidden/>
          </w:rPr>
          <w:tab/>
        </w:r>
        <w:r>
          <w:rPr>
            <w:noProof/>
            <w:webHidden/>
          </w:rPr>
          <w:fldChar w:fldCharType="begin"/>
        </w:r>
        <w:r>
          <w:rPr>
            <w:noProof/>
            <w:webHidden/>
          </w:rPr>
          <w:instrText xml:space="preserve"> PAGEREF _Toc210589587 \h </w:instrText>
        </w:r>
        <w:r>
          <w:rPr>
            <w:noProof/>
            <w:webHidden/>
          </w:rPr>
        </w:r>
        <w:r>
          <w:rPr>
            <w:noProof/>
            <w:webHidden/>
          </w:rPr>
          <w:fldChar w:fldCharType="separate"/>
        </w:r>
        <w:r>
          <w:rPr>
            <w:noProof/>
            <w:webHidden/>
          </w:rPr>
          <w:t>197</w:t>
        </w:r>
        <w:r>
          <w:rPr>
            <w:noProof/>
            <w:webHidden/>
          </w:rPr>
          <w:fldChar w:fldCharType="end"/>
        </w:r>
      </w:hyperlink>
    </w:p>
    <w:p w14:paraId="43CB08DA" w14:textId="7451FB17" w:rsidR="008704B1" w:rsidRDefault="008704B1">
      <w:pPr>
        <w:pStyle w:val="aff4"/>
        <w:rPr>
          <w:rFonts w:asciiTheme="minorHAnsi" w:eastAsiaTheme="minorEastAsia" w:hAnsiTheme="minorHAnsi" w:cstheme="minorBidi"/>
          <w:noProof/>
          <w:sz w:val="22"/>
          <w:lang w:val="en-PH" w:eastAsia="en-PH"/>
        </w:rPr>
      </w:pPr>
      <w:hyperlink w:anchor="_Toc210589588" w:history="1">
        <w:r w:rsidRPr="00F540DA">
          <w:rPr>
            <w:rStyle w:val="aff6"/>
            <w:noProof/>
          </w:rPr>
          <w:t>Table 44: Engagement Log – Consultations During Project Preparation</w:t>
        </w:r>
        <w:r>
          <w:rPr>
            <w:noProof/>
            <w:webHidden/>
          </w:rPr>
          <w:tab/>
        </w:r>
        <w:r>
          <w:rPr>
            <w:noProof/>
            <w:webHidden/>
          </w:rPr>
          <w:fldChar w:fldCharType="begin"/>
        </w:r>
        <w:r>
          <w:rPr>
            <w:noProof/>
            <w:webHidden/>
          </w:rPr>
          <w:instrText xml:space="preserve"> PAGEREF _Toc210589588 \h </w:instrText>
        </w:r>
        <w:r>
          <w:rPr>
            <w:noProof/>
            <w:webHidden/>
          </w:rPr>
        </w:r>
        <w:r>
          <w:rPr>
            <w:noProof/>
            <w:webHidden/>
          </w:rPr>
          <w:fldChar w:fldCharType="separate"/>
        </w:r>
        <w:r>
          <w:rPr>
            <w:noProof/>
            <w:webHidden/>
          </w:rPr>
          <w:t>204</w:t>
        </w:r>
        <w:r>
          <w:rPr>
            <w:noProof/>
            <w:webHidden/>
          </w:rPr>
          <w:fldChar w:fldCharType="end"/>
        </w:r>
      </w:hyperlink>
    </w:p>
    <w:p w14:paraId="5F1F762D" w14:textId="5B770B9B" w:rsidR="008704B1" w:rsidRDefault="008704B1">
      <w:pPr>
        <w:pStyle w:val="aff4"/>
        <w:rPr>
          <w:rFonts w:asciiTheme="minorHAnsi" w:eastAsiaTheme="minorEastAsia" w:hAnsiTheme="minorHAnsi" w:cstheme="minorBidi"/>
          <w:noProof/>
          <w:sz w:val="22"/>
          <w:lang w:val="en-PH" w:eastAsia="en-PH"/>
        </w:rPr>
      </w:pPr>
      <w:hyperlink w:anchor="_Toc210589589" w:history="1">
        <w:r w:rsidRPr="00F540DA">
          <w:rPr>
            <w:rStyle w:val="aff6"/>
            <w:noProof/>
          </w:rPr>
          <w:t>Table 45: Stakeholder Engagement Matrix for Project Implementation</w:t>
        </w:r>
        <w:r>
          <w:rPr>
            <w:noProof/>
            <w:webHidden/>
          </w:rPr>
          <w:tab/>
        </w:r>
        <w:r>
          <w:rPr>
            <w:noProof/>
            <w:webHidden/>
          </w:rPr>
          <w:fldChar w:fldCharType="begin"/>
        </w:r>
        <w:r>
          <w:rPr>
            <w:noProof/>
            <w:webHidden/>
          </w:rPr>
          <w:instrText xml:space="preserve"> PAGEREF _Toc210589589 \h </w:instrText>
        </w:r>
        <w:r>
          <w:rPr>
            <w:noProof/>
            <w:webHidden/>
          </w:rPr>
        </w:r>
        <w:r>
          <w:rPr>
            <w:noProof/>
            <w:webHidden/>
          </w:rPr>
          <w:fldChar w:fldCharType="separate"/>
        </w:r>
        <w:r>
          <w:rPr>
            <w:noProof/>
            <w:webHidden/>
          </w:rPr>
          <w:t>205</w:t>
        </w:r>
        <w:r>
          <w:rPr>
            <w:noProof/>
            <w:webHidden/>
          </w:rPr>
          <w:fldChar w:fldCharType="end"/>
        </w:r>
      </w:hyperlink>
    </w:p>
    <w:p w14:paraId="62110B60" w14:textId="372E6AAE" w:rsidR="00517A3E" w:rsidRPr="002B3F36" w:rsidRDefault="00DE0226" w:rsidP="000E123E">
      <w:pPr>
        <w:pStyle w:val="TableofTables"/>
        <w:rPr>
          <w:b/>
          <w:bCs/>
        </w:rPr>
      </w:pPr>
      <w:r w:rsidRPr="002B3F36">
        <w:fldChar w:fldCharType="end"/>
      </w:r>
    </w:p>
    <w:p w14:paraId="7C70B1EF" w14:textId="77777777" w:rsidR="00DE0226" w:rsidRPr="002B3F36" w:rsidRDefault="00DE0226" w:rsidP="00517A3E">
      <w:pPr>
        <w:spacing w:line="242" w:lineRule="exact"/>
        <w:jc w:val="center"/>
        <w:rPr>
          <w:rFonts w:ascii="Arial" w:hAnsi="Arial" w:cs="Arial"/>
          <w:b/>
          <w:bCs/>
          <w:sz w:val="24"/>
          <w:szCs w:val="28"/>
        </w:rPr>
      </w:pPr>
    </w:p>
    <w:p w14:paraId="665946DF" w14:textId="77777777" w:rsidR="00DE0226" w:rsidRPr="002B3F36" w:rsidRDefault="00DE0226" w:rsidP="00517A3E">
      <w:pPr>
        <w:spacing w:line="242" w:lineRule="exact"/>
        <w:jc w:val="center"/>
        <w:rPr>
          <w:rFonts w:ascii="Arial" w:hAnsi="Arial" w:cs="Arial"/>
          <w:b/>
          <w:bCs/>
          <w:sz w:val="24"/>
          <w:szCs w:val="28"/>
        </w:rPr>
      </w:pPr>
    </w:p>
    <w:p w14:paraId="1DC4E184" w14:textId="77777777" w:rsidR="00517A3E" w:rsidRPr="002B3F36" w:rsidRDefault="00517A3E" w:rsidP="00517A3E">
      <w:pPr>
        <w:spacing w:line="242" w:lineRule="exact"/>
        <w:jc w:val="center"/>
        <w:rPr>
          <w:rFonts w:ascii="Arial" w:hAnsi="Arial" w:cs="Arial"/>
          <w:b/>
          <w:bCs/>
          <w:sz w:val="24"/>
          <w:szCs w:val="28"/>
        </w:rPr>
      </w:pPr>
    </w:p>
    <w:p w14:paraId="33DFAC6C" w14:textId="0A02856A" w:rsidR="00F61F8E" w:rsidRPr="002B3F36" w:rsidRDefault="00517A3E" w:rsidP="00517A3E">
      <w:pPr>
        <w:spacing w:line="242" w:lineRule="exact"/>
        <w:jc w:val="center"/>
        <w:rPr>
          <w:rFonts w:ascii="Arial" w:hAnsi="Arial" w:cs="Arial"/>
          <w:b/>
          <w:bCs/>
          <w:sz w:val="24"/>
          <w:szCs w:val="28"/>
        </w:rPr>
      </w:pPr>
      <w:r w:rsidRPr="002B3F36">
        <w:rPr>
          <w:rFonts w:ascii="Arial" w:hAnsi="Arial" w:cs="Arial"/>
          <w:b/>
          <w:bCs/>
          <w:sz w:val="24"/>
          <w:szCs w:val="28"/>
        </w:rPr>
        <w:t>List</w:t>
      </w:r>
      <w:r w:rsidR="008D7058" w:rsidRPr="002B3F36">
        <w:rPr>
          <w:rFonts w:ascii="Arial" w:hAnsi="Arial" w:cs="Arial"/>
          <w:b/>
          <w:bCs/>
          <w:sz w:val="24"/>
          <w:szCs w:val="28"/>
        </w:rPr>
        <w:t xml:space="preserve"> of Figures</w:t>
      </w:r>
    </w:p>
    <w:p w14:paraId="32CDFD65" w14:textId="77777777" w:rsidR="00517A3E" w:rsidRPr="002B3F36" w:rsidRDefault="00517A3E" w:rsidP="00517A3E">
      <w:pPr>
        <w:spacing w:line="242" w:lineRule="exact"/>
        <w:jc w:val="center"/>
        <w:rPr>
          <w:rFonts w:ascii="Arial" w:hAnsi="Arial" w:cs="Arial"/>
          <w:b/>
          <w:bCs/>
          <w:sz w:val="24"/>
          <w:szCs w:val="28"/>
        </w:rPr>
      </w:pPr>
    </w:p>
    <w:p w14:paraId="61E19D65" w14:textId="1A923E00" w:rsidR="008704B1" w:rsidRDefault="00517A3E">
      <w:pPr>
        <w:pStyle w:val="aff4"/>
        <w:rPr>
          <w:rFonts w:asciiTheme="minorHAnsi" w:eastAsiaTheme="minorEastAsia" w:hAnsiTheme="minorHAnsi" w:cstheme="minorBidi"/>
          <w:noProof/>
          <w:sz w:val="22"/>
          <w:lang w:val="en-PH" w:eastAsia="en-PH"/>
        </w:rPr>
      </w:pPr>
      <w:r w:rsidRPr="002B3F36">
        <w:rPr>
          <w:rFonts w:cs="Arial"/>
          <w:b/>
          <w:szCs w:val="28"/>
        </w:rPr>
        <w:fldChar w:fldCharType="begin"/>
      </w:r>
      <w:r w:rsidRPr="002B3F36">
        <w:rPr>
          <w:rFonts w:cs="Arial"/>
          <w:b/>
          <w:bCs/>
          <w:szCs w:val="28"/>
        </w:rPr>
        <w:instrText xml:space="preserve"> TOC \h \z \c "Figure" </w:instrText>
      </w:r>
      <w:r w:rsidRPr="002B3F36">
        <w:rPr>
          <w:rFonts w:cs="Arial"/>
          <w:b/>
          <w:bCs/>
          <w:szCs w:val="28"/>
        </w:rPr>
        <w:fldChar w:fldCharType="separate"/>
      </w:r>
      <w:hyperlink w:anchor="_Toc210589590" w:history="1">
        <w:r w:rsidR="008704B1" w:rsidRPr="00267314">
          <w:rPr>
            <w:rStyle w:val="aff6"/>
            <w:rFonts w:cs="Arial"/>
            <w:noProof/>
          </w:rPr>
          <w:t>Figure 1: The Project within the Middle Railway Corridor</w:t>
        </w:r>
        <w:r w:rsidR="008704B1">
          <w:rPr>
            <w:noProof/>
            <w:webHidden/>
          </w:rPr>
          <w:tab/>
        </w:r>
        <w:r w:rsidR="008704B1">
          <w:rPr>
            <w:noProof/>
            <w:webHidden/>
          </w:rPr>
          <w:fldChar w:fldCharType="begin"/>
        </w:r>
        <w:r w:rsidR="008704B1">
          <w:rPr>
            <w:noProof/>
            <w:webHidden/>
          </w:rPr>
          <w:instrText xml:space="preserve"> PAGEREF _Toc210589590 \h </w:instrText>
        </w:r>
        <w:r w:rsidR="008704B1">
          <w:rPr>
            <w:noProof/>
            <w:webHidden/>
          </w:rPr>
        </w:r>
        <w:r w:rsidR="008704B1">
          <w:rPr>
            <w:noProof/>
            <w:webHidden/>
          </w:rPr>
          <w:fldChar w:fldCharType="separate"/>
        </w:r>
        <w:r w:rsidR="008704B1">
          <w:rPr>
            <w:noProof/>
            <w:webHidden/>
          </w:rPr>
          <w:t>2</w:t>
        </w:r>
        <w:r w:rsidR="008704B1">
          <w:rPr>
            <w:noProof/>
            <w:webHidden/>
          </w:rPr>
          <w:fldChar w:fldCharType="end"/>
        </w:r>
      </w:hyperlink>
    </w:p>
    <w:p w14:paraId="2760127F" w14:textId="130C36CC" w:rsidR="008704B1" w:rsidRDefault="008704B1">
      <w:pPr>
        <w:pStyle w:val="aff4"/>
        <w:rPr>
          <w:rFonts w:asciiTheme="minorHAnsi" w:eastAsiaTheme="minorEastAsia" w:hAnsiTheme="minorHAnsi" w:cstheme="minorBidi"/>
          <w:noProof/>
          <w:sz w:val="22"/>
          <w:lang w:val="en-PH" w:eastAsia="en-PH"/>
        </w:rPr>
      </w:pPr>
      <w:hyperlink w:anchor="_Toc210589591" w:history="1">
        <w:r w:rsidRPr="00267314">
          <w:rPr>
            <w:rStyle w:val="aff6"/>
            <w:rFonts w:cs="Arial"/>
            <w:noProof/>
          </w:rPr>
          <w:t>Figure 2: Railway Network Within the Vicinity of The Project</w:t>
        </w:r>
        <w:r>
          <w:rPr>
            <w:noProof/>
            <w:webHidden/>
          </w:rPr>
          <w:tab/>
        </w:r>
        <w:r>
          <w:rPr>
            <w:noProof/>
            <w:webHidden/>
          </w:rPr>
          <w:fldChar w:fldCharType="begin"/>
        </w:r>
        <w:r>
          <w:rPr>
            <w:noProof/>
            <w:webHidden/>
          </w:rPr>
          <w:instrText xml:space="preserve"> PAGEREF _Toc210589591 \h </w:instrText>
        </w:r>
        <w:r>
          <w:rPr>
            <w:noProof/>
            <w:webHidden/>
          </w:rPr>
        </w:r>
        <w:r>
          <w:rPr>
            <w:noProof/>
            <w:webHidden/>
          </w:rPr>
          <w:fldChar w:fldCharType="separate"/>
        </w:r>
        <w:r>
          <w:rPr>
            <w:noProof/>
            <w:webHidden/>
          </w:rPr>
          <w:t>8</w:t>
        </w:r>
        <w:r>
          <w:rPr>
            <w:noProof/>
            <w:webHidden/>
          </w:rPr>
          <w:fldChar w:fldCharType="end"/>
        </w:r>
      </w:hyperlink>
    </w:p>
    <w:p w14:paraId="2BB24DB5" w14:textId="20C319EB" w:rsidR="008704B1" w:rsidRDefault="008704B1">
      <w:pPr>
        <w:pStyle w:val="aff4"/>
        <w:rPr>
          <w:rFonts w:asciiTheme="minorHAnsi" w:eastAsiaTheme="minorEastAsia" w:hAnsiTheme="minorHAnsi" w:cstheme="minorBidi"/>
          <w:noProof/>
          <w:sz w:val="22"/>
          <w:lang w:val="en-PH" w:eastAsia="en-PH"/>
        </w:rPr>
      </w:pPr>
      <w:hyperlink w:anchor="_Toc210589592" w:history="1">
        <w:r w:rsidRPr="00267314">
          <w:rPr>
            <w:rStyle w:val="aff6"/>
            <w:rFonts w:cs="Arial"/>
            <w:noProof/>
          </w:rPr>
          <w:t>Figure 3: Greenfield Project Map of Mointy-Kyzylzhar</w:t>
        </w:r>
        <w:r>
          <w:rPr>
            <w:noProof/>
            <w:webHidden/>
          </w:rPr>
          <w:tab/>
        </w:r>
        <w:r>
          <w:rPr>
            <w:noProof/>
            <w:webHidden/>
          </w:rPr>
          <w:fldChar w:fldCharType="begin"/>
        </w:r>
        <w:r>
          <w:rPr>
            <w:noProof/>
            <w:webHidden/>
          </w:rPr>
          <w:instrText xml:space="preserve"> PAGEREF _Toc210589592 \h </w:instrText>
        </w:r>
        <w:r>
          <w:rPr>
            <w:noProof/>
            <w:webHidden/>
          </w:rPr>
        </w:r>
        <w:r>
          <w:rPr>
            <w:noProof/>
            <w:webHidden/>
          </w:rPr>
          <w:fldChar w:fldCharType="separate"/>
        </w:r>
        <w:r>
          <w:rPr>
            <w:noProof/>
            <w:webHidden/>
          </w:rPr>
          <w:t>10</w:t>
        </w:r>
        <w:r>
          <w:rPr>
            <w:noProof/>
            <w:webHidden/>
          </w:rPr>
          <w:fldChar w:fldCharType="end"/>
        </w:r>
      </w:hyperlink>
    </w:p>
    <w:p w14:paraId="725BDBBD" w14:textId="3ECBECEC" w:rsidR="008704B1" w:rsidRDefault="008704B1">
      <w:pPr>
        <w:pStyle w:val="aff4"/>
        <w:rPr>
          <w:rFonts w:asciiTheme="minorHAnsi" w:eastAsiaTheme="minorEastAsia" w:hAnsiTheme="minorHAnsi" w:cstheme="minorBidi"/>
          <w:noProof/>
          <w:sz w:val="22"/>
          <w:lang w:val="en-PH" w:eastAsia="en-PH"/>
        </w:rPr>
      </w:pPr>
      <w:hyperlink w:anchor="_Toc210589593" w:history="1">
        <w:r w:rsidRPr="00267314">
          <w:rPr>
            <w:rStyle w:val="aff6"/>
            <w:rFonts w:cs="Arial"/>
            <w:noProof/>
          </w:rPr>
          <w:t>Figure 4: Quarry Locations</w:t>
        </w:r>
        <w:r>
          <w:rPr>
            <w:noProof/>
            <w:webHidden/>
          </w:rPr>
          <w:tab/>
        </w:r>
        <w:r>
          <w:rPr>
            <w:noProof/>
            <w:webHidden/>
          </w:rPr>
          <w:fldChar w:fldCharType="begin"/>
        </w:r>
        <w:r>
          <w:rPr>
            <w:noProof/>
            <w:webHidden/>
          </w:rPr>
          <w:instrText xml:space="preserve"> PAGEREF _Toc210589593 \h </w:instrText>
        </w:r>
        <w:r>
          <w:rPr>
            <w:noProof/>
            <w:webHidden/>
          </w:rPr>
        </w:r>
        <w:r>
          <w:rPr>
            <w:noProof/>
            <w:webHidden/>
          </w:rPr>
          <w:fldChar w:fldCharType="separate"/>
        </w:r>
        <w:r>
          <w:rPr>
            <w:noProof/>
            <w:webHidden/>
          </w:rPr>
          <w:t>12</w:t>
        </w:r>
        <w:r>
          <w:rPr>
            <w:noProof/>
            <w:webHidden/>
          </w:rPr>
          <w:fldChar w:fldCharType="end"/>
        </w:r>
      </w:hyperlink>
    </w:p>
    <w:p w14:paraId="4909CA56" w14:textId="594F08EC" w:rsidR="008704B1" w:rsidRDefault="008704B1">
      <w:pPr>
        <w:pStyle w:val="aff4"/>
        <w:rPr>
          <w:rFonts w:asciiTheme="minorHAnsi" w:eastAsiaTheme="minorEastAsia" w:hAnsiTheme="minorHAnsi" w:cstheme="minorBidi"/>
          <w:noProof/>
          <w:sz w:val="22"/>
          <w:lang w:val="en-PH" w:eastAsia="en-PH"/>
        </w:rPr>
      </w:pPr>
      <w:hyperlink w:anchor="_Toc210589594" w:history="1">
        <w:r w:rsidRPr="00267314">
          <w:rPr>
            <w:rStyle w:val="aff6"/>
            <w:rFonts w:cs="Arial"/>
            <w:noProof/>
          </w:rPr>
          <w:t>Figure 5: Development s for Kyzylzhar Station</w:t>
        </w:r>
        <w:r>
          <w:rPr>
            <w:noProof/>
            <w:webHidden/>
          </w:rPr>
          <w:tab/>
        </w:r>
        <w:r>
          <w:rPr>
            <w:noProof/>
            <w:webHidden/>
          </w:rPr>
          <w:fldChar w:fldCharType="begin"/>
        </w:r>
        <w:r>
          <w:rPr>
            <w:noProof/>
            <w:webHidden/>
          </w:rPr>
          <w:instrText xml:space="preserve"> PAGEREF _Toc210589594 \h </w:instrText>
        </w:r>
        <w:r>
          <w:rPr>
            <w:noProof/>
            <w:webHidden/>
          </w:rPr>
        </w:r>
        <w:r>
          <w:rPr>
            <w:noProof/>
            <w:webHidden/>
          </w:rPr>
          <w:fldChar w:fldCharType="separate"/>
        </w:r>
        <w:r>
          <w:rPr>
            <w:noProof/>
            <w:webHidden/>
          </w:rPr>
          <w:t>16</w:t>
        </w:r>
        <w:r>
          <w:rPr>
            <w:noProof/>
            <w:webHidden/>
          </w:rPr>
          <w:fldChar w:fldCharType="end"/>
        </w:r>
      </w:hyperlink>
    </w:p>
    <w:p w14:paraId="17A415A5" w14:textId="7A79F967" w:rsidR="008704B1" w:rsidRDefault="008704B1">
      <w:pPr>
        <w:pStyle w:val="aff4"/>
        <w:rPr>
          <w:rFonts w:asciiTheme="minorHAnsi" w:eastAsiaTheme="minorEastAsia" w:hAnsiTheme="minorHAnsi" w:cstheme="minorBidi"/>
          <w:noProof/>
          <w:sz w:val="22"/>
          <w:lang w:val="en-PH" w:eastAsia="en-PH"/>
        </w:rPr>
      </w:pPr>
      <w:hyperlink w:anchor="_Toc210589595" w:history="1">
        <w:r w:rsidRPr="00267314">
          <w:rPr>
            <w:rStyle w:val="aff6"/>
            <w:rFonts w:cs="Arial"/>
            <w:noProof/>
          </w:rPr>
          <w:t>Figure 6: Development Data for Karazhal Station</w:t>
        </w:r>
        <w:r>
          <w:rPr>
            <w:noProof/>
            <w:webHidden/>
          </w:rPr>
          <w:tab/>
        </w:r>
        <w:r>
          <w:rPr>
            <w:noProof/>
            <w:webHidden/>
          </w:rPr>
          <w:fldChar w:fldCharType="begin"/>
        </w:r>
        <w:r>
          <w:rPr>
            <w:noProof/>
            <w:webHidden/>
          </w:rPr>
          <w:instrText xml:space="preserve"> PAGEREF _Toc210589595 \h </w:instrText>
        </w:r>
        <w:r>
          <w:rPr>
            <w:noProof/>
            <w:webHidden/>
          </w:rPr>
        </w:r>
        <w:r>
          <w:rPr>
            <w:noProof/>
            <w:webHidden/>
          </w:rPr>
          <w:fldChar w:fldCharType="separate"/>
        </w:r>
        <w:r>
          <w:rPr>
            <w:noProof/>
            <w:webHidden/>
          </w:rPr>
          <w:t>18</w:t>
        </w:r>
        <w:r>
          <w:rPr>
            <w:noProof/>
            <w:webHidden/>
          </w:rPr>
          <w:fldChar w:fldCharType="end"/>
        </w:r>
      </w:hyperlink>
    </w:p>
    <w:p w14:paraId="0CDF0A99" w14:textId="74A013D7" w:rsidR="008704B1" w:rsidRDefault="008704B1">
      <w:pPr>
        <w:pStyle w:val="aff4"/>
        <w:rPr>
          <w:rFonts w:asciiTheme="minorHAnsi" w:eastAsiaTheme="minorEastAsia" w:hAnsiTheme="minorHAnsi" w:cstheme="minorBidi"/>
          <w:noProof/>
          <w:sz w:val="22"/>
          <w:lang w:val="en-PH" w:eastAsia="en-PH"/>
        </w:rPr>
      </w:pPr>
      <w:hyperlink w:anchor="_Toc210589596" w:history="1">
        <w:r w:rsidRPr="00267314">
          <w:rPr>
            <w:rStyle w:val="aff6"/>
            <w:rFonts w:cs="Arial"/>
            <w:noProof/>
          </w:rPr>
          <w:t>Figure 7: Development Data for Aktau Station</w:t>
        </w:r>
        <w:r>
          <w:rPr>
            <w:noProof/>
            <w:webHidden/>
          </w:rPr>
          <w:tab/>
        </w:r>
        <w:r>
          <w:rPr>
            <w:noProof/>
            <w:webHidden/>
          </w:rPr>
          <w:fldChar w:fldCharType="begin"/>
        </w:r>
        <w:r>
          <w:rPr>
            <w:noProof/>
            <w:webHidden/>
          </w:rPr>
          <w:instrText xml:space="preserve"> PAGEREF _Toc210589596 \h </w:instrText>
        </w:r>
        <w:r>
          <w:rPr>
            <w:noProof/>
            <w:webHidden/>
          </w:rPr>
        </w:r>
        <w:r>
          <w:rPr>
            <w:noProof/>
            <w:webHidden/>
          </w:rPr>
          <w:fldChar w:fldCharType="separate"/>
        </w:r>
        <w:r>
          <w:rPr>
            <w:noProof/>
            <w:webHidden/>
          </w:rPr>
          <w:t>19</w:t>
        </w:r>
        <w:r>
          <w:rPr>
            <w:noProof/>
            <w:webHidden/>
          </w:rPr>
          <w:fldChar w:fldCharType="end"/>
        </w:r>
      </w:hyperlink>
    </w:p>
    <w:p w14:paraId="63A65723" w14:textId="32CEC709" w:rsidR="008704B1" w:rsidRDefault="008704B1">
      <w:pPr>
        <w:pStyle w:val="aff4"/>
        <w:rPr>
          <w:rFonts w:asciiTheme="minorHAnsi" w:eastAsiaTheme="minorEastAsia" w:hAnsiTheme="minorHAnsi" w:cstheme="minorBidi"/>
          <w:noProof/>
          <w:sz w:val="22"/>
          <w:lang w:val="en-PH" w:eastAsia="en-PH"/>
        </w:rPr>
      </w:pPr>
      <w:hyperlink w:anchor="_Toc210589597" w:history="1">
        <w:r w:rsidRPr="00267314">
          <w:rPr>
            <w:rStyle w:val="aff6"/>
            <w:rFonts w:cs="Arial"/>
            <w:noProof/>
          </w:rPr>
          <w:t>Figure 8: Development Data for Mointy Station</w:t>
        </w:r>
        <w:r>
          <w:rPr>
            <w:noProof/>
            <w:webHidden/>
          </w:rPr>
          <w:tab/>
        </w:r>
        <w:r>
          <w:rPr>
            <w:noProof/>
            <w:webHidden/>
          </w:rPr>
          <w:fldChar w:fldCharType="begin"/>
        </w:r>
        <w:r>
          <w:rPr>
            <w:noProof/>
            <w:webHidden/>
          </w:rPr>
          <w:instrText xml:space="preserve"> PAGEREF _Toc210589597 \h </w:instrText>
        </w:r>
        <w:r>
          <w:rPr>
            <w:noProof/>
            <w:webHidden/>
          </w:rPr>
        </w:r>
        <w:r>
          <w:rPr>
            <w:noProof/>
            <w:webHidden/>
          </w:rPr>
          <w:fldChar w:fldCharType="separate"/>
        </w:r>
        <w:r>
          <w:rPr>
            <w:noProof/>
            <w:webHidden/>
          </w:rPr>
          <w:t>22</w:t>
        </w:r>
        <w:r>
          <w:rPr>
            <w:noProof/>
            <w:webHidden/>
          </w:rPr>
          <w:fldChar w:fldCharType="end"/>
        </w:r>
      </w:hyperlink>
    </w:p>
    <w:p w14:paraId="7F69C575" w14:textId="7BE7E489" w:rsidR="008704B1" w:rsidRDefault="008704B1">
      <w:pPr>
        <w:pStyle w:val="aff4"/>
        <w:rPr>
          <w:rFonts w:asciiTheme="minorHAnsi" w:eastAsiaTheme="minorEastAsia" w:hAnsiTheme="minorHAnsi" w:cstheme="minorBidi"/>
          <w:noProof/>
          <w:sz w:val="22"/>
          <w:lang w:val="en-PH" w:eastAsia="en-PH"/>
        </w:rPr>
      </w:pPr>
      <w:hyperlink w:anchor="_Toc210589598" w:history="1">
        <w:r w:rsidRPr="00267314">
          <w:rPr>
            <w:rStyle w:val="aff6"/>
            <w:rFonts w:cs="Arial"/>
            <w:noProof/>
          </w:rPr>
          <w:t>Figure 9: Earthwork and Grading Activities</w:t>
        </w:r>
        <w:r>
          <w:rPr>
            <w:noProof/>
            <w:webHidden/>
          </w:rPr>
          <w:tab/>
        </w:r>
        <w:r>
          <w:rPr>
            <w:noProof/>
            <w:webHidden/>
          </w:rPr>
          <w:fldChar w:fldCharType="begin"/>
        </w:r>
        <w:r>
          <w:rPr>
            <w:noProof/>
            <w:webHidden/>
          </w:rPr>
          <w:instrText xml:space="preserve"> PAGEREF _Toc210589598 \h </w:instrText>
        </w:r>
        <w:r>
          <w:rPr>
            <w:noProof/>
            <w:webHidden/>
          </w:rPr>
        </w:r>
        <w:r>
          <w:rPr>
            <w:noProof/>
            <w:webHidden/>
          </w:rPr>
          <w:fldChar w:fldCharType="separate"/>
        </w:r>
        <w:r>
          <w:rPr>
            <w:noProof/>
            <w:webHidden/>
          </w:rPr>
          <w:t>25</w:t>
        </w:r>
        <w:r>
          <w:rPr>
            <w:noProof/>
            <w:webHidden/>
          </w:rPr>
          <w:fldChar w:fldCharType="end"/>
        </w:r>
      </w:hyperlink>
    </w:p>
    <w:p w14:paraId="17C9215A" w14:textId="448F1659" w:rsidR="008704B1" w:rsidRDefault="008704B1">
      <w:pPr>
        <w:pStyle w:val="aff4"/>
        <w:rPr>
          <w:rFonts w:asciiTheme="minorHAnsi" w:eastAsiaTheme="minorEastAsia" w:hAnsiTheme="minorHAnsi" w:cstheme="minorBidi"/>
          <w:noProof/>
          <w:sz w:val="22"/>
          <w:lang w:val="en-PH" w:eastAsia="en-PH"/>
        </w:rPr>
      </w:pPr>
      <w:hyperlink w:anchor="_Toc210589599" w:history="1">
        <w:r w:rsidRPr="00267314">
          <w:rPr>
            <w:rStyle w:val="aff6"/>
            <w:rFonts w:cs="Arial"/>
            <w:noProof/>
          </w:rPr>
          <w:t>Figure 10: Tack Laying Works</w:t>
        </w:r>
        <w:r>
          <w:rPr>
            <w:noProof/>
            <w:webHidden/>
          </w:rPr>
          <w:tab/>
        </w:r>
        <w:r>
          <w:rPr>
            <w:noProof/>
            <w:webHidden/>
          </w:rPr>
          <w:fldChar w:fldCharType="begin"/>
        </w:r>
        <w:r>
          <w:rPr>
            <w:noProof/>
            <w:webHidden/>
          </w:rPr>
          <w:instrText xml:space="preserve"> PAGEREF _Toc210589599 \h </w:instrText>
        </w:r>
        <w:r>
          <w:rPr>
            <w:noProof/>
            <w:webHidden/>
          </w:rPr>
        </w:r>
        <w:r>
          <w:rPr>
            <w:noProof/>
            <w:webHidden/>
          </w:rPr>
          <w:fldChar w:fldCharType="separate"/>
        </w:r>
        <w:r>
          <w:rPr>
            <w:noProof/>
            <w:webHidden/>
          </w:rPr>
          <w:t>25</w:t>
        </w:r>
        <w:r>
          <w:rPr>
            <w:noProof/>
            <w:webHidden/>
          </w:rPr>
          <w:fldChar w:fldCharType="end"/>
        </w:r>
      </w:hyperlink>
    </w:p>
    <w:p w14:paraId="1A113950" w14:textId="512FF9AB" w:rsidR="008704B1" w:rsidRDefault="008704B1">
      <w:pPr>
        <w:pStyle w:val="aff4"/>
        <w:rPr>
          <w:rFonts w:asciiTheme="minorHAnsi" w:eastAsiaTheme="minorEastAsia" w:hAnsiTheme="minorHAnsi" w:cstheme="minorBidi"/>
          <w:noProof/>
          <w:sz w:val="22"/>
          <w:lang w:val="en-PH" w:eastAsia="en-PH"/>
        </w:rPr>
      </w:pPr>
      <w:hyperlink w:anchor="_Toc210589600" w:history="1">
        <w:r w:rsidRPr="00267314">
          <w:rPr>
            <w:rStyle w:val="aff6"/>
            <w:rFonts w:cs="Arial"/>
            <w:noProof/>
          </w:rPr>
          <w:t>Figure 11: Railway Route Options</w:t>
        </w:r>
        <w:r>
          <w:rPr>
            <w:noProof/>
            <w:webHidden/>
          </w:rPr>
          <w:tab/>
        </w:r>
        <w:r>
          <w:rPr>
            <w:noProof/>
            <w:webHidden/>
          </w:rPr>
          <w:fldChar w:fldCharType="begin"/>
        </w:r>
        <w:r>
          <w:rPr>
            <w:noProof/>
            <w:webHidden/>
          </w:rPr>
          <w:instrText xml:space="preserve"> PAGEREF _Toc210589600 \h </w:instrText>
        </w:r>
        <w:r>
          <w:rPr>
            <w:noProof/>
            <w:webHidden/>
          </w:rPr>
        </w:r>
        <w:r>
          <w:rPr>
            <w:noProof/>
            <w:webHidden/>
          </w:rPr>
          <w:fldChar w:fldCharType="separate"/>
        </w:r>
        <w:r>
          <w:rPr>
            <w:noProof/>
            <w:webHidden/>
          </w:rPr>
          <w:t>34</w:t>
        </w:r>
        <w:r>
          <w:rPr>
            <w:noProof/>
            <w:webHidden/>
          </w:rPr>
          <w:fldChar w:fldCharType="end"/>
        </w:r>
      </w:hyperlink>
    </w:p>
    <w:p w14:paraId="21D06DB5" w14:textId="57199C6E" w:rsidR="008704B1" w:rsidRDefault="008704B1">
      <w:pPr>
        <w:pStyle w:val="aff4"/>
        <w:rPr>
          <w:rFonts w:asciiTheme="minorHAnsi" w:eastAsiaTheme="minorEastAsia" w:hAnsiTheme="minorHAnsi" w:cstheme="minorBidi"/>
          <w:noProof/>
          <w:sz w:val="22"/>
          <w:lang w:val="en-PH" w:eastAsia="en-PH"/>
        </w:rPr>
      </w:pPr>
      <w:hyperlink w:anchor="_Toc210589601" w:history="1">
        <w:r w:rsidRPr="00267314">
          <w:rPr>
            <w:rStyle w:val="aff6"/>
            <w:rFonts w:cs="Arial"/>
            <w:noProof/>
          </w:rPr>
          <w:t>Figure 12: Railway Alignment Crossing at 2 IBAs</w:t>
        </w:r>
        <w:r>
          <w:rPr>
            <w:noProof/>
            <w:webHidden/>
          </w:rPr>
          <w:tab/>
        </w:r>
        <w:r>
          <w:rPr>
            <w:noProof/>
            <w:webHidden/>
          </w:rPr>
          <w:fldChar w:fldCharType="begin"/>
        </w:r>
        <w:r>
          <w:rPr>
            <w:noProof/>
            <w:webHidden/>
          </w:rPr>
          <w:instrText xml:space="preserve"> PAGEREF _Toc210589601 \h </w:instrText>
        </w:r>
        <w:r>
          <w:rPr>
            <w:noProof/>
            <w:webHidden/>
          </w:rPr>
        </w:r>
        <w:r>
          <w:rPr>
            <w:noProof/>
            <w:webHidden/>
          </w:rPr>
          <w:fldChar w:fldCharType="separate"/>
        </w:r>
        <w:r>
          <w:rPr>
            <w:noProof/>
            <w:webHidden/>
          </w:rPr>
          <w:t>70</w:t>
        </w:r>
        <w:r>
          <w:rPr>
            <w:noProof/>
            <w:webHidden/>
          </w:rPr>
          <w:fldChar w:fldCharType="end"/>
        </w:r>
      </w:hyperlink>
    </w:p>
    <w:p w14:paraId="540D82B5" w14:textId="1B7D1104" w:rsidR="008704B1" w:rsidRDefault="008704B1">
      <w:pPr>
        <w:pStyle w:val="aff4"/>
        <w:rPr>
          <w:rFonts w:asciiTheme="minorHAnsi" w:eastAsiaTheme="minorEastAsia" w:hAnsiTheme="minorHAnsi" w:cstheme="minorBidi"/>
          <w:noProof/>
          <w:sz w:val="22"/>
          <w:lang w:val="en-PH" w:eastAsia="en-PH"/>
        </w:rPr>
      </w:pPr>
      <w:hyperlink w:anchor="_Toc210589602" w:history="1">
        <w:r w:rsidRPr="00267314">
          <w:rPr>
            <w:rStyle w:val="aff6"/>
            <w:rFonts w:cs="Arial"/>
            <w:noProof/>
          </w:rPr>
          <w:t>Figure 13: Railway Alignment Crossing at Andasai Cluster 2</w:t>
        </w:r>
        <w:r>
          <w:rPr>
            <w:noProof/>
            <w:webHidden/>
          </w:rPr>
          <w:tab/>
        </w:r>
        <w:r>
          <w:rPr>
            <w:noProof/>
            <w:webHidden/>
          </w:rPr>
          <w:fldChar w:fldCharType="begin"/>
        </w:r>
        <w:r>
          <w:rPr>
            <w:noProof/>
            <w:webHidden/>
          </w:rPr>
          <w:instrText xml:space="preserve"> PAGEREF _Toc210589602 \h </w:instrText>
        </w:r>
        <w:r>
          <w:rPr>
            <w:noProof/>
            <w:webHidden/>
          </w:rPr>
        </w:r>
        <w:r>
          <w:rPr>
            <w:noProof/>
            <w:webHidden/>
          </w:rPr>
          <w:fldChar w:fldCharType="separate"/>
        </w:r>
        <w:r>
          <w:rPr>
            <w:noProof/>
            <w:webHidden/>
          </w:rPr>
          <w:t>71</w:t>
        </w:r>
        <w:r>
          <w:rPr>
            <w:noProof/>
            <w:webHidden/>
          </w:rPr>
          <w:fldChar w:fldCharType="end"/>
        </w:r>
      </w:hyperlink>
    </w:p>
    <w:p w14:paraId="255C3E4F" w14:textId="14B502B1" w:rsidR="008704B1" w:rsidRDefault="008704B1">
      <w:pPr>
        <w:pStyle w:val="aff4"/>
        <w:rPr>
          <w:rFonts w:asciiTheme="minorHAnsi" w:eastAsiaTheme="minorEastAsia" w:hAnsiTheme="minorHAnsi" w:cstheme="minorBidi"/>
          <w:noProof/>
          <w:sz w:val="22"/>
          <w:lang w:val="en-PH" w:eastAsia="en-PH"/>
        </w:rPr>
      </w:pPr>
      <w:hyperlink w:anchor="_Toc210589603" w:history="1">
        <w:r w:rsidRPr="00267314">
          <w:rPr>
            <w:rStyle w:val="aff6"/>
            <w:rFonts w:cs="Arial"/>
            <w:noProof/>
          </w:rPr>
          <w:t>Figure 14: Natural and Modified Habitats affected by the Project</w:t>
        </w:r>
        <w:r>
          <w:rPr>
            <w:noProof/>
            <w:webHidden/>
          </w:rPr>
          <w:tab/>
        </w:r>
        <w:r>
          <w:rPr>
            <w:noProof/>
            <w:webHidden/>
          </w:rPr>
          <w:fldChar w:fldCharType="begin"/>
        </w:r>
        <w:r>
          <w:rPr>
            <w:noProof/>
            <w:webHidden/>
          </w:rPr>
          <w:instrText xml:space="preserve"> PAGEREF _Toc210589603 \h </w:instrText>
        </w:r>
        <w:r>
          <w:rPr>
            <w:noProof/>
            <w:webHidden/>
          </w:rPr>
        </w:r>
        <w:r>
          <w:rPr>
            <w:noProof/>
            <w:webHidden/>
          </w:rPr>
          <w:fldChar w:fldCharType="separate"/>
        </w:r>
        <w:r>
          <w:rPr>
            <w:noProof/>
            <w:webHidden/>
          </w:rPr>
          <w:t>72</w:t>
        </w:r>
        <w:r>
          <w:rPr>
            <w:noProof/>
            <w:webHidden/>
          </w:rPr>
          <w:fldChar w:fldCharType="end"/>
        </w:r>
      </w:hyperlink>
    </w:p>
    <w:p w14:paraId="5ECF2D65" w14:textId="16437343" w:rsidR="008704B1" w:rsidRDefault="008704B1">
      <w:pPr>
        <w:pStyle w:val="aff4"/>
        <w:rPr>
          <w:rFonts w:asciiTheme="minorHAnsi" w:eastAsiaTheme="minorEastAsia" w:hAnsiTheme="minorHAnsi" w:cstheme="minorBidi"/>
          <w:noProof/>
          <w:sz w:val="22"/>
          <w:lang w:val="en-PH" w:eastAsia="en-PH"/>
        </w:rPr>
      </w:pPr>
      <w:hyperlink w:anchor="_Toc210589604" w:history="1">
        <w:r w:rsidRPr="00267314">
          <w:rPr>
            <w:rStyle w:val="aff6"/>
            <w:rFonts w:cs="Arial"/>
            <w:noProof/>
          </w:rPr>
          <w:t>Figure 15: Water Quality Sampling Location</w:t>
        </w:r>
        <w:r>
          <w:rPr>
            <w:noProof/>
            <w:webHidden/>
          </w:rPr>
          <w:tab/>
        </w:r>
        <w:r>
          <w:rPr>
            <w:noProof/>
            <w:webHidden/>
          </w:rPr>
          <w:fldChar w:fldCharType="begin"/>
        </w:r>
        <w:r>
          <w:rPr>
            <w:noProof/>
            <w:webHidden/>
          </w:rPr>
          <w:instrText xml:space="preserve"> PAGEREF _Toc210589604 \h </w:instrText>
        </w:r>
        <w:r>
          <w:rPr>
            <w:noProof/>
            <w:webHidden/>
          </w:rPr>
        </w:r>
        <w:r>
          <w:rPr>
            <w:noProof/>
            <w:webHidden/>
          </w:rPr>
          <w:fldChar w:fldCharType="separate"/>
        </w:r>
        <w:r>
          <w:rPr>
            <w:noProof/>
            <w:webHidden/>
          </w:rPr>
          <w:t>85</w:t>
        </w:r>
        <w:r>
          <w:rPr>
            <w:noProof/>
            <w:webHidden/>
          </w:rPr>
          <w:fldChar w:fldCharType="end"/>
        </w:r>
      </w:hyperlink>
    </w:p>
    <w:p w14:paraId="4D0D6D95" w14:textId="6C2A9BBD" w:rsidR="008704B1" w:rsidRDefault="008704B1">
      <w:pPr>
        <w:pStyle w:val="aff4"/>
        <w:rPr>
          <w:rFonts w:asciiTheme="minorHAnsi" w:eastAsiaTheme="minorEastAsia" w:hAnsiTheme="minorHAnsi" w:cstheme="minorBidi"/>
          <w:noProof/>
          <w:sz w:val="22"/>
          <w:lang w:val="en-PH" w:eastAsia="en-PH"/>
        </w:rPr>
      </w:pPr>
      <w:hyperlink w:anchor="_Toc210589605" w:history="1">
        <w:r w:rsidRPr="00267314">
          <w:rPr>
            <w:rStyle w:val="aff6"/>
            <w:rFonts w:cs="Arial"/>
            <w:noProof/>
          </w:rPr>
          <w:t>Figure 16: Air Quality and Noise Measurement Sampling Locations</w:t>
        </w:r>
        <w:r>
          <w:rPr>
            <w:noProof/>
            <w:webHidden/>
          </w:rPr>
          <w:tab/>
        </w:r>
        <w:r>
          <w:rPr>
            <w:noProof/>
            <w:webHidden/>
          </w:rPr>
          <w:fldChar w:fldCharType="begin"/>
        </w:r>
        <w:r>
          <w:rPr>
            <w:noProof/>
            <w:webHidden/>
          </w:rPr>
          <w:instrText xml:space="preserve"> PAGEREF _Toc210589605 \h </w:instrText>
        </w:r>
        <w:r>
          <w:rPr>
            <w:noProof/>
            <w:webHidden/>
          </w:rPr>
        </w:r>
        <w:r>
          <w:rPr>
            <w:noProof/>
            <w:webHidden/>
          </w:rPr>
          <w:fldChar w:fldCharType="separate"/>
        </w:r>
        <w:r>
          <w:rPr>
            <w:noProof/>
            <w:webHidden/>
          </w:rPr>
          <w:t>90</w:t>
        </w:r>
        <w:r>
          <w:rPr>
            <w:noProof/>
            <w:webHidden/>
          </w:rPr>
          <w:fldChar w:fldCharType="end"/>
        </w:r>
      </w:hyperlink>
    </w:p>
    <w:p w14:paraId="2BFA7FA0" w14:textId="1C722427" w:rsidR="00517A3E" w:rsidRPr="002B3F36" w:rsidRDefault="00517A3E" w:rsidP="000E123E">
      <w:pPr>
        <w:spacing w:line="242" w:lineRule="exact"/>
        <w:jc w:val="center"/>
        <w:rPr>
          <w:rFonts w:ascii="Arial" w:hAnsi="Arial" w:cs="Arial"/>
          <w:b/>
          <w:bCs/>
          <w:sz w:val="24"/>
          <w:szCs w:val="28"/>
        </w:rPr>
      </w:pPr>
      <w:r w:rsidRPr="002B3F36">
        <w:rPr>
          <w:rFonts w:ascii="Arial" w:hAnsi="Arial" w:cs="Arial"/>
          <w:b/>
          <w:sz w:val="24"/>
          <w:szCs w:val="28"/>
        </w:rPr>
        <w:fldChar w:fldCharType="end"/>
      </w:r>
    </w:p>
    <w:p w14:paraId="26E67770" w14:textId="77777777" w:rsidR="00F61F8E" w:rsidRPr="002B3F36" w:rsidRDefault="00F61F8E" w:rsidP="00B32FEB">
      <w:pPr>
        <w:pStyle w:val="ReportBodyPar"/>
      </w:pPr>
    </w:p>
    <w:p w14:paraId="7280D31C" w14:textId="77777777" w:rsidR="00F61F8E" w:rsidRPr="002B3F36" w:rsidRDefault="00F61F8E" w:rsidP="00B32FEB">
      <w:pPr>
        <w:pStyle w:val="ReportBodyPar"/>
      </w:pPr>
    </w:p>
    <w:p w14:paraId="532FC7B1" w14:textId="77777777" w:rsidR="00F61F8E" w:rsidRPr="002B3F36" w:rsidRDefault="00F61F8E" w:rsidP="00B32FEB">
      <w:pPr>
        <w:pStyle w:val="ReportBodyPar"/>
      </w:pPr>
    </w:p>
    <w:p w14:paraId="6B0CA824" w14:textId="77777777" w:rsidR="00F61F8E" w:rsidRPr="002B3F36" w:rsidRDefault="00F61F8E" w:rsidP="00B32FEB">
      <w:pPr>
        <w:pStyle w:val="ReportBodyPar"/>
      </w:pPr>
    </w:p>
    <w:p w14:paraId="5F9B5AEC" w14:textId="77777777" w:rsidR="00F61F8E" w:rsidRPr="002B3F36" w:rsidRDefault="00F61F8E" w:rsidP="00B32FEB">
      <w:pPr>
        <w:pStyle w:val="ReportBodyPar"/>
      </w:pPr>
    </w:p>
    <w:p w14:paraId="72DB017A" w14:textId="77777777" w:rsidR="00F61F8E" w:rsidRPr="002B3F36" w:rsidRDefault="00F61F8E">
      <w:pPr>
        <w:spacing w:line="242" w:lineRule="exact"/>
        <w:jc w:val="both"/>
        <w:rPr>
          <w:rFonts w:ascii="Arial" w:hAnsi="Arial" w:cs="Arial"/>
          <w:sz w:val="20"/>
        </w:rPr>
        <w:sectPr w:rsidR="00F61F8E" w:rsidRPr="002B3F36">
          <w:footerReference w:type="default" r:id="rId19"/>
          <w:pgSz w:w="11910" w:h="16840"/>
          <w:pgMar w:top="860" w:right="1290" w:bottom="1100" w:left="1350" w:header="568" w:footer="912" w:gutter="0"/>
          <w:pgNumType w:fmt="lowerRoman" w:start="1"/>
          <w:cols w:space="720"/>
        </w:sectPr>
      </w:pPr>
    </w:p>
    <w:p w14:paraId="56D4A752" w14:textId="77777777" w:rsidR="00F61F8E" w:rsidRPr="002B3F36" w:rsidRDefault="000F264B">
      <w:pPr>
        <w:pStyle w:val="1"/>
        <w:numPr>
          <w:ilvl w:val="0"/>
          <w:numId w:val="1"/>
        </w:numPr>
        <w:autoSpaceDE/>
        <w:autoSpaceDN/>
        <w:spacing w:line="253" w:lineRule="auto"/>
        <w:ind w:right="72"/>
        <w:jc w:val="both"/>
        <w:rPr>
          <w:rFonts w:cs="Arial"/>
        </w:rPr>
      </w:pPr>
      <w:bookmarkStart w:id="2" w:name="_Toc208973705"/>
      <w:bookmarkStart w:id="3" w:name="_Toc208973900"/>
      <w:bookmarkStart w:id="4" w:name="_Toc208974100"/>
      <w:bookmarkStart w:id="5" w:name="_Toc208974302"/>
      <w:bookmarkStart w:id="6" w:name="_Toc208974515"/>
      <w:bookmarkStart w:id="7" w:name="_Toc210589384"/>
      <w:r w:rsidRPr="002B3F36">
        <w:rPr>
          <w:rFonts w:cs="Arial"/>
        </w:rPr>
        <w:lastRenderedPageBreak/>
        <w:t>INTRODUCTION</w:t>
      </w:r>
      <w:bookmarkEnd w:id="2"/>
      <w:bookmarkEnd w:id="3"/>
      <w:bookmarkEnd w:id="4"/>
      <w:bookmarkEnd w:id="5"/>
      <w:bookmarkEnd w:id="6"/>
      <w:bookmarkEnd w:id="7"/>
    </w:p>
    <w:p w14:paraId="3723D453" w14:textId="77777777" w:rsidR="00F61F8E" w:rsidRPr="002B3F36" w:rsidRDefault="000F264B">
      <w:pPr>
        <w:pStyle w:val="20"/>
      </w:pPr>
      <w:bookmarkStart w:id="8" w:name="_bookmark0"/>
      <w:bookmarkStart w:id="9" w:name="_bookmark1"/>
      <w:bookmarkStart w:id="10" w:name="_Toc208973706"/>
      <w:bookmarkStart w:id="11" w:name="_Toc208973901"/>
      <w:bookmarkStart w:id="12" w:name="_Toc208974101"/>
      <w:bookmarkStart w:id="13" w:name="_Toc208974303"/>
      <w:bookmarkStart w:id="14" w:name="_Toc208974516"/>
      <w:bookmarkStart w:id="15" w:name="_Toc210589385"/>
      <w:bookmarkEnd w:id="8"/>
      <w:bookmarkEnd w:id="9"/>
      <w:r w:rsidRPr="002B3F36">
        <w:t>Preamble</w:t>
      </w:r>
      <w:bookmarkEnd w:id="10"/>
      <w:bookmarkEnd w:id="11"/>
      <w:bookmarkEnd w:id="12"/>
      <w:bookmarkEnd w:id="13"/>
      <w:bookmarkEnd w:id="14"/>
      <w:bookmarkEnd w:id="15"/>
    </w:p>
    <w:p w14:paraId="74953E54" w14:textId="77777777" w:rsidR="00F61F8E" w:rsidRPr="002B3F36" w:rsidRDefault="00F61F8E">
      <w:pPr>
        <w:widowControl/>
        <w:autoSpaceDE/>
        <w:autoSpaceDN/>
        <w:jc w:val="both"/>
        <w:rPr>
          <w:rFonts w:ascii="Arial" w:eastAsia="Calibri" w:hAnsi="Arial" w:cs="Arial"/>
          <w:kern w:val="2"/>
          <w:sz w:val="24"/>
          <w:szCs w:val="24"/>
          <w:lang w:val="ru-RU"/>
          <w14:ligatures w14:val="standardContextual"/>
        </w:rPr>
      </w:pPr>
    </w:p>
    <w:p w14:paraId="38A8DC3B" w14:textId="0C1C4F3F" w:rsidR="00F61F8E" w:rsidRPr="00410663" w:rsidRDefault="000F264B" w:rsidP="00AF3655">
      <w:pPr>
        <w:pStyle w:val="ReportBodyPar"/>
      </w:pPr>
      <w:r w:rsidRPr="00410663">
        <w:t xml:space="preserve">The </w:t>
      </w:r>
      <w:r w:rsidR="009A2B44" w:rsidRPr="002B3F36">
        <w:t>World Bank (WB)</w:t>
      </w:r>
      <w:r w:rsidRPr="00410663">
        <w:t xml:space="preserve"> and the Asian Infrastructure Investment Bank (AIIB), hereafter referred to as the Development Finance Institutions (DFIs), are considering extending guarantees to support the financing of railway expansion and modernization activities in Kazakhstan.</w:t>
      </w:r>
      <w:r w:rsidRPr="002B3F36">
        <w:t xml:space="preserve"> The initiative encompasses one greenfield development. The Greenfield Project under the said initiative is the construction of a new railway from Kyzy</w:t>
      </w:r>
      <w:r w:rsidR="0080772D" w:rsidRPr="002B3F36">
        <w:t>l</w:t>
      </w:r>
      <w:r w:rsidRPr="002B3F36">
        <w:t xml:space="preserve">zhar, </w:t>
      </w:r>
      <w:r w:rsidR="005C152A">
        <w:t>Zhanaarka</w:t>
      </w:r>
      <w:r w:rsidRPr="002B3F36">
        <w:t xml:space="preserve"> District in the region of Ulytau</w:t>
      </w:r>
      <w:r w:rsidR="000F2B88" w:rsidRPr="002B3F36">
        <w:t>,</w:t>
      </w:r>
      <w:r w:rsidRPr="002B3F36">
        <w:t xml:space="preserve"> to Mointy, part of Shet District in </w:t>
      </w:r>
      <w:r w:rsidR="003A184C">
        <w:t>Karagandy</w:t>
      </w:r>
      <w:r w:rsidRPr="002B3F36">
        <w:t xml:space="preserve"> Region</w:t>
      </w:r>
      <w:r w:rsidR="000F2B88" w:rsidRPr="002B3F36">
        <w:t xml:space="preserve"> (the Project)</w:t>
      </w:r>
      <w:r w:rsidRPr="002B3F36">
        <w:t xml:space="preserve">. </w:t>
      </w:r>
    </w:p>
    <w:p w14:paraId="3BA7E630" w14:textId="425BC138" w:rsidR="00E105EF" w:rsidRDefault="00E105EF" w:rsidP="00AF3655">
      <w:pPr>
        <w:pStyle w:val="ReportBodyPar"/>
      </w:pPr>
    </w:p>
    <w:p w14:paraId="612E8082" w14:textId="1A872529" w:rsidR="00E105EF" w:rsidRDefault="00E105EF" w:rsidP="00AF3655">
      <w:pPr>
        <w:pStyle w:val="ReportBodyPar"/>
      </w:pPr>
      <w:r w:rsidRPr="00E105EF">
        <w:t>Construction began in May 2025; accordingly, certain provisions</w:t>
      </w:r>
      <w:r>
        <w:t xml:space="preserve"> in this</w:t>
      </w:r>
      <w:r w:rsidRPr="00E105EF">
        <w:t xml:space="preserve"> ESIA will be implemented retroactively.</w:t>
      </w:r>
    </w:p>
    <w:p w14:paraId="061EAAF3" w14:textId="77777777" w:rsidR="00E105EF" w:rsidRPr="00E105EF" w:rsidRDefault="00E105EF" w:rsidP="00AF3655">
      <w:pPr>
        <w:pStyle w:val="ReportBodyPar"/>
      </w:pPr>
    </w:p>
    <w:p w14:paraId="7450C2D5" w14:textId="6CC68A38" w:rsidR="00F61F8E" w:rsidRPr="00410663" w:rsidRDefault="000F264B" w:rsidP="00AF3655">
      <w:pPr>
        <w:pStyle w:val="ReportBodyPar"/>
      </w:pPr>
      <w:r w:rsidRPr="00410663">
        <w:t xml:space="preserve">The objective of the Project under consideration is to increase the efficiency of railway transportation, reduce the load on existing routes, and modernize the section from Mointy station to Kyzylzhar station. In the long term, this will significantly strengthen Kazakhstan’s transit potential and enhance the reliability of the entire logistics system. The construction of the </w:t>
      </w:r>
      <w:r w:rsidR="003650DB" w:rsidRPr="00410663">
        <w:t xml:space="preserve">Mointy – Kyzylzhar </w:t>
      </w:r>
      <w:r w:rsidRPr="00410663">
        <w:t>railway line will reduce the length of the Trans-Caspian International Transport Route by 150 kilometers.</w:t>
      </w:r>
    </w:p>
    <w:p w14:paraId="594F61E9" w14:textId="77777777" w:rsidR="00F61F8E" w:rsidRPr="00410663" w:rsidRDefault="00F61F8E" w:rsidP="00AF3655">
      <w:pPr>
        <w:pStyle w:val="ReportBodyPar"/>
      </w:pPr>
    </w:p>
    <w:p w14:paraId="556BFD49" w14:textId="3518EDC4" w:rsidR="00F61F8E" w:rsidRPr="00410663" w:rsidRDefault="000F264B" w:rsidP="00AF3655">
      <w:pPr>
        <w:pStyle w:val="ReportBodyPar"/>
      </w:pPr>
      <w:r w:rsidRPr="00410663">
        <w:t xml:space="preserve">The </w:t>
      </w:r>
      <w:r w:rsidR="003650DB" w:rsidRPr="00410663">
        <w:t xml:space="preserve">Mointy – Kyzylzhar </w:t>
      </w:r>
      <w:r w:rsidRPr="00410663">
        <w:t>Greenfield Railway Construction Project will deliver a 32</w:t>
      </w:r>
      <w:r w:rsidR="005C152A" w:rsidRPr="00A846C7">
        <w:t>2</w:t>
      </w:r>
      <w:r w:rsidR="005C152A">
        <w:t>.2</w:t>
      </w:r>
      <w:r w:rsidRPr="00410663">
        <w:t>-kilometer single-track railway line equipped with 1520-mm R65 rails, modern signaling and telecommunication systems, and associated engineering infrastructure. By reducing the load on the existing Mointy–Zharyk corridor, shortening overall transit distances by 1</w:t>
      </w:r>
      <w:r w:rsidRPr="002B3F36">
        <w:t>50</w:t>
      </w:r>
      <w:r w:rsidRPr="00410663">
        <w:t xml:space="preserve"> km, and enabling double-stacked container operations, the project will strengthen Kazakhstan’s role as a key transport hub along the Trans-Caspian International Transport Route (TITR) and the wider Middle Corridor.</w:t>
      </w:r>
    </w:p>
    <w:p w14:paraId="2AE0CAF6" w14:textId="77777777" w:rsidR="00F61F8E" w:rsidRPr="00410663" w:rsidRDefault="00F61F8E" w:rsidP="00AF3655">
      <w:pPr>
        <w:pStyle w:val="ReportBodyPar"/>
      </w:pPr>
    </w:p>
    <w:p w14:paraId="0CD7195C" w14:textId="33140132" w:rsidR="00F61F8E" w:rsidRPr="00410663" w:rsidRDefault="00D636BF" w:rsidP="00F30C2C">
      <w:pPr>
        <w:pStyle w:val="ReportBodyPar"/>
      </w:pPr>
      <w:r w:rsidRPr="002B3F36">
        <w:t>A</w:t>
      </w:r>
      <w:r w:rsidR="00A96D3E" w:rsidRPr="002B3F36">
        <w:t xml:space="preserve">n Environmental and Social Impact Assessment (ESIA) is essential because it establishes a structured process for identifying, assessing, and managing potential environmental and social risks across all phases of a project’s lifecycle. Likewise, it provides for </w:t>
      </w:r>
      <w:r w:rsidR="000F264B" w:rsidRPr="00410663">
        <w:t xml:space="preserve"> a framework for identifying, assessing, and managing potential risks to biodiversity, land use, cultural heritage, community health and safety, and vulnerable groups. The ESIA aligns with Kazakhstan’s national legislation, the World Bank</w:t>
      </w:r>
      <w:r w:rsidR="00163238" w:rsidRPr="002B3F36">
        <w:t xml:space="preserve"> Group’s</w:t>
      </w:r>
      <w:r w:rsidR="000F264B" w:rsidRPr="00410663">
        <w:t xml:space="preserve"> Performance Standards (2012), </w:t>
      </w:r>
      <w:r w:rsidR="000F264B" w:rsidRPr="002B3F36">
        <w:t xml:space="preserve">and </w:t>
      </w:r>
      <w:r w:rsidR="000F264B" w:rsidRPr="00410663">
        <w:t xml:space="preserve">World Bank Group EHS Guidelines, ensuring adherence to good international industry practice (GIIP). Its findings inform the development of Environmental and Social Management Plans (ESMPs) and thematic sub-plans—including those for biodiversity, stakeholder engagement, </w:t>
      </w:r>
      <w:r w:rsidR="002A30CB" w:rsidRPr="002B3F36">
        <w:t xml:space="preserve">land acquisition, </w:t>
      </w:r>
      <w:r w:rsidR="000F264B" w:rsidRPr="00410663">
        <w:t>and labor management—so that construction and operation of the Mointy</w:t>
      </w:r>
      <w:r w:rsidR="00C870E9" w:rsidRPr="002B3F36">
        <w:t xml:space="preserve"> </w:t>
      </w:r>
      <w:r w:rsidR="00C870E9" w:rsidRPr="00410663">
        <w:t>– Kyzylzhar</w:t>
      </w:r>
      <w:r w:rsidR="000F264B" w:rsidRPr="00410663">
        <w:t xml:space="preserve"> railway advance Kazakhstan’s connectivity and trade objectives while safeguarding ecological integrity, community well-being, and long-term sustainability.</w:t>
      </w:r>
    </w:p>
    <w:p w14:paraId="32F497AB" w14:textId="77777777" w:rsidR="00F61F8E" w:rsidRPr="00410663" w:rsidRDefault="00F61F8E" w:rsidP="00AF3655">
      <w:pPr>
        <w:pStyle w:val="ReportBodyPar"/>
      </w:pPr>
    </w:p>
    <w:p w14:paraId="5ED97CB3" w14:textId="1496BD2D" w:rsidR="00F61F8E" w:rsidRPr="002B3F36" w:rsidRDefault="000F264B" w:rsidP="00AF3655">
      <w:pPr>
        <w:pStyle w:val="ReportBodyPar"/>
        <w:rPr>
          <w:rFonts w:eastAsia="Arial"/>
          <w:lang w:eastAsia="en-PH"/>
        </w:rPr>
      </w:pPr>
      <w:r w:rsidRPr="002B3F36">
        <w:rPr>
          <w:rFonts w:eastAsia="Arial"/>
          <w:lang w:eastAsia="en-PH"/>
        </w:rPr>
        <w:t>The Project will be developed and implemented in alignment with the WB PS on Environmental and Social Sustainability (2012), which serves as the primary environmental and social framework for this assignment. Particular attention will be given to PS1 (Assessment and Management of Environmental and Social Risks and Impacts), PS2 (Labor and Working Conditions), PS3 (Resource Efficiency and Pollution Prevention), PS4 (Community Health, Safety, and Security), PS5 (Land Acquisition and Involuntary Resettlement),</w:t>
      </w:r>
      <w:r w:rsidR="00CA2A25" w:rsidRPr="002B3F36">
        <w:rPr>
          <w:rFonts w:eastAsia="Arial"/>
          <w:lang w:eastAsia="en-PH"/>
        </w:rPr>
        <w:t xml:space="preserve">PS6 (Biodiversity Conservation and Sustainable Management of Living Natural Resources) </w:t>
      </w:r>
      <w:r w:rsidRPr="002B3F36">
        <w:rPr>
          <w:rFonts w:eastAsia="Arial"/>
          <w:lang w:eastAsia="en-PH"/>
        </w:rPr>
        <w:t>PS7 (Indigenous Peoples, if applicable)</w:t>
      </w:r>
      <w:r w:rsidR="00CA2A25" w:rsidRPr="002B3F36">
        <w:rPr>
          <w:rFonts w:eastAsia="Arial"/>
          <w:lang w:eastAsia="en-PH"/>
        </w:rPr>
        <w:t xml:space="preserve"> and PS 8 (</w:t>
      </w:r>
      <w:r w:rsidR="00CA2A25" w:rsidRPr="002B3F36">
        <w:t>Cultural Heritage)</w:t>
      </w:r>
      <w:r w:rsidRPr="002B3F36">
        <w:rPr>
          <w:rFonts w:eastAsia="Arial"/>
          <w:lang w:eastAsia="en-PH"/>
        </w:rPr>
        <w:t xml:space="preserve">. The </w:t>
      </w:r>
      <w:r w:rsidRPr="002B3F36">
        <w:rPr>
          <w:rFonts w:eastAsia="Arial"/>
          <w:lang w:eastAsia="en-PH"/>
        </w:rPr>
        <w:lastRenderedPageBreak/>
        <w:t>approach will also be cross-referenced with national regulatory requirements and co-financing safeguards to ensure consistency.</w:t>
      </w:r>
    </w:p>
    <w:p w14:paraId="2A7208BF" w14:textId="77777777" w:rsidR="00F61F8E" w:rsidRPr="002B3F36" w:rsidRDefault="00F61F8E">
      <w:pPr>
        <w:pStyle w:val="ReportParagraph"/>
      </w:pPr>
    </w:p>
    <w:p w14:paraId="73C66352" w14:textId="77777777" w:rsidR="00F61F8E" w:rsidRPr="002B3F36" w:rsidRDefault="00F61F8E">
      <w:pPr>
        <w:pStyle w:val="ReportParagraph"/>
      </w:pPr>
    </w:p>
    <w:p w14:paraId="1CDD3C20" w14:textId="77777777" w:rsidR="00F61F8E" w:rsidRPr="002B3F36" w:rsidRDefault="000F264B">
      <w:pPr>
        <w:pStyle w:val="20"/>
      </w:pPr>
      <w:bookmarkStart w:id="16" w:name="_bookmark3"/>
      <w:bookmarkStart w:id="17" w:name="_Toc208973707"/>
      <w:bookmarkStart w:id="18" w:name="_Toc208973902"/>
      <w:bookmarkStart w:id="19" w:name="_Toc208974102"/>
      <w:bookmarkStart w:id="20" w:name="_Toc208974304"/>
      <w:bookmarkStart w:id="21" w:name="_Toc208974517"/>
      <w:bookmarkStart w:id="22" w:name="_Toc210589386"/>
      <w:bookmarkEnd w:id="16"/>
      <w:r w:rsidRPr="002B3F36">
        <w:t>Project overview</w:t>
      </w:r>
      <w:bookmarkEnd w:id="17"/>
      <w:bookmarkEnd w:id="18"/>
      <w:bookmarkEnd w:id="19"/>
      <w:bookmarkEnd w:id="20"/>
      <w:bookmarkEnd w:id="21"/>
      <w:bookmarkEnd w:id="22"/>
    </w:p>
    <w:p w14:paraId="6E584A80" w14:textId="77777777" w:rsidR="00F61F8E" w:rsidRPr="002B3F36" w:rsidRDefault="00F61F8E">
      <w:pPr>
        <w:pStyle w:val="ReportBodyPar"/>
        <w:rPr>
          <w:rFonts w:eastAsia="Verdana"/>
          <w:sz w:val="20"/>
          <w:szCs w:val="20"/>
          <w:lang w:eastAsia="en-US"/>
        </w:rPr>
      </w:pPr>
    </w:p>
    <w:p w14:paraId="4C2EF727" w14:textId="186655CB" w:rsidR="00F61F8E" w:rsidRPr="002B3F36" w:rsidRDefault="000F264B" w:rsidP="00AF3655">
      <w:pPr>
        <w:pStyle w:val="ReportBodyPar"/>
      </w:pPr>
      <w:r w:rsidRPr="002B3F36">
        <w:t>The Mointy–Kyzylzhar Greenfield Railway Project will construct a 32</w:t>
      </w:r>
      <w:r w:rsidR="005C152A">
        <w:t>2.2</w:t>
      </w:r>
      <w:r w:rsidRPr="002B3F36">
        <w:t>-kilometer line across Ulytau and Karagandy regions, creating a modern transport corridor that directly links into the Trans-Caspian International Transport Route (TITR). By opening a new east–west connection, the project reduces congestion on existing railways, strengthens regional mobility, and improves market access for local communities.</w:t>
      </w:r>
    </w:p>
    <w:p w14:paraId="40CC6750" w14:textId="77777777" w:rsidR="00F61F8E" w:rsidRPr="002B3F36" w:rsidRDefault="00F61F8E" w:rsidP="00AF3655">
      <w:pPr>
        <w:pStyle w:val="ReportBodyPar"/>
      </w:pPr>
    </w:p>
    <w:p w14:paraId="7CA44139" w14:textId="77777777" w:rsidR="00F61F8E" w:rsidRPr="002B3F36" w:rsidRDefault="000F264B" w:rsidP="00AF3655">
      <w:pPr>
        <w:pStyle w:val="ReportBodyPar"/>
      </w:pPr>
      <w:r w:rsidRPr="002B3F36">
        <w:t>For resource-based towns such as Zhezkazgan, the new line will lower transport costs and expand export opportunities for copper, uranium, and other commodities. Rural areas will also benefit from more reliable delivery of food, fuel, and building materials, while local residents gain jobs during construction and sustained demand for small businesses and services.</w:t>
      </w:r>
    </w:p>
    <w:p w14:paraId="44672DC1" w14:textId="77777777" w:rsidR="00F61F8E" w:rsidRPr="002B3F36" w:rsidRDefault="00F61F8E" w:rsidP="00AF3655">
      <w:pPr>
        <w:pStyle w:val="ReportBodyPar"/>
      </w:pPr>
    </w:p>
    <w:p w14:paraId="45531D4E" w14:textId="28F5FB34" w:rsidR="00F61F8E" w:rsidRPr="002B3F36" w:rsidRDefault="000F264B" w:rsidP="00AF3655">
      <w:pPr>
        <w:pStyle w:val="ReportBodyPar"/>
      </w:pPr>
      <w:r w:rsidRPr="002B3F36">
        <w:t>By combining national connectivity goals with tangible local socio-economic improvements, the Mointy–Kyzylzhar railway will enhance livelihoods in Ulytau and Karagand</w:t>
      </w:r>
      <w:r w:rsidR="003A184C">
        <w:t>y regions</w:t>
      </w:r>
      <w:r w:rsidRPr="002B3F36">
        <w:t xml:space="preserve"> while advancing Kazakhstan’s role as a key transit hub along the Middle Corridor. The map below depicts the local setting of the project.</w:t>
      </w:r>
    </w:p>
    <w:p w14:paraId="20980B29" w14:textId="585506E3" w:rsidR="00F61F8E" w:rsidRPr="002B3F36" w:rsidRDefault="00F61F8E" w:rsidP="00AF3655">
      <w:pPr>
        <w:pStyle w:val="ReportBodyPar"/>
      </w:pPr>
    </w:p>
    <w:p w14:paraId="5D9EDA4F" w14:textId="474B9A44" w:rsidR="00BB1A8C" w:rsidRPr="002B3F36" w:rsidRDefault="00BB1A8C" w:rsidP="00AF3655">
      <w:pPr>
        <w:pStyle w:val="ReportBodyPar"/>
      </w:pPr>
      <w:r w:rsidRPr="002B3F36">
        <w:rPr>
          <w:noProof/>
        </w:rPr>
        <w:drawing>
          <wp:inline distT="0" distB="0" distL="0" distR="0" wp14:anchorId="24DAEBC4" wp14:editId="3A69EB29">
            <wp:extent cx="6227580" cy="3556312"/>
            <wp:effectExtent l="0" t="0" r="190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38051" cy="3562292"/>
                    </a:xfrm>
                    <a:prstGeom prst="rect">
                      <a:avLst/>
                    </a:prstGeom>
                    <a:noFill/>
                  </pic:spPr>
                </pic:pic>
              </a:graphicData>
            </a:graphic>
          </wp:inline>
        </w:drawing>
      </w:r>
    </w:p>
    <w:p w14:paraId="39DC73C2" w14:textId="0C9DC134" w:rsidR="00FA7022" w:rsidRPr="002B3F36" w:rsidRDefault="00FA7022" w:rsidP="00FA7022">
      <w:pPr>
        <w:pStyle w:val="FigureCaption"/>
        <w:rPr>
          <w:rFonts w:cs="Arial"/>
        </w:rPr>
      </w:pPr>
      <w:bookmarkStart w:id="23" w:name="_Toc210589590"/>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1</w:t>
      </w:r>
      <w:r w:rsidRPr="002B3F36">
        <w:rPr>
          <w:rFonts w:cs="Arial"/>
        </w:rPr>
        <w:fldChar w:fldCharType="end"/>
      </w:r>
      <w:r w:rsidRPr="002B3F36">
        <w:rPr>
          <w:rFonts w:cs="Arial"/>
        </w:rPr>
        <w:t xml:space="preserve">: </w:t>
      </w:r>
      <w:r w:rsidR="00134907" w:rsidRPr="002B3F36">
        <w:rPr>
          <w:rFonts w:cs="Arial"/>
        </w:rPr>
        <w:t>The Project within the Middle Railway Corridor</w:t>
      </w:r>
      <w:bookmarkEnd w:id="23"/>
    </w:p>
    <w:p w14:paraId="3EAD3F42" w14:textId="77777777" w:rsidR="00FA7022" w:rsidRPr="002B3F36" w:rsidRDefault="00FA7022" w:rsidP="00AF3655">
      <w:pPr>
        <w:pStyle w:val="ReportBodyPar"/>
      </w:pPr>
    </w:p>
    <w:p w14:paraId="03F0E4DD" w14:textId="083E17F5" w:rsidR="00F61F8E" w:rsidRPr="00410663" w:rsidRDefault="000F264B" w:rsidP="00AF3655">
      <w:pPr>
        <w:pStyle w:val="ReportBodyPar"/>
        <w:rPr>
          <w:kern w:val="2"/>
          <w14:ligatures w14:val="standardContextual"/>
        </w:rPr>
      </w:pPr>
      <w:r w:rsidRPr="00410663">
        <w:rPr>
          <w:kern w:val="2"/>
          <w14:ligatures w14:val="standardContextual"/>
        </w:rPr>
        <w:t xml:space="preserve">The construction of the new </w:t>
      </w:r>
      <w:r w:rsidR="003650DB" w:rsidRPr="00410663">
        <w:rPr>
          <w:kern w:val="2"/>
          <w14:ligatures w14:val="standardContextual"/>
        </w:rPr>
        <w:t xml:space="preserve">Mointy – Kyzylzhar </w:t>
      </w:r>
      <w:r w:rsidRPr="00410663">
        <w:rPr>
          <w:kern w:val="2"/>
          <w14:ligatures w14:val="standardContextual"/>
        </w:rPr>
        <w:t xml:space="preserve">railway section will pass through the Shetsky district of the </w:t>
      </w:r>
      <w:r w:rsidR="003A184C">
        <w:rPr>
          <w:kern w:val="2"/>
          <w14:ligatures w14:val="standardContextual"/>
        </w:rPr>
        <w:t>Karagandy</w:t>
      </w:r>
      <w:r w:rsidRPr="00410663">
        <w:rPr>
          <w:kern w:val="2"/>
          <w14:ligatures w14:val="standardContextual"/>
        </w:rPr>
        <w:t xml:space="preserve"> region and the Zhanaarka district of the Ulytau region. The new railway route will be 32</w:t>
      </w:r>
      <w:r w:rsidR="005C152A">
        <w:rPr>
          <w:kern w:val="2"/>
          <w14:ligatures w14:val="standardContextual"/>
        </w:rPr>
        <w:t>2.2</w:t>
      </w:r>
      <w:r w:rsidRPr="00410663">
        <w:rPr>
          <w:kern w:val="2"/>
          <w14:ligatures w14:val="standardContextual"/>
        </w:rPr>
        <w:t xml:space="preserve"> kilometers long and will run away from settlements.</w:t>
      </w:r>
    </w:p>
    <w:p w14:paraId="4B8891E8" w14:textId="77777777" w:rsidR="00F61F8E" w:rsidRPr="002B3F36" w:rsidRDefault="00F61F8E" w:rsidP="00AF3655">
      <w:pPr>
        <w:pStyle w:val="ReportBodyPar"/>
        <w:rPr>
          <w:rFonts w:eastAsia="Arial"/>
          <w:lang w:eastAsia="en-PH"/>
        </w:rPr>
      </w:pPr>
    </w:p>
    <w:p w14:paraId="51523DC8" w14:textId="7FC31C1A" w:rsidR="00F61F8E" w:rsidRPr="002B3F36" w:rsidRDefault="000F264B" w:rsidP="00AF3655">
      <w:pPr>
        <w:pStyle w:val="ReportBodyPar"/>
      </w:pPr>
      <w:r w:rsidRPr="002B3F36">
        <w:t xml:space="preserve">The </w:t>
      </w:r>
      <w:r w:rsidR="003650DB" w:rsidRPr="002B3F36">
        <w:t xml:space="preserve">Mointy – Kyzylzhar </w:t>
      </w:r>
      <w:r w:rsidRPr="002B3F36">
        <w:t xml:space="preserve">Railway Project involves constructing a modern single-track line equipped with R65 rails, reinforced concrete sleepers, crushed-stone ballast, and </w:t>
      </w:r>
      <w:r w:rsidRPr="002B3F36">
        <w:lastRenderedPageBreak/>
        <w:t>aluminothermic welding technology to ensure continuous welded rails even under negative temperatures. The project will build a stable railbed using imported soils, reinforced slopes with geosynthetics and perennial grass hydroseeding, and full drainage infrastructure for long-term stability and erosion control. The railway design includes passing loops, modern signaling and telecommunications systems, and station upgrades to support high-capacity freight and passenger operations.</w:t>
      </w:r>
    </w:p>
    <w:p w14:paraId="5B190CF4" w14:textId="77777777" w:rsidR="00F61F8E" w:rsidRPr="002B3F36" w:rsidRDefault="00F61F8E" w:rsidP="00AF3655">
      <w:pPr>
        <w:pStyle w:val="ReportBodyPar"/>
      </w:pPr>
    </w:p>
    <w:p w14:paraId="6B12CAAC" w14:textId="4ACECE40" w:rsidR="00F61F8E" w:rsidRPr="002B3F36" w:rsidRDefault="000F264B" w:rsidP="00AF3655">
      <w:pPr>
        <w:pStyle w:val="ReportBodyPar"/>
      </w:pPr>
      <w:r w:rsidRPr="002B3F36">
        <w:t>Along the 32</w:t>
      </w:r>
      <w:r w:rsidR="005C152A">
        <w:t>2.2</w:t>
      </w:r>
      <w:r w:rsidRPr="002B3F36">
        <w:t xml:space="preserve">-kilometer alignment, the project provides for </w:t>
      </w:r>
      <w:r w:rsidR="005C152A">
        <w:t>1</w:t>
      </w:r>
      <w:r w:rsidR="0025494F">
        <w:t>7</w:t>
      </w:r>
      <w:r w:rsidRPr="002B3F36">
        <w:t xml:space="preserve"> passing points and </w:t>
      </w:r>
      <w:r w:rsidR="00A96D3E" w:rsidRPr="002B3F36">
        <w:t xml:space="preserve">two new </w:t>
      </w:r>
      <w:r w:rsidRPr="002B3F36">
        <w:t>station</w:t>
      </w:r>
      <w:r w:rsidR="00A96D3E" w:rsidRPr="002B3F36">
        <w:t xml:space="preserve">s at </w:t>
      </w:r>
      <w:r w:rsidR="00AC78ED" w:rsidRPr="002B3F36">
        <w:t>Karazhal and Aktau</w:t>
      </w:r>
      <w:r w:rsidRPr="002B3F36">
        <w:t>, including expanded reception-departure tracks, dead-end tracks for auxiliary operations, access lines for maintenance and power supply departments, and the reconstruction</w:t>
      </w:r>
      <w:r w:rsidR="00933AB6" w:rsidRPr="002B3F36">
        <w:t>/modernization</w:t>
      </w:r>
      <w:r w:rsidRPr="002B3F36">
        <w:t xml:space="preserve"> of both Kyzylzhar</w:t>
      </w:r>
      <w:r w:rsidR="005C152A">
        <w:t xml:space="preserve"> (with </w:t>
      </w:r>
      <w:r w:rsidR="0025494F">
        <w:t xml:space="preserve">construction of the </w:t>
      </w:r>
      <w:r w:rsidR="005C152A">
        <w:t>additional station)</w:t>
      </w:r>
      <w:r w:rsidRPr="002B3F36">
        <w:t xml:space="preserve"> and Mointy stations to handle increased train frequencies. By combining high-quality rail construction techniques with robust operational infrastructure, the project will enhance Kazakhstan’s transport capacity, reduce congestion on existing corridors, and support the country’s role as a major Eurasian transit hub.</w:t>
      </w:r>
    </w:p>
    <w:p w14:paraId="4AF6271D" w14:textId="77777777" w:rsidR="00F61F8E" w:rsidRPr="002B3F36" w:rsidRDefault="00F61F8E" w:rsidP="00AF3655">
      <w:pPr>
        <w:pStyle w:val="ReportBodyPar"/>
      </w:pPr>
    </w:p>
    <w:p w14:paraId="60475C79" w14:textId="77777777" w:rsidR="00F61F8E" w:rsidRPr="002B3F36" w:rsidRDefault="000F264B">
      <w:pPr>
        <w:pStyle w:val="20"/>
      </w:pPr>
      <w:bookmarkStart w:id="24" w:name="_bookmark6"/>
      <w:bookmarkStart w:id="25" w:name="_bookmark7"/>
      <w:bookmarkStart w:id="26" w:name="_Toc208973708"/>
      <w:bookmarkStart w:id="27" w:name="_Toc208973903"/>
      <w:bookmarkStart w:id="28" w:name="_Toc208974103"/>
      <w:bookmarkStart w:id="29" w:name="_Toc208974305"/>
      <w:bookmarkStart w:id="30" w:name="_Toc208974518"/>
      <w:bookmarkStart w:id="31" w:name="_Toc210589387"/>
      <w:bookmarkEnd w:id="24"/>
      <w:bookmarkEnd w:id="25"/>
      <w:r w:rsidRPr="002B3F36">
        <w:t>Limitations of the ESIA</w:t>
      </w:r>
      <w:bookmarkEnd w:id="26"/>
      <w:bookmarkEnd w:id="27"/>
      <w:bookmarkEnd w:id="28"/>
      <w:bookmarkEnd w:id="29"/>
      <w:bookmarkEnd w:id="30"/>
      <w:bookmarkEnd w:id="31"/>
    </w:p>
    <w:p w14:paraId="2CB37F1A" w14:textId="77777777" w:rsidR="00F61F8E" w:rsidRPr="002B3F36" w:rsidRDefault="00F61F8E">
      <w:pPr>
        <w:pStyle w:val="ReportParagraph"/>
      </w:pPr>
    </w:p>
    <w:p w14:paraId="7D1FC68F" w14:textId="4F9F477D" w:rsidR="00F61F8E" w:rsidRPr="002B3F36" w:rsidRDefault="000F264B" w:rsidP="00AF3655">
      <w:pPr>
        <w:pStyle w:val="ReportBodyPar"/>
      </w:pPr>
      <w:r w:rsidRPr="002B3F36">
        <w:t xml:space="preserve">The Environmental and Social Impact Assessment (ESIA) for the </w:t>
      </w:r>
      <w:r w:rsidR="003650DB" w:rsidRPr="002B3F36">
        <w:t xml:space="preserve">Mointy – Kyzylzhar </w:t>
      </w:r>
      <w:r w:rsidRPr="002B3F36">
        <w:t xml:space="preserve">Greenfield Railway Project was prepared under certain constraints that must be recognized in reviewing its findings. Because field surveys were conducted only during the summer months, key seasonal dynamics—such as winter snow accumulation and thaw, spring flooding, and autumn wildlife migration—were not directly observed. </w:t>
      </w:r>
      <w:r w:rsidR="00AC78ED" w:rsidRPr="002B3F36">
        <w:t xml:space="preserve">Moreover, at this stage of assessment, the project’s engineering design is still ongoing, which may introduce modifications that will later alter construction footprints, access routes; and </w:t>
      </w:r>
      <w:r w:rsidR="008D5118" w:rsidRPr="002B3F36">
        <w:t>consequently,</w:t>
      </w:r>
      <w:r w:rsidR="00AC78ED" w:rsidRPr="002B3F36">
        <w:t xml:space="preserve"> site-specific impacts, mitigation measures and other </w:t>
      </w:r>
      <w:r w:rsidR="008D5118" w:rsidRPr="002B3F36">
        <w:t>considerations. To</w:t>
      </w:r>
      <w:r w:rsidRPr="002B3F36">
        <w:t xml:space="preserve"> address these gaps, the assessment drew on published research studies, findings from similar infrastructure projects in the region, long-term hydrological and meteorological records from national and regional agencies, and existing biodiversity and land-use datasets. In addition, field observations from comparable environments, expert opinions from the Consulting Team, and input from environmental authorities and community representatives were incorporated to build a more complete understanding of seasonal variations. Further targeted monitoring during construction and early operations </w:t>
      </w:r>
      <w:r w:rsidR="00AC78ED" w:rsidRPr="002B3F36">
        <w:t xml:space="preserve">phases </w:t>
      </w:r>
      <w:r w:rsidRPr="002B3F36">
        <w:t xml:space="preserve">is recommended to validate these assumptions and update the Environmental and Social Management Plans (ESMPs) as needed. </w:t>
      </w:r>
    </w:p>
    <w:p w14:paraId="47114C0B" w14:textId="77777777" w:rsidR="00F61F8E" w:rsidRPr="002B3F36" w:rsidRDefault="00F61F8E" w:rsidP="00AF3655">
      <w:pPr>
        <w:pStyle w:val="ReportBodyPar"/>
      </w:pPr>
    </w:p>
    <w:p w14:paraId="7D9F11A4" w14:textId="7ACB56D2" w:rsidR="00F61F8E" w:rsidRPr="002B3F36" w:rsidRDefault="000F264B" w:rsidP="00AF3655">
      <w:pPr>
        <w:pStyle w:val="ReportBodyPar"/>
      </w:pPr>
      <w:r w:rsidRPr="002B3F36">
        <w:t xml:space="preserve">Further, comparable </w:t>
      </w:r>
      <w:r w:rsidR="0077285B" w:rsidRPr="002B3F36">
        <w:t xml:space="preserve">and supplemental </w:t>
      </w:r>
      <w:r w:rsidRPr="002B3F36">
        <w:t xml:space="preserve">insights are available from the nearby WB funded ESIA for the </w:t>
      </w:r>
      <w:r w:rsidR="003A184C">
        <w:t>Karagandy</w:t>
      </w:r>
      <w:r w:rsidRPr="002B3F36">
        <w:t>–Zhezkazgan road project</w:t>
      </w:r>
      <w:r w:rsidR="0077285B" w:rsidRPr="002B3F36">
        <w:t xml:space="preserve"> (A17)</w:t>
      </w:r>
      <w:r w:rsidRPr="002B3F36">
        <w:t>, which has been observed across late autumn, winter, and spring seasons (shown in the Ta</w:t>
      </w:r>
      <w:r w:rsidR="0077285B" w:rsidRPr="002B3F36">
        <w:t>b</w:t>
      </w:r>
      <w:r w:rsidRPr="002B3F36">
        <w:t xml:space="preserve">le below). </w:t>
      </w:r>
    </w:p>
    <w:p w14:paraId="50E51AF2" w14:textId="77777777" w:rsidR="00F61F8E" w:rsidRPr="002B3F36" w:rsidRDefault="00F61F8E" w:rsidP="00AF3655">
      <w:pPr>
        <w:pStyle w:val="ReportBodyPar"/>
      </w:pPr>
    </w:p>
    <w:p w14:paraId="00478C03" w14:textId="67BB1C3B" w:rsidR="00F61F8E" w:rsidRPr="002B3F36" w:rsidRDefault="00517A3E" w:rsidP="000E123E">
      <w:pPr>
        <w:pStyle w:val="CaptionTable"/>
        <w:rPr>
          <w:color w:val="1F497D"/>
          <w:sz w:val="18"/>
          <w:szCs w:val="18"/>
        </w:rPr>
      </w:pPr>
      <w:bookmarkStart w:id="32" w:name="_Toc210589545"/>
      <w:r w:rsidRPr="002B3F36">
        <w:t xml:space="preserve">Table </w:t>
      </w:r>
      <w:r w:rsidR="00F30C2C" w:rsidRPr="002B3F36">
        <w:fldChar w:fldCharType="begin"/>
      </w:r>
      <w:r w:rsidR="00F30C2C" w:rsidRPr="002B3F36">
        <w:rPr>
          <w:noProof/>
        </w:rPr>
        <w:instrText xml:space="preserve"> SEQ Table \* ARABIC </w:instrText>
      </w:r>
      <w:r w:rsidR="00F30C2C" w:rsidRPr="002B3F36">
        <w:fldChar w:fldCharType="separate"/>
      </w:r>
      <w:r w:rsidR="00A023DA">
        <w:rPr>
          <w:noProof/>
        </w:rPr>
        <w:t>1</w:t>
      </w:r>
      <w:r w:rsidR="00F30C2C" w:rsidRPr="002B3F36">
        <w:fldChar w:fldCharType="end"/>
      </w:r>
      <w:r w:rsidRPr="002B3F36">
        <w:t>:</w:t>
      </w:r>
      <w:r w:rsidR="0077285B" w:rsidRPr="002B3F36">
        <w:t xml:space="preserve"> Supplemental Reference Information for ESIA</w:t>
      </w:r>
      <w:bookmarkEnd w:id="32"/>
      <w:r w:rsidRPr="002B3F36">
        <w:t xml:space="preserve"> </w:t>
      </w:r>
    </w:p>
    <w:tbl>
      <w:tblPr>
        <w:tblW w:w="5005" w:type="pct"/>
        <w:tblInd w:w="-10" w:type="dxa"/>
        <w:shd w:val="clear" w:color="auto" w:fill="FFFFFF"/>
        <w:tblCellMar>
          <w:left w:w="0" w:type="dxa"/>
          <w:right w:w="0" w:type="dxa"/>
        </w:tblCellMar>
        <w:tblLook w:val="04A0" w:firstRow="1" w:lastRow="0" w:firstColumn="1" w:lastColumn="0" w:noHBand="0" w:noVBand="1"/>
      </w:tblPr>
      <w:tblGrid>
        <w:gridCol w:w="972"/>
        <w:gridCol w:w="1195"/>
        <w:gridCol w:w="1495"/>
        <w:gridCol w:w="1300"/>
        <w:gridCol w:w="1558"/>
        <w:gridCol w:w="1277"/>
        <w:gridCol w:w="1978"/>
      </w:tblGrid>
      <w:tr w:rsidR="00AF3655" w:rsidRPr="002B3F36" w14:paraId="025DB5B2" w14:textId="77777777" w:rsidTr="6ABB12D4">
        <w:trPr>
          <w:tblHeader/>
        </w:trPr>
        <w:tc>
          <w:tcPr>
            <w:tcW w:w="497" w:type="pct"/>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5F6439E0"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Season</w:t>
            </w:r>
          </w:p>
        </w:tc>
        <w:tc>
          <w:tcPr>
            <w:tcW w:w="611"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230D369F"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Dates</w:t>
            </w:r>
          </w:p>
        </w:tc>
        <w:tc>
          <w:tcPr>
            <w:tcW w:w="765"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CF528FC"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Source</w:t>
            </w:r>
          </w:p>
        </w:tc>
        <w:tc>
          <w:tcPr>
            <w:tcW w:w="665"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7432205D"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Taxonomic coverage</w:t>
            </w:r>
          </w:p>
        </w:tc>
        <w:tc>
          <w:tcPr>
            <w:tcW w:w="797"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210814D"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Relevance to project site</w:t>
            </w:r>
          </w:p>
        </w:tc>
        <w:tc>
          <w:tcPr>
            <w:tcW w:w="653"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0E3D4802"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Main methods</w:t>
            </w:r>
          </w:p>
        </w:tc>
        <w:tc>
          <w:tcPr>
            <w:tcW w:w="1012"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600030D1" w14:textId="77777777" w:rsidR="00F61F8E" w:rsidRPr="002B3F36" w:rsidRDefault="000F264B" w:rsidP="00AF3655">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Notes</w:t>
            </w:r>
          </w:p>
        </w:tc>
      </w:tr>
      <w:tr w:rsidR="00AF3655" w:rsidRPr="002B3F36" w14:paraId="26FCDF7E"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0101320"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Summer</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3BAABEF"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val="ru-RU" w:eastAsia="en-PH"/>
              </w:rPr>
              <w:t>28-31</w:t>
            </w:r>
            <w:r w:rsidRPr="002B3F36">
              <w:rPr>
                <w:rFonts w:ascii="Arial" w:eastAsia="Times New Roman" w:hAnsi="Arial" w:cs="Arial"/>
                <w:color w:val="222222"/>
                <w:sz w:val="20"/>
                <w:szCs w:val="20"/>
                <w:lang w:eastAsia="en-PH"/>
              </w:rPr>
              <w:t xml:space="preserve"> July 2025</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B62E398"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KTZ ESIA (2025)</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BC1E3AE" w14:textId="073D1149"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Terrestrial vertebrates</w:t>
            </w:r>
            <w:r w:rsidR="00740529" w:rsidRPr="002B3F36">
              <w:rPr>
                <w:rFonts w:ascii="Arial" w:eastAsia="Times New Roman" w:hAnsi="Arial" w:cs="Arial"/>
                <w:color w:val="222222"/>
                <w:sz w:val="20"/>
                <w:szCs w:val="20"/>
                <w:lang w:eastAsia="en-PH"/>
              </w:rPr>
              <w:t>, including avifauna</w:t>
            </w:r>
            <w:r w:rsidRPr="002B3F36">
              <w:rPr>
                <w:rFonts w:ascii="Arial" w:eastAsia="Times New Roman" w:hAnsi="Arial" w:cs="Arial"/>
                <w:color w:val="222222"/>
                <w:sz w:val="20"/>
                <w:szCs w:val="20"/>
                <w:lang w:eastAsia="en-PH"/>
              </w:rPr>
              <w:t>; Flowering plants;</w:t>
            </w:r>
          </w:p>
          <w:p w14:paraId="08488386" w14:textId="4D225790" w:rsidR="00F61F8E" w:rsidRPr="002B3F36" w:rsidRDefault="00F61F8E">
            <w:pPr>
              <w:rPr>
                <w:rFonts w:ascii="Arial" w:eastAsia="Times New Roman" w:hAnsi="Arial" w:cs="Arial"/>
                <w:color w:val="222222"/>
                <w:sz w:val="20"/>
                <w:szCs w:val="20"/>
                <w:lang w:eastAsia="en-PH"/>
              </w:rPr>
            </w:pP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0EA6227"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Within project footprint</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AC44E08"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Vegetation plots; transects (walking, vehicles, night spotlight)</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7F256E7"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w:t>
            </w:r>
          </w:p>
        </w:tc>
      </w:tr>
      <w:tr w:rsidR="00AF3655" w:rsidRPr="002B3F36" w14:paraId="5CE6C0D2"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E16BD1D"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Spring</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961E14B"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26-28 March 2024</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0CD955"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A17 ESIA (2024)</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6FA589C"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Saiga (</w:t>
            </w:r>
            <w:r w:rsidRPr="002B3F36">
              <w:rPr>
                <w:rFonts w:ascii="Arial" w:eastAsia="Times New Roman" w:hAnsi="Arial" w:cs="Arial"/>
                <w:i/>
                <w:color w:val="222222"/>
                <w:sz w:val="20"/>
                <w:szCs w:val="20"/>
                <w:lang w:eastAsia="en-PH"/>
              </w:rPr>
              <w:t>Saiga tatarica</w:t>
            </w:r>
            <w:r w:rsidRPr="002B3F36">
              <w:rPr>
                <w:rFonts w:ascii="Arial" w:eastAsia="Times New Roman" w:hAnsi="Arial" w:cs="Arial"/>
                <w:color w:val="222222"/>
                <w:sz w:val="20"/>
                <w:szCs w:val="20"/>
                <w:lang w:eastAsia="en-PH"/>
              </w:rPr>
              <w:t>)</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D26447E"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xml:space="preserve">Equivalent habitats 4 km away </w:t>
            </w:r>
            <w:r w:rsidRPr="002B3F36">
              <w:rPr>
                <w:rFonts w:ascii="Arial" w:eastAsia="Times New Roman" w:hAnsi="Arial" w:cs="Arial"/>
                <w:color w:val="222222"/>
                <w:sz w:val="20"/>
                <w:szCs w:val="20"/>
                <w:lang w:eastAsia="en-PH"/>
              </w:rPr>
              <w:lastRenderedPageBreak/>
              <w:t>(between Kyzylzhar and the railway)</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01E7E3A" w14:textId="77777777" w:rsidR="00F61F8E" w:rsidRPr="002B3F36" w:rsidRDefault="000F264B">
            <w:pPr>
              <w:rPr>
                <w:rFonts w:ascii="Arial" w:eastAsia="Times New Roman" w:hAnsi="Arial" w:cs="Arial"/>
                <w:color w:val="222222"/>
                <w:sz w:val="20"/>
                <w:szCs w:val="20"/>
                <w:lang w:eastAsia="en-PH"/>
              </w:rPr>
            </w:pPr>
            <w:r w:rsidRPr="002B3F36">
              <w:rPr>
                <w:rFonts w:ascii="Arial" w:hAnsi="Arial" w:cs="Arial"/>
                <w:sz w:val="20"/>
                <w:szCs w:val="20"/>
              </w:rPr>
              <w:lastRenderedPageBreak/>
              <w:t>Daily route accounting from a car</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CDD327D"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xml:space="preserve">The A17 is in the Kazakh semi-desert ecoregion </w:t>
            </w:r>
            <w:r w:rsidRPr="002B3F36">
              <w:rPr>
                <w:rFonts w:ascii="Arial" w:eastAsia="Times New Roman" w:hAnsi="Arial" w:cs="Arial"/>
                <w:color w:val="222222"/>
                <w:sz w:val="20"/>
                <w:szCs w:val="20"/>
                <w:lang w:eastAsia="en-PH"/>
              </w:rPr>
              <w:lastRenderedPageBreak/>
              <w:t>but is distant from the project footprint. There is a risk that some differences may exist in the 2 study areas.</w:t>
            </w:r>
          </w:p>
        </w:tc>
      </w:tr>
      <w:tr w:rsidR="00AF3655" w:rsidRPr="002B3F36" w14:paraId="66D8B905"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802935"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lastRenderedPageBreak/>
              <w:t>Spring</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EB9A5D5"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1-3 May 2024</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31B8C1B"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A17 ESIA (2024)</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2DADCB2"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Terrestrial vertebrates; Flowering plants;</w:t>
            </w:r>
          </w:p>
          <w:p w14:paraId="0151804B"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Birds</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EB378BE"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Equivalent habitats 4 km away (between Kyzylzhar and the railway)</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62BCD0B"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Vegetation plots; transects (walking, vehicles, night spotlight)</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965F0EE"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The A17 is in the Kazakh semi-desert ecoregion but is distant from the project footprint. There is a risk that some differences may exist in the 2 study areas.</w:t>
            </w:r>
          </w:p>
        </w:tc>
      </w:tr>
      <w:tr w:rsidR="00AF3655" w:rsidRPr="002B3F36" w14:paraId="7D053CE1"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33ED780"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Winter</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CDE0571"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val="ru-RU" w:eastAsia="en-PH"/>
              </w:rPr>
              <w:t xml:space="preserve">6-8 </w:t>
            </w:r>
            <w:r w:rsidRPr="002B3F36">
              <w:rPr>
                <w:rFonts w:ascii="Arial" w:eastAsia="Times New Roman" w:hAnsi="Arial" w:cs="Arial"/>
                <w:color w:val="222222"/>
                <w:sz w:val="20"/>
                <w:szCs w:val="20"/>
                <w:lang w:eastAsia="en-PH"/>
              </w:rPr>
              <w:t>December, 2023</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C83A5E1"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A17 ESIA (</w:t>
            </w:r>
            <w:r w:rsidRPr="002B3F36">
              <w:rPr>
                <w:rFonts w:ascii="Arial" w:eastAsia="Times New Roman" w:hAnsi="Arial" w:cs="Arial"/>
                <w:color w:val="222222"/>
                <w:sz w:val="20"/>
                <w:szCs w:val="20"/>
                <w:lang w:val="ru-RU" w:eastAsia="en-PH"/>
              </w:rPr>
              <w:t>2024</w:t>
            </w:r>
            <w:r w:rsidRPr="002B3F36">
              <w:rPr>
                <w:rFonts w:ascii="Arial" w:eastAsia="Times New Roman" w:hAnsi="Arial" w:cs="Arial"/>
                <w:color w:val="222222"/>
                <w:sz w:val="20"/>
                <w:szCs w:val="20"/>
                <w:lang w:eastAsia="en-PH"/>
              </w:rPr>
              <w:t>)</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2E3E366" w14:textId="062B3096" w:rsidR="00F61F8E" w:rsidRPr="002B3F36" w:rsidRDefault="000F264B" w:rsidP="00410663">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Terrestrial vertebrates</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977D80"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xml:space="preserve">Equivalent habitats </w:t>
            </w:r>
            <w:r w:rsidRPr="002B3F36">
              <w:rPr>
                <w:rFonts w:ascii="Arial" w:eastAsia="Times New Roman" w:hAnsi="Arial" w:cs="Arial"/>
                <w:color w:val="222222"/>
                <w:sz w:val="20"/>
                <w:szCs w:val="20"/>
                <w:lang w:val="ru-RU" w:eastAsia="en-PH"/>
              </w:rPr>
              <w:t>4</w:t>
            </w:r>
            <w:r w:rsidRPr="002B3F36">
              <w:rPr>
                <w:rFonts w:ascii="Arial" w:eastAsia="Times New Roman" w:hAnsi="Arial" w:cs="Arial"/>
                <w:color w:val="222222"/>
                <w:sz w:val="20"/>
                <w:szCs w:val="20"/>
                <w:lang w:eastAsia="en-PH"/>
              </w:rPr>
              <w:t xml:space="preserve"> km away</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DB648E1" w14:textId="77777777" w:rsidR="00F61F8E" w:rsidRPr="002B3F36" w:rsidRDefault="000F264B">
            <w:pPr>
              <w:rPr>
                <w:rFonts w:ascii="Arial" w:hAnsi="Arial" w:cs="Arial"/>
                <w:sz w:val="20"/>
                <w:szCs w:val="20"/>
              </w:rPr>
            </w:pPr>
            <w:r w:rsidRPr="002B3F36">
              <w:rPr>
                <w:rFonts w:ascii="Arial" w:hAnsi="Arial" w:cs="Arial"/>
                <w:sz w:val="20"/>
                <w:szCs w:val="20"/>
              </w:rPr>
              <w:t>Daily route accounting from a car;</w:t>
            </w:r>
          </w:p>
          <w:p w14:paraId="7516AE1C"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Transects (walking, vehicles, night spotlight)</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222683A"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There is a risk that some differences may exist in the 2 study areas.</w:t>
            </w:r>
          </w:p>
        </w:tc>
      </w:tr>
      <w:tr w:rsidR="00AF3655" w:rsidRPr="002B3F36" w14:paraId="33ED182D"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CFD6C57"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132260A"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28-31</w:t>
            </w:r>
            <w:r w:rsidRPr="002B3F36">
              <w:rPr>
                <w:rFonts w:ascii="Arial" w:eastAsia="Times New Roman" w:hAnsi="Arial" w:cs="Arial"/>
                <w:color w:val="222222"/>
                <w:sz w:val="20"/>
                <w:szCs w:val="20"/>
                <w:lang w:eastAsia="en-PH"/>
              </w:rPr>
              <w:t xml:space="preserve"> July 2025</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BEA1EB4"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KTZ ESIA (2025)</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FA8CDC3"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Saiga data</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9EA7ABE"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Within project footprint</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373C11D"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Interviews with local residents</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AC43333" w14:textId="77777777" w:rsidR="00F61F8E" w:rsidRPr="002B3F36" w:rsidRDefault="00F61F8E">
            <w:pPr>
              <w:rPr>
                <w:rFonts w:ascii="Arial" w:eastAsia="Times New Roman" w:hAnsi="Arial" w:cs="Arial"/>
                <w:color w:val="222222"/>
                <w:sz w:val="20"/>
                <w:szCs w:val="20"/>
                <w:lang w:eastAsia="en-PH"/>
              </w:rPr>
            </w:pPr>
          </w:p>
        </w:tc>
      </w:tr>
      <w:tr w:rsidR="00AF3655" w:rsidRPr="002B3F36" w14:paraId="3565C3CC"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C5385C"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E0FFC3D"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Since 2009</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64C6955"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ACBK</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C71AC10" w14:textId="6ADFCE1E" w:rsidR="00F61F8E" w:rsidRPr="002B3F36" w:rsidRDefault="000F264B" w:rsidP="007E35D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Saiga data</w:t>
            </w:r>
            <w:r w:rsidR="007E35D0" w:rsidRPr="002B3F36">
              <w:rPr>
                <w:rFonts w:ascii="Arial" w:eastAsia="Times New Roman" w:hAnsi="Arial" w:cs="Arial"/>
                <w:color w:val="222222"/>
                <w:sz w:val="20"/>
                <w:szCs w:val="20"/>
                <w:lang w:eastAsia="en-PH"/>
              </w:rPr>
              <w:t xml:space="preserve">, </w:t>
            </w:r>
            <w:r w:rsidR="007E35D0" w:rsidRPr="00A846C7">
              <w:rPr>
                <w:rFonts w:ascii="Arial" w:eastAsia="Times New Roman" w:hAnsi="Arial" w:cs="Arial"/>
                <w:color w:val="222222"/>
                <w:sz w:val="20"/>
                <w:szCs w:val="20"/>
                <w:lang w:val="en" w:eastAsia="en-PH"/>
              </w:rPr>
              <w:t>and some data on birds.</w:t>
            </w:r>
            <w:r w:rsidR="007E35D0" w:rsidRPr="002B3F36">
              <w:rPr>
                <w:rFonts w:ascii="Arial" w:eastAsia="Times New Roman" w:hAnsi="Arial" w:cs="Arial"/>
                <w:color w:val="222222"/>
                <w:sz w:val="20"/>
                <w:szCs w:val="20"/>
                <w:lang w:eastAsia="en-PH"/>
              </w:rPr>
              <w:t xml:space="preserve"> </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FE28E8B" w14:textId="77777777" w:rsidR="00F61F8E" w:rsidRPr="002B3F36" w:rsidRDefault="000F264B" w:rsidP="007E35D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16 years’ experience with relevant species in the region</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1835532"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Saiga satellite tagging data</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6682BD2"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Leading national expert on Kazakh Saiga data</w:t>
            </w:r>
          </w:p>
        </w:tc>
      </w:tr>
      <w:tr w:rsidR="00AF3655" w:rsidRPr="002B3F36" w14:paraId="20A8EBD0"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C153EE8"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F157778" w14:textId="05AA8662" w:rsidR="00F61F8E" w:rsidRPr="00410663" w:rsidRDefault="007E35D0">
            <w:pPr>
              <w:rPr>
                <w:rFonts w:ascii="Arial" w:eastAsia="Times New Roman" w:hAnsi="Arial" w:cs="Arial"/>
                <w:color w:val="222222"/>
                <w:sz w:val="20"/>
                <w:szCs w:val="20"/>
                <w:lang w:eastAsia="en-PH"/>
              </w:rPr>
            </w:pPr>
            <w:r w:rsidRPr="00A846C7">
              <w:rPr>
                <w:rFonts w:ascii="Arial" w:eastAsia="Times New Roman" w:hAnsi="Arial" w:cs="Arial"/>
                <w:color w:val="222222"/>
                <w:sz w:val="20"/>
                <w:szCs w:val="20"/>
                <w:lang w:eastAsia="en-PH"/>
              </w:rPr>
              <w:t>Several non-regular surveys for different projects in 2007-2023</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5952E07" w14:textId="77777777" w:rsidR="00F61F8E" w:rsidRPr="002B3F36" w:rsidRDefault="000F264B">
            <w:pPr>
              <w:rPr>
                <w:rFonts w:ascii="Arial" w:eastAsia="Times New Roman" w:hAnsi="Arial" w:cs="Arial"/>
                <w:color w:val="222222"/>
                <w:sz w:val="20"/>
                <w:szCs w:val="20"/>
                <w:lang w:eastAsia="en-PH"/>
              </w:rPr>
            </w:pPr>
            <w:r w:rsidRPr="002B3F36">
              <w:rPr>
                <w:rFonts w:ascii="Arial" w:hAnsi="Arial" w:cs="Arial"/>
                <w:color w:val="202122"/>
                <w:sz w:val="20"/>
                <w:szCs w:val="20"/>
                <w:shd w:val="clear" w:color="auto" w:fill="FFFFFF"/>
              </w:rPr>
              <w:t>Siberian Environmental Center</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713B0E9"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Birds</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76C9D7"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Within project footprint</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D2A05DC"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Transects (walking, vehicles, night spotlight)</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02FB112"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As part of the IBA Territory Survey, IBA data (Ortau, Ayak-Bestau)</w:t>
            </w:r>
          </w:p>
        </w:tc>
      </w:tr>
      <w:tr w:rsidR="00AF3655" w:rsidRPr="002B3F36" w14:paraId="2AA324B2"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B6B5019"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EEC9823"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Summer 2017</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5955460" w14:textId="77777777" w:rsidR="00F61F8E" w:rsidRPr="002B3F36" w:rsidRDefault="000F264B">
            <w:pPr>
              <w:rPr>
                <w:rFonts w:ascii="Arial" w:hAnsi="Arial" w:cs="Arial"/>
                <w:color w:val="202122"/>
                <w:sz w:val="20"/>
                <w:szCs w:val="20"/>
                <w:shd w:val="clear" w:color="auto" w:fill="FFFFFF"/>
              </w:rPr>
            </w:pPr>
            <w:r w:rsidRPr="002B3F36">
              <w:rPr>
                <w:rFonts w:ascii="Arial" w:hAnsi="Arial" w:cs="Arial"/>
                <w:color w:val="202122"/>
                <w:sz w:val="20"/>
                <w:szCs w:val="20"/>
                <w:shd w:val="clear" w:color="auto" w:fill="FFFFFF"/>
              </w:rPr>
              <w:t>ACBK</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CD2C2AA"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Birds</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C82BACB"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In accordance with the distribution area</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E44B8B8"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Transects (walking, vehicles, night spotlight)</w:t>
            </w: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D6F1C71"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As part of the Steppe Eagle project</w:t>
            </w:r>
          </w:p>
        </w:tc>
      </w:tr>
      <w:tr w:rsidR="00AF3655" w:rsidRPr="002B3F36" w14:paraId="6D45F1A4" w14:textId="77777777" w:rsidTr="6ABB12D4">
        <w:tc>
          <w:tcPr>
            <w:tcW w:w="497"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FC38E10"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C2DEE01"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Since 2010</w:t>
            </w:r>
          </w:p>
        </w:tc>
        <w:tc>
          <w:tcPr>
            <w:tcW w:w="7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106F50" w14:textId="65CEB3DE" w:rsidR="00F61F8E" w:rsidRPr="002B3F36" w:rsidRDefault="003A184C">
            <w:pPr>
              <w:rPr>
                <w:rFonts w:ascii="Arial" w:hAnsi="Arial" w:cs="Arial"/>
                <w:color w:val="202122"/>
                <w:sz w:val="20"/>
                <w:szCs w:val="20"/>
                <w:shd w:val="clear" w:color="auto" w:fill="FFFFFF"/>
              </w:rPr>
            </w:pPr>
            <w:r>
              <w:rPr>
                <w:rFonts w:ascii="Arial" w:hAnsi="Arial" w:cs="Arial"/>
                <w:color w:val="202122"/>
                <w:sz w:val="20"/>
                <w:szCs w:val="20"/>
                <w:shd w:val="clear" w:color="auto" w:fill="FFFFFF"/>
              </w:rPr>
              <w:t>Karagandy</w:t>
            </w:r>
            <w:r w:rsidR="000F264B" w:rsidRPr="002B3F36">
              <w:rPr>
                <w:rFonts w:ascii="Arial" w:hAnsi="Arial" w:cs="Arial"/>
                <w:color w:val="202122"/>
                <w:sz w:val="20"/>
                <w:szCs w:val="20"/>
                <w:shd w:val="clear" w:color="auto" w:fill="FFFFFF"/>
              </w:rPr>
              <w:t xml:space="preserve"> State University named after Buketov</w:t>
            </w:r>
          </w:p>
        </w:tc>
        <w:tc>
          <w:tcPr>
            <w:tcW w:w="665"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68B0675"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Vegetation of the Ortau mountain range</w:t>
            </w:r>
          </w:p>
        </w:tc>
        <w:tc>
          <w:tcPr>
            <w:tcW w:w="79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E83B1C3"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In accordance with the distribution area</w:t>
            </w:r>
          </w:p>
        </w:tc>
        <w:tc>
          <w:tcPr>
            <w:tcW w:w="653"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D47580A" w14:textId="77777777" w:rsidR="00F61F8E" w:rsidRPr="002B3F36" w:rsidRDefault="00F61F8E">
            <w:pPr>
              <w:rPr>
                <w:rFonts w:ascii="Arial" w:eastAsia="Times New Roman" w:hAnsi="Arial" w:cs="Arial"/>
                <w:color w:val="222222"/>
                <w:sz w:val="20"/>
                <w:szCs w:val="20"/>
                <w:lang w:eastAsia="en-PH"/>
              </w:rPr>
            </w:pPr>
          </w:p>
        </w:tc>
        <w:tc>
          <w:tcPr>
            <w:tcW w:w="101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5093513" w14:textId="77777777" w:rsidR="00F61F8E" w:rsidRPr="002B3F36" w:rsidRDefault="00F61F8E">
            <w:pPr>
              <w:rPr>
                <w:rFonts w:ascii="Arial" w:eastAsia="Times New Roman" w:hAnsi="Arial" w:cs="Arial"/>
                <w:color w:val="222222"/>
                <w:sz w:val="20"/>
                <w:szCs w:val="20"/>
                <w:lang w:eastAsia="en-PH"/>
              </w:rPr>
            </w:pPr>
          </w:p>
        </w:tc>
      </w:tr>
      <w:tr w:rsidR="00AF3655" w:rsidRPr="002B3F36" w14:paraId="37BFBCE3" w14:textId="77777777" w:rsidTr="6ABB12D4">
        <w:tc>
          <w:tcPr>
            <w:tcW w:w="497" w:type="pct"/>
            <w:tcBorders>
              <w:top w:val="nil"/>
              <w:left w:val="single" w:sz="8" w:space="0" w:color="auto"/>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2F541551"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7C29E44"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2025</w:t>
            </w:r>
          </w:p>
        </w:tc>
        <w:tc>
          <w:tcPr>
            <w:tcW w:w="765"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103E6861"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Kazakhstan Red Data Book</w:t>
            </w:r>
          </w:p>
        </w:tc>
        <w:tc>
          <w:tcPr>
            <w:tcW w:w="665"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5370444"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Rare species of plants and vertebrates</w:t>
            </w:r>
          </w:p>
        </w:tc>
        <w:tc>
          <w:tcPr>
            <w:tcW w:w="797"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6AAB72ED"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In accordance with the distribution area</w:t>
            </w:r>
          </w:p>
        </w:tc>
        <w:tc>
          <w:tcPr>
            <w:tcW w:w="653"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E64E036"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w:t>
            </w:r>
          </w:p>
        </w:tc>
        <w:tc>
          <w:tcPr>
            <w:tcW w:w="1012" w:type="pct"/>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0EFA69F6"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w:t>
            </w:r>
          </w:p>
        </w:tc>
      </w:tr>
      <w:tr w:rsidR="00AF3655" w:rsidRPr="002B3F36" w14:paraId="113EC244" w14:textId="77777777" w:rsidTr="6ABB12D4">
        <w:tc>
          <w:tcPr>
            <w:tcW w:w="497"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1BE24FC"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General</w:t>
            </w:r>
          </w:p>
        </w:tc>
        <w:tc>
          <w:tcPr>
            <w:tcW w:w="611"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069DAD32" w14:textId="77777777" w:rsidR="00F61F8E" w:rsidRPr="002B3F36" w:rsidRDefault="000F264B">
            <w:pPr>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val="ru-RU" w:eastAsia="en-PH"/>
              </w:rPr>
              <w:t>2025</w:t>
            </w:r>
          </w:p>
        </w:tc>
        <w:tc>
          <w:tcPr>
            <w:tcW w:w="765"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6A09FBE0"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IUCN Red List</w:t>
            </w:r>
          </w:p>
        </w:tc>
        <w:tc>
          <w:tcPr>
            <w:tcW w:w="665"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C10C0BB"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Rare species of plants and vertebrates</w:t>
            </w:r>
          </w:p>
        </w:tc>
        <w:tc>
          <w:tcPr>
            <w:tcW w:w="797"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49BE7F2E" w14:textId="77777777" w:rsidR="00F61F8E" w:rsidRPr="002B3F36" w:rsidRDefault="000F264B">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In accordance with the distribution area</w:t>
            </w:r>
          </w:p>
        </w:tc>
        <w:tc>
          <w:tcPr>
            <w:tcW w:w="653"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C21D8DC" w14:textId="77777777" w:rsidR="00F61F8E" w:rsidRPr="002B3F36" w:rsidRDefault="00F61F8E">
            <w:pPr>
              <w:rPr>
                <w:rFonts w:ascii="Arial" w:eastAsia="Times New Roman" w:hAnsi="Arial" w:cs="Arial"/>
                <w:color w:val="222222"/>
                <w:sz w:val="20"/>
                <w:szCs w:val="20"/>
                <w:lang w:eastAsia="en-PH"/>
              </w:rPr>
            </w:pPr>
          </w:p>
        </w:tc>
        <w:tc>
          <w:tcPr>
            <w:tcW w:w="1012" w:type="pct"/>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9893EE6" w14:textId="77777777" w:rsidR="00F61F8E" w:rsidRPr="002B3F36" w:rsidRDefault="00F61F8E">
            <w:pPr>
              <w:rPr>
                <w:rFonts w:ascii="Arial" w:eastAsia="Times New Roman" w:hAnsi="Arial" w:cs="Arial"/>
                <w:color w:val="222222"/>
                <w:sz w:val="20"/>
                <w:szCs w:val="20"/>
                <w:lang w:eastAsia="en-PH"/>
              </w:rPr>
            </w:pPr>
          </w:p>
        </w:tc>
      </w:tr>
    </w:tbl>
    <w:p w14:paraId="2FAF73D6" w14:textId="77777777" w:rsidR="00F61F8E" w:rsidRPr="002B3F36" w:rsidRDefault="00F61F8E">
      <w:pPr>
        <w:pStyle w:val="ReportParagraph"/>
      </w:pPr>
    </w:p>
    <w:p w14:paraId="66DCFF64" w14:textId="79F223F5" w:rsidR="00F61F8E" w:rsidRPr="002B3F36" w:rsidRDefault="000F264B" w:rsidP="00AF3655">
      <w:pPr>
        <w:pStyle w:val="ReportBodyPar"/>
      </w:pPr>
      <w:r w:rsidRPr="002B3F36">
        <w:t>The lessons drawn from that project, operating in a similar ecological and climatic context, provide valuable reference points for understanding seasonal conditions that were not captured during the present fieldwork. In addition, secondary information</w:t>
      </w:r>
      <w:r w:rsidR="009A2B44" w:rsidRPr="002B3F36">
        <w:t xml:space="preserve"> (</w:t>
      </w:r>
      <w:r w:rsidRPr="002B3F36">
        <w:t>ranging from hydrological records and climate datasets to biodiversity studies and published research</w:t>
      </w:r>
      <w:r w:rsidR="009A2B44" w:rsidRPr="002B3F36">
        <w:t xml:space="preserve">) </w:t>
      </w:r>
      <w:r w:rsidRPr="002B3F36">
        <w:t>can supplement primary field observations and help bridge information gaps caused by seasonal constraints.</w:t>
      </w:r>
    </w:p>
    <w:p w14:paraId="08E34638" w14:textId="77777777" w:rsidR="007E35D0" w:rsidRPr="002B3F36" w:rsidRDefault="007E35D0" w:rsidP="00AF3655">
      <w:pPr>
        <w:pStyle w:val="ReportBodyPar"/>
      </w:pPr>
    </w:p>
    <w:p w14:paraId="4501C8D9" w14:textId="12097BB5" w:rsidR="007E35D0" w:rsidRPr="00A846C7" w:rsidRDefault="007E35D0" w:rsidP="00F82096">
      <w:pPr>
        <w:jc w:val="both"/>
        <w:rPr>
          <w:rFonts w:ascii="Arial" w:eastAsia="Times New Roman" w:hAnsi="Arial" w:cs="Arial"/>
          <w:color w:val="222222"/>
          <w:sz w:val="24"/>
          <w:szCs w:val="24"/>
          <w:lang w:eastAsia="en-PH"/>
        </w:rPr>
      </w:pPr>
      <w:r w:rsidRPr="00A846C7">
        <w:rPr>
          <w:rFonts w:ascii="Arial" w:hAnsi="Arial" w:cs="Arial"/>
          <w:sz w:val="24"/>
          <w:szCs w:val="24"/>
        </w:rPr>
        <w:t xml:space="preserve">Several experts were involved in the biodiversity status evaluation: </w:t>
      </w:r>
      <w:r w:rsidRPr="00A846C7">
        <w:rPr>
          <w:rFonts w:ascii="Arial" w:eastAsia="Times New Roman" w:hAnsi="Arial" w:cs="Arial"/>
          <w:color w:val="222222"/>
          <w:sz w:val="24"/>
          <w:szCs w:val="24"/>
          <w:lang w:eastAsia="en-PH"/>
        </w:rPr>
        <w:t xml:space="preserve">1 Sklyarenko Sergey – PhD in Biology, over 40 years of work experience; 2. Salemgareev Albert - Master of Biology, Saiga Specialist, GIS Specialist, over 20 years of work experience; 3. Senyak Evgeniya - Master of Science in Biology, botanist, 20 years of experience; 4. Alexander Belyaev is a terriologist with over 40 years of experience. </w:t>
      </w:r>
    </w:p>
    <w:p w14:paraId="15224956" w14:textId="77777777" w:rsidR="00F61F8E" w:rsidRPr="002B3F36" w:rsidRDefault="00F61F8E" w:rsidP="00AF3655">
      <w:pPr>
        <w:pStyle w:val="ReportBodyPar"/>
      </w:pPr>
    </w:p>
    <w:p w14:paraId="4475C0BD" w14:textId="77777777" w:rsidR="00F61F8E" w:rsidRPr="002B3F36" w:rsidRDefault="00F61F8E">
      <w:pPr>
        <w:pStyle w:val="ReportParagraph"/>
      </w:pPr>
    </w:p>
    <w:p w14:paraId="746FF6D6" w14:textId="77777777" w:rsidR="00F61F8E" w:rsidRPr="002B3F36" w:rsidRDefault="000F264B">
      <w:pPr>
        <w:pStyle w:val="20"/>
      </w:pPr>
      <w:bookmarkStart w:id="33" w:name="_bookmark8"/>
      <w:bookmarkStart w:id="34" w:name="_Toc208973709"/>
      <w:bookmarkStart w:id="35" w:name="_Toc208973904"/>
      <w:bookmarkStart w:id="36" w:name="_Toc208974104"/>
      <w:bookmarkStart w:id="37" w:name="_Toc208974306"/>
      <w:bookmarkStart w:id="38" w:name="_Toc208974519"/>
      <w:bookmarkStart w:id="39" w:name="_Toc210589388"/>
      <w:bookmarkEnd w:id="33"/>
      <w:r w:rsidRPr="002B3F36">
        <w:t>Purpose of this Report</w:t>
      </w:r>
      <w:bookmarkEnd w:id="34"/>
      <w:bookmarkEnd w:id="35"/>
      <w:bookmarkEnd w:id="36"/>
      <w:bookmarkEnd w:id="37"/>
      <w:bookmarkEnd w:id="38"/>
      <w:bookmarkEnd w:id="39"/>
    </w:p>
    <w:p w14:paraId="065D6A54" w14:textId="77777777" w:rsidR="00F61F8E" w:rsidRPr="002B3F36" w:rsidRDefault="00F61F8E">
      <w:pPr>
        <w:pStyle w:val="ReportBodyTextNogap"/>
      </w:pPr>
    </w:p>
    <w:p w14:paraId="48C4D249" w14:textId="226C4D5A" w:rsidR="00F61F8E" w:rsidRPr="002B3F36" w:rsidRDefault="000F264B" w:rsidP="00AF3655">
      <w:pPr>
        <w:pStyle w:val="ReportBodyPar"/>
      </w:pPr>
      <w:r w:rsidRPr="002B3F36">
        <w:t xml:space="preserve">The Environmental and Social Impact Assessment (ESIA) for the </w:t>
      </w:r>
      <w:r w:rsidR="003650DB" w:rsidRPr="002B3F36">
        <w:t xml:space="preserve">Mointy – Kyzylzhar </w:t>
      </w:r>
      <w:r w:rsidRPr="002B3F36">
        <w:t xml:space="preserve">Greenfield Railway Construction Project serves as a critical decision-support tool for ensuring that the Project is designed and implemented in compliance with both national regulatory requirements and international environmental and social (E&amp;S) standards. Given the Project’s relevant environmental and social dimensions and in compliance with WB PS </w:t>
      </w:r>
      <w:r w:rsidR="0080772D" w:rsidRPr="002B3F36">
        <w:t>requirements</w:t>
      </w:r>
      <w:r w:rsidRPr="002B3F36">
        <w:t>, the ESIA is undertaken to identify, evaluate, and address potential impacts—direct, indirect, and cumulative—arising from the construction and operation of the railway line.</w:t>
      </w:r>
    </w:p>
    <w:p w14:paraId="41C41615" w14:textId="77777777" w:rsidR="00F61F8E" w:rsidRPr="002B3F36" w:rsidRDefault="00F61F8E" w:rsidP="00AF3655">
      <w:pPr>
        <w:pStyle w:val="ReportBodyPar"/>
        <w:rPr>
          <w:rFonts w:eastAsia="Times New Roman"/>
        </w:rPr>
      </w:pPr>
    </w:p>
    <w:p w14:paraId="1A8FFC1F" w14:textId="77777777" w:rsidR="00F61F8E" w:rsidRPr="002B3F36" w:rsidRDefault="000F264B" w:rsidP="00AF3655">
      <w:pPr>
        <w:pStyle w:val="ReportBodyPar"/>
      </w:pPr>
      <w:r w:rsidRPr="002B3F36">
        <w:t>The ESIA aims to:</w:t>
      </w:r>
    </w:p>
    <w:p w14:paraId="20C7F898" w14:textId="77777777" w:rsidR="00F61F8E" w:rsidRPr="002B3F36" w:rsidRDefault="000F264B" w:rsidP="00DF4A4C">
      <w:pPr>
        <w:pStyle w:val="Bullet12"/>
      </w:pPr>
      <w:r w:rsidRPr="002B3F36">
        <w:rPr>
          <w:rStyle w:val="affffb"/>
        </w:rPr>
        <w:t xml:space="preserve">Assess Risks and Impacts. </w:t>
      </w:r>
      <w:r w:rsidRPr="002B3F36">
        <w:t>It systematically examines potential effects on the physical, ecological, and social environment, including biodiversity, land use, community health and safety, cultural heritage, and vulnerable groups. Seasonal dynamics and local sensitivities are taken into account to establish a comprehensive baseline and anticipate risks throughout the Project lifecycle.</w:t>
      </w:r>
    </w:p>
    <w:p w14:paraId="3298B610" w14:textId="7B6EFC9B" w:rsidR="00F61F8E" w:rsidRPr="002B3F36" w:rsidRDefault="000F264B" w:rsidP="00DF4A4C">
      <w:pPr>
        <w:pStyle w:val="Bullet12"/>
      </w:pPr>
      <w:r w:rsidRPr="002B3F36">
        <w:rPr>
          <w:rStyle w:val="affffb"/>
        </w:rPr>
        <w:t xml:space="preserve">Ensure Standards Compliance. </w:t>
      </w:r>
      <w:r w:rsidRPr="002B3F36">
        <w:t xml:space="preserve">The report ensures alignment with the World Bank </w:t>
      </w:r>
      <w:r w:rsidR="00163238" w:rsidRPr="002B3F36">
        <w:t xml:space="preserve">Group’s </w:t>
      </w:r>
      <w:r w:rsidRPr="002B3F36">
        <w:t>Performance Standards (2012), the World Bank Environmental and Social Framework (2018), and relevant World Bank Group Environmental, Health, and Safety (EHS) Guidelines, as well as Kazakhstan’s national laws. Where discrepancies arise, the ESIA applies the more stringent standard to guarantee good international industry practice (GIIP) and safeguard lender requirements.</w:t>
      </w:r>
    </w:p>
    <w:p w14:paraId="278D4B4C" w14:textId="033420F3" w:rsidR="00F61F8E" w:rsidRPr="002B3F36" w:rsidRDefault="000F264B" w:rsidP="00DF4A4C">
      <w:pPr>
        <w:pStyle w:val="Bullet12"/>
      </w:pPr>
      <w:r w:rsidRPr="002B3F36">
        <w:rPr>
          <w:rStyle w:val="affffb"/>
        </w:rPr>
        <w:t xml:space="preserve">Develop Mitigation and Management Measures. </w:t>
      </w:r>
      <w:r w:rsidRPr="002B3F36">
        <w:t>The ESIA provides the foundation for preparing Environmental and Social Management Plans (ESMPs) and thematic sub-plans (e.g., Biodiversity Management Plan, Cultural Heritage Plan, Stakeholder Engagement Plan, Labor Management Procedures, and Land Acquisition and Resettlement Action Plan). These instruments translate assessment findings into actionable strategies for mitigation, monitoring, and adaptive management.</w:t>
      </w:r>
    </w:p>
    <w:p w14:paraId="728E6106" w14:textId="77777777" w:rsidR="00F61F8E" w:rsidRPr="002B3F36" w:rsidRDefault="000F264B" w:rsidP="00DF4A4C">
      <w:pPr>
        <w:pStyle w:val="Bullet12"/>
      </w:pPr>
      <w:r w:rsidRPr="002B3F36">
        <w:rPr>
          <w:rStyle w:val="affffb"/>
        </w:rPr>
        <w:t xml:space="preserve">Support Stakeholder Engagement and Transparency. </w:t>
      </w:r>
      <w:r w:rsidRPr="002B3F36">
        <w:t>By documenting risks, impacts, and mitigation measures in a structured manner, the ESIA enhances transparency and facilitates meaningful engagement with affected communities, government agencies, and development finance institutions. This process strengthens the Project’s social license to operate and promotes inclusive development.</w:t>
      </w:r>
    </w:p>
    <w:p w14:paraId="5B2D08C8" w14:textId="77777777" w:rsidR="00F61F8E" w:rsidRPr="002B3F36" w:rsidRDefault="000F264B" w:rsidP="00DF4A4C">
      <w:pPr>
        <w:pStyle w:val="Bullet12"/>
      </w:pPr>
      <w:r w:rsidRPr="002B3F36">
        <w:rPr>
          <w:rStyle w:val="affffb"/>
        </w:rPr>
        <w:lastRenderedPageBreak/>
        <w:t xml:space="preserve">Enable Sustainable Decision-Making. </w:t>
      </w:r>
      <w:r w:rsidRPr="002B3F36">
        <w:t>Ultimately, the ESIA ensures that the Project contributes positively to Kazakhstan’s strategic goals in connectivity and trade, while minimizing adverse impacts and enhancing social and environmental sustainability. It provides decision-makers with the necessary analysis and safeguards to balance infrastructure development with ecological integrity and community well-being.</w:t>
      </w:r>
    </w:p>
    <w:p w14:paraId="69B6C62F" w14:textId="77777777" w:rsidR="00F61F8E" w:rsidRPr="002B3F36" w:rsidRDefault="00F61F8E">
      <w:pPr>
        <w:pStyle w:val="ReportBodyTextNogap"/>
      </w:pPr>
    </w:p>
    <w:p w14:paraId="23DDD7A3" w14:textId="77777777" w:rsidR="00F61F8E" w:rsidRPr="002B3F36" w:rsidRDefault="000F264B">
      <w:pPr>
        <w:rPr>
          <w:rFonts w:ascii="Arial" w:eastAsia="Calibri" w:hAnsi="Arial" w:cs="Arial"/>
          <w:sz w:val="24"/>
          <w:szCs w:val="24"/>
          <w:lang w:eastAsia="en-GB"/>
        </w:rPr>
      </w:pPr>
      <w:r w:rsidRPr="002B3F36">
        <w:rPr>
          <w:rFonts w:ascii="Arial" w:hAnsi="Arial" w:cs="Arial"/>
        </w:rPr>
        <w:br w:type="page"/>
      </w:r>
    </w:p>
    <w:p w14:paraId="47DDCCEF" w14:textId="77777777" w:rsidR="00F61F8E" w:rsidRPr="002B3F36" w:rsidRDefault="00F61F8E">
      <w:pPr>
        <w:pStyle w:val="a0"/>
        <w:sectPr w:rsidR="00F61F8E" w:rsidRPr="002B3F36">
          <w:headerReference w:type="default" r:id="rId21"/>
          <w:footerReference w:type="even" r:id="rId22"/>
          <w:footerReference w:type="default" r:id="rId23"/>
          <w:footerReference w:type="first" r:id="rId24"/>
          <w:pgSz w:w="11910" w:h="16840"/>
          <w:pgMar w:top="1300" w:right="1133" w:bottom="1100" w:left="992" w:header="563" w:footer="914" w:gutter="0"/>
          <w:pgNumType w:start="1"/>
          <w:cols w:space="720"/>
        </w:sectPr>
      </w:pPr>
    </w:p>
    <w:p w14:paraId="230BBB47" w14:textId="77777777" w:rsidR="00F61F8E" w:rsidRPr="002B3F36" w:rsidRDefault="000F264B">
      <w:pPr>
        <w:pStyle w:val="1"/>
        <w:numPr>
          <w:ilvl w:val="0"/>
          <w:numId w:val="1"/>
        </w:numPr>
        <w:autoSpaceDE/>
        <w:autoSpaceDN/>
        <w:spacing w:line="253" w:lineRule="auto"/>
        <w:ind w:right="72"/>
        <w:jc w:val="both"/>
        <w:rPr>
          <w:rFonts w:cs="Arial"/>
        </w:rPr>
      </w:pPr>
      <w:bookmarkStart w:id="40" w:name="_bookmark9"/>
      <w:bookmarkStart w:id="41" w:name="_Toc208973710"/>
      <w:bookmarkStart w:id="42" w:name="_Toc208973905"/>
      <w:bookmarkStart w:id="43" w:name="_Toc208974105"/>
      <w:bookmarkStart w:id="44" w:name="_Toc208974307"/>
      <w:bookmarkStart w:id="45" w:name="_Toc208974520"/>
      <w:bookmarkStart w:id="46" w:name="_Toc210589389"/>
      <w:bookmarkEnd w:id="40"/>
      <w:r w:rsidRPr="002B3F36">
        <w:rPr>
          <w:rFonts w:cs="Arial"/>
        </w:rPr>
        <w:lastRenderedPageBreak/>
        <w:t>PROJECT DESCRIPTION</w:t>
      </w:r>
      <w:bookmarkEnd w:id="41"/>
      <w:bookmarkEnd w:id="42"/>
      <w:bookmarkEnd w:id="43"/>
      <w:bookmarkEnd w:id="44"/>
      <w:bookmarkEnd w:id="45"/>
      <w:bookmarkEnd w:id="46"/>
    </w:p>
    <w:p w14:paraId="141C4D17" w14:textId="77777777" w:rsidR="00F61F8E" w:rsidRPr="002B3F36" w:rsidRDefault="000F264B">
      <w:pPr>
        <w:pStyle w:val="20"/>
      </w:pPr>
      <w:bookmarkStart w:id="47" w:name="_bookmark10"/>
      <w:bookmarkStart w:id="48" w:name="_Toc208973711"/>
      <w:bookmarkStart w:id="49" w:name="_Toc208973906"/>
      <w:bookmarkStart w:id="50" w:name="_Toc208974106"/>
      <w:bookmarkStart w:id="51" w:name="_Toc208974308"/>
      <w:bookmarkStart w:id="52" w:name="_Toc208974521"/>
      <w:bookmarkStart w:id="53" w:name="_Toc210589390"/>
      <w:bookmarkEnd w:id="47"/>
      <w:r w:rsidRPr="002B3F36">
        <w:t>The Project Setting</w:t>
      </w:r>
      <w:bookmarkEnd w:id="48"/>
      <w:bookmarkEnd w:id="49"/>
      <w:bookmarkEnd w:id="50"/>
      <w:bookmarkEnd w:id="51"/>
      <w:bookmarkEnd w:id="52"/>
      <w:bookmarkEnd w:id="53"/>
    </w:p>
    <w:p w14:paraId="1CC62AF9" w14:textId="77777777" w:rsidR="00F61F8E" w:rsidRPr="002B3F36" w:rsidRDefault="00F61F8E">
      <w:pPr>
        <w:pStyle w:val="ReportParagraph"/>
      </w:pPr>
    </w:p>
    <w:p w14:paraId="796B4E19" w14:textId="45D735F9" w:rsidR="00F61F8E" w:rsidRPr="002B3F36" w:rsidRDefault="000F264B" w:rsidP="00AF3655">
      <w:pPr>
        <w:pStyle w:val="ReportBodyPar"/>
      </w:pPr>
      <w:r w:rsidRPr="002B3F36">
        <w:t>The Mointy</w:t>
      </w:r>
      <w:r w:rsidR="009A2B44" w:rsidRPr="002B3F36">
        <w:t xml:space="preserve"> - </w:t>
      </w:r>
      <w:r w:rsidRPr="002B3F36">
        <w:t>Kyzylzhar Greenfield Railway Project is a strategic 32</w:t>
      </w:r>
      <w:r w:rsidR="005C152A">
        <w:t>2.2</w:t>
      </w:r>
      <w:r w:rsidRPr="002B3F36">
        <w:t xml:space="preserve">-kilometer investment in Kazakhstan’s rail sector, designed to enhance connectivity, freight capacity, and safety. The railway will cross predominantly semi-arid steppe landscapes in the Ulytau and Karagandy regions, characterized by long, cold winters, hot, dry summers, and low annual precipitation averaging 200–350 mm, with most runoff occurring during spring snowmelt. The alignment traverses areas dominated by dry grasslands and sparsely vegetated plains, interspersed with small agricultural plots and rural settlements near existing transport routes. </w:t>
      </w:r>
    </w:p>
    <w:p w14:paraId="4366573E" w14:textId="3BF41065" w:rsidR="00F61F8E" w:rsidRPr="002B3F36" w:rsidRDefault="00F61F8E" w:rsidP="00AF3655">
      <w:pPr>
        <w:pStyle w:val="ReportBodyPar"/>
      </w:pPr>
    </w:p>
    <w:p w14:paraId="482DACEE" w14:textId="2A81544C" w:rsidR="00F61F8E" w:rsidRPr="002B3F36" w:rsidRDefault="000F264B" w:rsidP="00AF3655">
      <w:pPr>
        <w:pStyle w:val="ReportBodyPar"/>
      </w:pPr>
      <w:r w:rsidRPr="002B3F36">
        <w:t>The railway corridor, with a typical right-of-way width of about 50</w:t>
      </w:r>
      <w:r w:rsidR="008235B6" w:rsidRPr="002B3F36">
        <w:t>-100</w:t>
      </w:r>
      <w:r w:rsidRPr="002B3F36">
        <w:t xml:space="preserve"> meters</w:t>
      </w:r>
      <w:r w:rsidR="008235B6" w:rsidRPr="002B3F36">
        <w:t xml:space="preserve"> depending on the location</w:t>
      </w:r>
      <w:r w:rsidRPr="002B3F36">
        <w:t xml:space="preserve">, will </w:t>
      </w:r>
      <w:r w:rsidR="00410663" w:rsidRPr="6C38646B">
        <w:t>traverse one protected area and 2 internationally recognized areas for conservation (i.e., Important Bird Areas, also known as Key Biodiversity Areas).</w:t>
      </w:r>
    </w:p>
    <w:p w14:paraId="1B500446" w14:textId="77777777" w:rsidR="00F61F8E" w:rsidRPr="002B3F36" w:rsidRDefault="00F61F8E" w:rsidP="00AF3655">
      <w:pPr>
        <w:pStyle w:val="ReportBodyPar"/>
      </w:pPr>
    </w:p>
    <w:p w14:paraId="52EC8778" w14:textId="7DE50028" w:rsidR="00F61F8E" w:rsidRPr="002B3F36" w:rsidRDefault="000F264B" w:rsidP="00AF3655">
      <w:pPr>
        <w:pStyle w:val="ReportBodyPar"/>
      </w:pPr>
      <w:r w:rsidRPr="002B3F36">
        <w:t>Hydrological features along the alignment consist mainly of ephemeral streams and seasonal wetlands formed during snowmelt and heavy rainfall events, while local vegetation and fauna include typical steppe communities, with ground-nesting birds, small mammals, and migratory species utilizing the area seasonally. The ESIA will further evaluate these sensitivities to determine appropriate avoidance, mitigation, or monitoring measures where required.</w:t>
      </w:r>
      <w:r w:rsidR="005A552C" w:rsidRPr="002B3F36">
        <w:t xml:space="preserve"> Environmentally, the alignment cuts across diverse landscapes</w:t>
      </w:r>
      <w:r w:rsidR="009C4AC1" w:rsidRPr="002B3F36">
        <w:t xml:space="preserve">: </w:t>
      </w:r>
      <w:r w:rsidR="005A552C" w:rsidRPr="002B3F36">
        <w:t>open steppe, semi-desert plains, low hills, and river valleys.</w:t>
      </w:r>
    </w:p>
    <w:p w14:paraId="7F74DB4B" w14:textId="2ED51783" w:rsidR="00F61F8E" w:rsidRPr="002B3F36" w:rsidRDefault="00F61F8E">
      <w:pPr>
        <w:pStyle w:val="ReportParagraph"/>
      </w:pPr>
    </w:p>
    <w:p w14:paraId="3FF3C0A0" w14:textId="003E01DF" w:rsidR="005A552C" w:rsidRPr="002B3F36" w:rsidRDefault="005A552C">
      <w:pPr>
        <w:pStyle w:val="ReportParagraph"/>
      </w:pPr>
      <w:r w:rsidRPr="002B3F36">
        <w:t>The Project corridor traverses territories, but at considerable safe distances</w:t>
      </w:r>
      <w:r w:rsidR="00EC364E" w:rsidRPr="002B3F36">
        <w:rPr>
          <w:rStyle w:val="ac"/>
        </w:rPr>
        <w:footnoteReference w:id="1"/>
      </w:r>
      <w:r w:rsidRPr="002B3F36">
        <w:t xml:space="preserve">, of rural and industrial settlements in Ulytau and </w:t>
      </w:r>
      <w:r w:rsidR="003A184C">
        <w:t>Karagandy</w:t>
      </w:r>
      <w:r w:rsidRPr="002B3F36">
        <w:t xml:space="preserve"> regions. Key communities include Kyzylzhar, Togusken, Aktau, Moiynty, Agadyr, Bosaga, Kiikti, Zhairem, and Karazhal, with populations ranging from a few hundred in small villages to over 36,000 residents in Shet District and 17,300 in Karazhal. Livelihoods are largely based on livestock grazing and agriculture in rural areas, while mining and industrial enterprises dominate in urban centers such as Zhairem and Karazhal. Socially, </w:t>
      </w:r>
      <w:r w:rsidR="009C4AC1" w:rsidRPr="002B3F36">
        <w:t xml:space="preserve">major settlements were avoided, with certain impacts on agricultural activities, </w:t>
      </w:r>
      <w:r w:rsidR="00297D78" w:rsidRPr="002B3F36">
        <w:t>which</w:t>
      </w:r>
      <w:r w:rsidR="009C4AC1" w:rsidRPr="002B3F36">
        <w:t xml:space="preserve"> are grazing practices, and local resource use.</w:t>
      </w:r>
    </w:p>
    <w:p w14:paraId="4C01A3FD" w14:textId="77777777" w:rsidR="009C4AC1" w:rsidRPr="002B3F36" w:rsidRDefault="009C4AC1">
      <w:pPr>
        <w:pStyle w:val="ReportParagraph"/>
      </w:pPr>
    </w:p>
    <w:p w14:paraId="410DB825" w14:textId="77777777" w:rsidR="00F61F8E" w:rsidRPr="002B3F36" w:rsidRDefault="000F264B" w:rsidP="005A68AD">
      <w:pPr>
        <w:pStyle w:val="31"/>
      </w:pPr>
      <w:bookmarkStart w:id="54" w:name="_bookmark11"/>
      <w:bookmarkStart w:id="55" w:name="_Toc208973712"/>
      <w:bookmarkStart w:id="56" w:name="_Toc208973907"/>
      <w:bookmarkStart w:id="57" w:name="_Toc208974107"/>
      <w:bookmarkStart w:id="58" w:name="_Toc208974309"/>
      <w:bookmarkStart w:id="59" w:name="_Toc208974522"/>
      <w:bookmarkStart w:id="60" w:name="_Toc210589391"/>
      <w:bookmarkEnd w:id="54"/>
      <w:r w:rsidRPr="002B3F36">
        <w:t>Rail Infrastructure in Kazakhstan</w:t>
      </w:r>
      <w:bookmarkEnd w:id="55"/>
      <w:bookmarkEnd w:id="56"/>
      <w:bookmarkEnd w:id="57"/>
      <w:bookmarkEnd w:id="58"/>
      <w:bookmarkEnd w:id="59"/>
      <w:bookmarkEnd w:id="60"/>
      <w:r w:rsidRPr="002B3F36">
        <w:t xml:space="preserve"> </w:t>
      </w:r>
    </w:p>
    <w:p w14:paraId="465E2C7F" w14:textId="77777777" w:rsidR="00F61F8E" w:rsidRPr="002B3F36" w:rsidRDefault="00F61F8E">
      <w:pPr>
        <w:pStyle w:val="a5"/>
        <w:jc w:val="both"/>
        <w:rPr>
          <w:rFonts w:ascii="Arial" w:hAnsi="Arial" w:cs="Arial"/>
        </w:rPr>
      </w:pPr>
    </w:p>
    <w:p w14:paraId="25DDE1CD" w14:textId="77777777" w:rsidR="00F61F8E" w:rsidRPr="002B3F36" w:rsidRDefault="000F264B" w:rsidP="00AF3655">
      <w:pPr>
        <w:pStyle w:val="ReportBodyPar"/>
      </w:pPr>
      <w:r w:rsidRPr="002B3F36">
        <w:t xml:space="preserve">Kazakhstan’s railway network is the </w:t>
      </w:r>
      <w:r w:rsidRPr="002B3F36">
        <w:rPr>
          <w:rStyle w:val="affffb"/>
          <w:b w:val="0"/>
        </w:rPr>
        <w:t>largest in Central Asia</w:t>
      </w:r>
      <w:r w:rsidRPr="002B3F36">
        <w:t xml:space="preserve">, comprising over </w:t>
      </w:r>
      <w:r w:rsidRPr="002B3F36">
        <w:rPr>
          <w:rStyle w:val="affffb"/>
          <w:b w:val="0"/>
        </w:rPr>
        <w:t>16,000 kilometers of track</w:t>
      </w:r>
      <w:r w:rsidRPr="002B3F36">
        <w:t xml:space="preserve">, with approximately </w:t>
      </w:r>
      <w:r w:rsidRPr="002B3F36">
        <w:rPr>
          <w:rStyle w:val="affffb"/>
          <w:b w:val="0"/>
        </w:rPr>
        <w:t>40% electrified</w:t>
      </w:r>
      <w:r w:rsidRPr="002B3F36">
        <w:t xml:space="preserve"> as of 2023</w:t>
      </w:r>
      <w:r w:rsidRPr="002B3F36">
        <w:rPr>
          <w:rStyle w:val="ac"/>
        </w:rPr>
        <w:footnoteReference w:id="2"/>
      </w:r>
      <w:r w:rsidRPr="002B3F36">
        <w:t xml:space="preserve">. The network plays a central role in the country’s freight transport system, carrying </w:t>
      </w:r>
      <w:r w:rsidRPr="002B3F36">
        <w:rPr>
          <w:rStyle w:val="affffb"/>
          <w:b w:val="0"/>
        </w:rPr>
        <w:t>around 50% of all domestic freight turnover</w:t>
      </w:r>
      <w:r w:rsidRPr="002B3F36">
        <w:t xml:space="preserve"> and nearly </w:t>
      </w:r>
      <w:r w:rsidRPr="002B3F36">
        <w:rPr>
          <w:rStyle w:val="affffb"/>
          <w:b w:val="0"/>
        </w:rPr>
        <w:t>half of transit cargoes</w:t>
      </w:r>
      <w:r w:rsidRPr="002B3F36">
        <w:t xml:space="preserve"> across Central Asia</w:t>
      </w:r>
      <w:r w:rsidRPr="002B3F36">
        <w:rPr>
          <w:rStyle w:val="ac"/>
        </w:rPr>
        <w:footnoteReference w:id="3"/>
      </w:r>
      <w:r w:rsidRPr="002B3F36">
        <w:t xml:space="preserve">. Despite its extensive coverage, </w:t>
      </w:r>
      <w:r w:rsidRPr="002B3F36">
        <w:rPr>
          <w:rStyle w:val="affffb"/>
          <w:b w:val="0"/>
        </w:rPr>
        <w:t>key sections of the network face capacity constraints</w:t>
      </w:r>
      <w:r w:rsidRPr="002B3F36">
        <w:t xml:space="preserve">, particularly on east–west corridors where rising volumes of containerized cargo have created bottlenecks near junction stations such as </w:t>
      </w:r>
      <w:r w:rsidRPr="002B3F36">
        <w:rPr>
          <w:rStyle w:val="affffb"/>
          <w:b w:val="0"/>
        </w:rPr>
        <w:t>Mointy and Zharyk</w:t>
      </w:r>
      <w:r w:rsidRPr="002B3F36">
        <w:rPr>
          <w:rStyle w:val="ac"/>
        </w:rPr>
        <w:footnoteReference w:id="4"/>
      </w:r>
      <w:r w:rsidRPr="002B3F36">
        <w:rPr>
          <w:vertAlign w:val="superscript"/>
        </w:rPr>
        <w:t>.</w:t>
      </w:r>
    </w:p>
    <w:p w14:paraId="211161AE" w14:textId="77777777" w:rsidR="00F61F8E" w:rsidRPr="002B3F36" w:rsidRDefault="00F61F8E" w:rsidP="00AF3655">
      <w:pPr>
        <w:pStyle w:val="ReportBodyPar"/>
      </w:pPr>
    </w:p>
    <w:p w14:paraId="32DD1D8A" w14:textId="77777777" w:rsidR="00F61F8E" w:rsidRPr="002B3F36" w:rsidRDefault="000F264B" w:rsidP="00AF3655">
      <w:pPr>
        <w:pStyle w:val="ReportBodyPar"/>
      </w:pPr>
      <w:r w:rsidRPr="002B3F36">
        <w:t xml:space="preserve">Recent KTZ reports indicate that </w:t>
      </w:r>
      <w:r w:rsidRPr="002B3F36">
        <w:rPr>
          <w:rStyle w:val="affffb"/>
          <w:b w:val="0"/>
        </w:rPr>
        <w:t>Kazakhstan handled over 245 million tons of freight in 2022</w:t>
      </w:r>
      <w:r w:rsidRPr="002B3F36">
        <w:t xml:space="preserve">, including approximately </w:t>
      </w:r>
      <w:r w:rsidRPr="002B3F36">
        <w:rPr>
          <w:rStyle w:val="affffb"/>
          <w:b w:val="0"/>
        </w:rPr>
        <w:t>23 million tons of transit cargo</w:t>
      </w:r>
      <w:r w:rsidRPr="002B3F36">
        <w:t xml:space="preserve">, marking a steady recovery </w:t>
      </w:r>
      <w:r w:rsidRPr="002B3F36">
        <w:lastRenderedPageBreak/>
        <w:t>from pandemic-related declines</w:t>
      </w:r>
      <w:r w:rsidRPr="002B3F36">
        <w:rPr>
          <w:rStyle w:val="ac"/>
        </w:rPr>
        <w:footnoteReference w:id="5"/>
      </w:r>
      <w:r w:rsidRPr="002B3F36">
        <w:t xml:space="preserve">. However, much of the existing railway infrastructure dates back several decades, with </w:t>
      </w:r>
      <w:r w:rsidRPr="002B3F36">
        <w:rPr>
          <w:rStyle w:val="affffb"/>
          <w:b w:val="0"/>
        </w:rPr>
        <w:t>track modernization, electrification, and signaling upgrades</w:t>
      </w:r>
      <w:r w:rsidRPr="002B3F36">
        <w:t xml:space="preserve"> progressing in phases under the national railway modernization program</w:t>
      </w:r>
      <w:r w:rsidRPr="002B3F36">
        <w:rPr>
          <w:rStyle w:val="ac"/>
        </w:rPr>
        <w:footnoteReference w:id="6"/>
      </w:r>
      <w:r w:rsidRPr="002B3F36">
        <w:t xml:space="preserve">. The government’s </w:t>
      </w:r>
      <w:r w:rsidRPr="002B3F36">
        <w:rPr>
          <w:rStyle w:val="affffb"/>
          <w:b w:val="0"/>
        </w:rPr>
        <w:t>Transport Infrastructure Development Plan 2025</w:t>
      </w:r>
      <w:r w:rsidRPr="002B3F36">
        <w:t xml:space="preserve"> highlights the need for </w:t>
      </w:r>
      <w:r w:rsidRPr="002B3F36">
        <w:rPr>
          <w:rStyle w:val="affffb"/>
          <w:b w:val="0"/>
        </w:rPr>
        <w:t>capacity expansion, improved reliability, and reduced transit delays</w:t>
      </w:r>
      <w:r w:rsidRPr="002B3F36">
        <w:t xml:space="preserve"> to meet growing freight demands between China, Central Asia, and Europe</w:t>
      </w:r>
      <w:r w:rsidRPr="002B3F36">
        <w:rPr>
          <w:rStyle w:val="ac"/>
        </w:rPr>
        <w:footnoteReference w:id="7"/>
      </w:r>
      <w:r w:rsidRPr="002B3F36">
        <w:t>.</w:t>
      </w:r>
    </w:p>
    <w:p w14:paraId="50025FB0" w14:textId="77777777" w:rsidR="00F61F8E" w:rsidRPr="002B3F36" w:rsidRDefault="00F61F8E" w:rsidP="00AF3655">
      <w:pPr>
        <w:pStyle w:val="ReportBodyPar"/>
      </w:pPr>
    </w:p>
    <w:p w14:paraId="061DC9AB" w14:textId="65DA812E" w:rsidR="00F61F8E" w:rsidRPr="002B3F36" w:rsidRDefault="000F264B" w:rsidP="00AF3655">
      <w:pPr>
        <w:pStyle w:val="ReportBodyPar"/>
      </w:pPr>
      <w:r w:rsidRPr="002B3F36">
        <w:t xml:space="preserve">Within this context, the </w:t>
      </w:r>
      <w:r w:rsidRPr="002B3F36">
        <w:rPr>
          <w:rStyle w:val="affffb"/>
          <w:b w:val="0"/>
        </w:rPr>
        <w:t>Mointy–Kyzylzhar Greenfield Railway</w:t>
      </w:r>
      <w:r w:rsidRPr="002B3F36">
        <w:t xml:space="preserve"> is one of several targeted investments aimed at </w:t>
      </w:r>
      <w:r w:rsidRPr="002B3F36">
        <w:rPr>
          <w:rStyle w:val="affffb"/>
          <w:b w:val="0"/>
        </w:rPr>
        <w:t>relieving pressure on the heavily used Mointy–Zharyk section</w:t>
      </w:r>
      <w:r w:rsidRPr="002B3F36">
        <w:t xml:space="preserve">, where operational delays stem from traction changes and limited passing capacity. According to KTZ planning documents, the </w:t>
      </w:r>
      <w:r w:rsidRPr="002B3F36">
        <w:rPr>
          <w:rStyle w:val="affffb"/>
          <w:b w:val="0"/>
        </w:rPr>
        <w:t>32</w:t>
      </w:r>
      <w:r w:rsidR="005C152A">
        <w:rPr>
          <w:rStyle w:val="affffb"/>
          <w:b w:val="0"/>
        </w:rPr>
        <w:t>2.2</w:t>
      </w:r>
      <w:r w:rsidRPr="002B3F36">
        <w:rPr>
          <w:rStyle w:val="affffb"/>
          <w:b w:val="0"/>
        </w:rPr>
        <w:t xml:space="preserve"> km single-track alignment</w:t>
      </w:r>
      <w:r w:rsidRPr="002B3F36">
        <w:t xml:space="preserve"> will reduce the transit distance by </w:t>
      </w:r>
      <w:r w:rsidRPr="002B3F36">
        <w:rPr>
          <w:rStyle w:val="affffb"/>
          <w:b w:val="0"/>
        </w:rPr>
        <w:t>approximately 150 km</w:t>
      </w:r>
      <w:r w:rsidRPr="002B3F36">
        <w:t xml:space="preserve"> and enable handling of up to </w:t>
      </w:r>
      <w:r w:rsidRPr="002B3F36">
        <w:rPr>
          <w:rStyle w:val="affffb"/>
          <w:b w:val="0"/>
        </w:rPr>
        <w:t>30 pairs of freight trains per day</w:t>
      </w:r>
      <w:r w:rsidRPr="002B3F36">
        <w:t xml:space="preserve">, including </w:t>
      </w:r>
      <w:r w:rsidRPr="002B3F36">
        <w:rPr>
          <w:rStyle w:val="affffb"/>
          <w:b w:val="0"/>
        </w:rPr>
        <w:t>double-stacked container traffic</w:t>
      </w:r>
      <w:r w:rsidRPr="002B3F36">
        <w:t>, once commissioned.</w:t>
      </w:r>
    </w:p>
    <w:p w14:paraId="3FCE59B9" w14:textId="77777777" w:rsidR="00F61F8E" w:rsidRPr="002B3F36" w:rsidRDefault="00F61F8E">
      <w:pPr>
        <w:pStyle w:val="a5"/>
        <w:jc w:val="both"/>
        <w:rPr>
          <w:rFonts w:ascii="Arial" w:hAnsi="Arial" w:cs="Arial"/>
        </w:rPr>
      </w:pPr>
    </w:p>
    <w:p w14:paraId="2C3ED380" w14:textId="77777777" w:rsidR="00F61F8E" w:rsidRPr="002B3F36" w:rsidRDefault="000F264B">
      <w:pPr>
        <w:widowControl/>
        <w:autoSpaceDE/>
        <w:autoSpaceDN/>
        <w:jc w:val="center"/>
        <w:rPr>
          <w:rFonts w:ascii="Arial" w:eastAsia="Times New Roman" w:hAnsi="Arial" w:cs="Arial"/>
          <w:sz w:val="24"/>
          <w:szCs w:val="24"/>
          <w:lang w:val="en-PH" w:eastAsia="en-PH"/>
        </w:rPr>
      </w:pPr>
      <w:r w:rsidRPr="002B3F36">
        <w:rPr>
          <w:rFonts w:ascii="Arial" w:eastAsia="Times New Roman" w:hAnsi="Arial" w:cs="Arial"/>
          <w:noProof/>
          <w:sz w:val="24"/>
          <w:szCs w:val="24"/>
          <w:lang w:val="en-PH" w:eastAsia="en-PH"/>
        </w:rPr>
        <w:drawing>
          <wp:inline distT="0" distB="0" distL="0" distR="0" wp14:anchorId="338E9009" wp14:editId="2E8D5384">
            <wp:extent cx="5812972" cy="4135119"/>
            <wp:effectExtent l="19050" t="19050" r="16510" b="18415"/>
            <wp:docPr id="1030" name="Picture 1903" descr="D:\PROJECTS 4\(05) Kaz Rail\Work KR\(8) Aug\Draft Final (1)\Map for Report translated\Trans-Kazakhstan_Railway_Corridor_Translated_googl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903"/>
                    <pic:cNvPicPr/>
                  </pic:nvPicPr>
                  <pic:blipFill>
                    <a:blip r:embed="rId25" cstate="print"/>
                    <a:srcRect/>
                    <a:stretch/>
                  </pic:blipFill>
                  <pic:spPr>
                    <a:xfrm>
                      <a:off x="0" y="0"/>
                      <a:ext cx="5812972" cy="4135119"/>
                    </a:xfrm>
                    <a:prstGeom prst="rect">
                      <a:avLst/>
                    </a:prstGeom>
                    <a:ln w="3175">
                      <a:solidFill>
                        <a:schemeClr val="tx1"/>
                      </a:solidFill>
                    </a:ln>
                  </pic:spPr>
                </pic:pic>
              </a:graphicData>
            </a:graphic>
          </wp:inline>
        </w:drawing>
      </w:r>
    </w:p>
    <w:p w14:paraId="0144A3E1" w14:textId="58FCC076" w:rsidR="00F61F8E" w:rsidRPr="002B3F36" w:rsidRDefault="000F264B" w:rsidP="000126FC">
      <w:pPr>
        <w:pStyle w:val="FigureCaption"/>
        <w:rPr>
          <w:rFonts w:cs="Arial"/>
        </w:rPr>
      </w:pPr>
      <w:bookmarkStart w:id="61" w:name="_Toc210589591"/>
      <w:bookmarkStart w:id="62" w:name="_Hlk210063780"/>
      <w:r w:rsidRPr="002B3F36">
        <w:rPr>
          <w:rFonts w:cs="Arial"/>
        </w:rPr>
        <w:t xml:space="preserve">Figure </w:t>
      </w:r>
      <w:r w:rsidR="00F3729F" w:rsidRPr="002B3F36">
        <w:rPr>
          <w:rFonts w:cs="Arial"/>
        </w:rPr>
        <w:fldChar w:fldCharType="begin"/>
      </w:r>
      <w:r w:rsidR="00F3729F" w:rsidRPr="002B3F36">
        <w:rPr>
          <w:rFonts w:cs="Arial"/>
        </w:rPr>
        <w:instrText xml:space="preserve"> SEQ Figure \* ARABIC </w:instrText>
      </w:r>
      <w:r w:rsidR="00F3729F" w:rsidRPr="002B3F36">
        <w:rPr>
          <w:rFonts w:cs="Arial"/>
        </w:rPr>
        <w:fldChar w:fldCharType="separate"/>
      </w:r>
      <w:r w:rsidR="002B3F36">
        <w:rPr>
          <w:rFonts w:cs="Arial"/>
          <w:noProof/>
        </w:rPr>
        <w:t>2</w:t>
      </w:r>
      <w:r w:rsidR="00F3729F" w:rsidRPr="002B3F36">
        <w:rPr>
          <w:rFonts w:cs="Arial"/>
        </w:rPr>
        <w:fldChar w:fldCharType="end"/>
      </w:r>
      <w:r w:rsidRPr="002B3F36">
        <w:rPr>
          <w:rFonts w:cs="Arial"/>
        </w:rPr>
        <w:t xml:space="preserve">: </w:t>
      </w:r>
      <w:r w:rsidR="00CB5C9C" w:rsidRPr="002B3F36">
        <w:rPr>
          <w:rFonts w:cs="Arial"/>
        </w:rPr>
        <w:t xml:space="preserve">Railway Network </w:t>
      </w:r>
      <w:r w:rsidR="000126FC" w:rsidRPr="002B3F36">
        <w:rPr>
          <w:rFonts w:cs="Arial"/>
        </w:rPr>
        <w:t xml:space="preserve">Within the Vicinity of The </w:t>
      </w:r>
      <w:r w:rsidR="00CB5C9C" w:rsidRPr="002B3F36">
        <w:rPr>
          <w:rFonts w:cs="Arial"/>
        </w:rPr>
        <w:t>Project</w:t>
      </w:r>
      <w:bookmarkEnd w:id="61"/>
    </w:p>
    <w:bookmarkEnd w:id="62"/>
    <w:p w14:paraId="414FA210" w14:textId="77777777" w:rsidR="00F61F8E" w:rsidRPr="002B3F36" w:rsidRDefault="00F61F8E">
      <w:pPr>
        <w:pStyle w:val="ReportParagraph"/>
      </w:pPr>
    </w:p>
    <w:p w14:paraId="4F94F1D1" w14:textId="77777777" w:rsidR="00F61F8E" w:rsidRPr="002B3F36" w:rsidRDefault="000F264B" w:rsidP="005A68AD">
      <w:pPr>
        <w:pStyle w:val="31"/>
      </w:pPr>
      <w:bookmarkStart w:id="63" w:name="_Toc208118872"/>
      <w:bookmarkStart w:id="64" w:name="_Toc208238265"/>
      <w:bookmarkStart w:id="65" w:name="_Toc208238427"/>
      <w:bookmarkStart w:id="66" w:name="_Toc208314962"/>
      <w:bookmarkStart w:id="67" w:name="_Toc208313390"/>
      <w:bookmarkStart w:id="68" w:name="_Toc208314264"/>
      <w:bookmarkStart w:id="69" w:name="_Toc208314447"/>
      <w:bookmarkStart w:id="70" w:name="_Toc208314632"/>
      <w:bookmarkStart w:id="71" w:name="_Toc208314816"/>
      <w:bookmarkStart w:id="72" w:name="_Toc208315028"/>
      <w:bookmarkStart w:id="73" w:name="_Toc208315213"/>
      <w:bookmarkStart w:id="74" w:name="_Toc208315399"/>
      <w:bookmarkStart w:id="75" w:name="_Toc208320018"/>
      <w:bookmarkStart w:id="76" w:name="_Toc208325045"/>
      <w:bookmarkStart w:id="77" w:name="_Toc208970029"/>
      <w:bookmarkStart w:id="78" w:name="_Toc208971996"/>
      <w:bookmarkStart w:id="79" w:name="_Toc208972301"/>
      <w:bookmarkStart w:id="80" w:name="_Toc208972509"/>
      <w:bookmarkStart w:id="81" w:name="_Toc208972712"/>
      <w:bookmarkStart w:id="82" w:name="_Toc208972910"/>
      <w:bookmarkStart w:id="83" w:name="_Toc208973170"/>
      <w:bookmarkStart w:id="84" w:name="_Toc208973713"/>
      <w:bookmarkStart w:id="85" w:name="_Toc208973908"/>
      <w:bookmarkStart w:id="86" w:name="_Toc208974108"/>
      <w:bookmarkStart w:id="87" w:name="_Toc208974310"/>
      <w:bookmarkStart w:id="88" w:name="_Toc208974523"/>
      <w:bookmarkStart w:id="89" w:name="_Toc208974784"/>
      <w:bookmarkStart w:id="90" w:name="_Toc208974982"/>
      <w:bookmarkStart w:id="91" w:name="_Toc208975197"/>
      <w:bookmarkStart w:id="92" w:name="_Toc208975718"/>
      <w:bookmarkStart w:id="93" w:name="_Toc208975916"/>
      <w:bookmarkStart w:id="94" w:name="_Toc208976859"/>
      <w:bookmarkStart w:id="95" w:name="_Toc208979640"/>
      <w:bookmarkStart w:id="96" w:name="_Toc208980125"/>
      <w:bookmarkStart w:id="97" w:name="_Toc209229508"/>
      <w:bookmarkStart w:id="98" w:name="_Toc209232606"/>
      <w:bookmarkStart w:id="99" w:name="_Toc209232839"/>
      <w:bookmarkStart w:id="100" w:name="_Toc209233062"/>
      <w:bookmarkStart w:id="101" w:name="_Toc209233285"/>
      <w:bookmarkStart w:id="102" w:name="_Toc209233502"/>
      <w:bookmarkStart w:id="103" w:name="_Toc209233719"/>
      <w:bookmarkStart w:id="104" w:name="_Toc209234005"/>
      <w:bookmarkStart w:id="105" w:name="_Toc209234220"/>
      <w:bookmarkStart w:id="106" w:name="_Toc209234438"/>
      <w:bookmarkStart w:id="107" w:name="_Toc209234728"/>
      <w:bookmarkStart w:id="108" w:name="_Toc209605067"/>
      <w:bookmarkStart w:id="109" w:name="_Toc209609002"/>
      <w:bookmarkStart w:id="110" w:name="_Toc208118873"/>
      <w:bookmarkStart w:id="111" w:name="_Toc208238266"/>
      <w:bookmarkStart w:id="112" w:name="_Toc208238428"/>
      <w:bookmarkStart w:id="113" w:name="_Toc208314963"/>
      <w:bookmarkStart w:id="114" w:name="_Toc208313391"/>
      <w:bookmarkStart w:id="115" w:name="_Toc208314265"/>
      <w:bookmarkStart w:id="116" w:name="_Toc208314448"/>
      <w:bookmarkStart w:id="117" w:name="_Toc208314633"/>
      <w:bookmarkStart w:id="118" w:name="_Toc208314817"/>
      <w:bookmarkStart w:id="119" w:name="_Toc208315029"/>
      <w:bookmarkStart w:id="120" w:name="_Toc208315214"/>
      <w:bookmarkStart w:id="121" w:name="_Toc208315400"/>
      <w:bookmarkStart w:id="122" w:name="_Toc208320019"/>
      <w:bookmarkStart w:id="123" w:name="_Toc208325046"/>
      <w:bookmarkStart w:id="124" w:name="_Toc208970030"/>
      <w:bookmarkStart w:id="125" w:name="_Toc208971997"/>
      <w:bookmarkStart w:id="126" w:name="_Toc208972302"/>
      <w:bookmarkStart w:id="127" w:name="_Toc208972510"/>
      <w:bookmarkStart w:id="128" w:name="_Toc208972713"/>
      <w:bookmarkStart w:id="129" w:name="_Toc208972911"/>
      <w:bookmarkStart w:id="130" w:name="_Toc208973171"/>
      <w:bookmarkStart w:id="131" w:name="_Toc208973714"/>
      <w:bookmarkStart w:id="132" w:name="_Toc208973909"/>
      <w:bookmarkStart w:id="133" w:name="_Toc208974109"/>
      <w:bookmarkStart w:id="134" w:name="_Toc208974311"/>
      <w:bookmarkStart w:id="135" w:name="_Toc208974524"/>
      <w:bookmarkStart w:id="136" w:name="_Toc208974785"/>
      <w:bookmarkStart w:id="137" w:name="_Toc208974983"/>
      <w:bookmarkStart w:id="138" w:name="_Toc208975198"/>
      <w:bookmarkStart w:id="139" w:name="_Toc208975719"/>
      <w:bookmarkStart w:id="140" w:name="_Toc208975917"/>
      <w:bookmarkStart w:id="141" w:name="_Toc208976860"/>
      <w:bookmarkStart w:id="142" w:name="_Toc208977049"/>
      <w:bookmarkStart w:id="143" w:name="_Toc208979641"/>
      <w:bookmarkStart w:id="144" w:name="_Toc208980126"/>
      <w:bookmarkStart w:id="145" w:name="_Toc209229509"/>
      <w:bookmarkStart w:id="146" w:name="_Toc209232607"/>
      <w:bookmarkStart w:id="147" w:name="_Toc209232840"/>
      <w:bookmarkStart w:id="148" w:name="_Toc209233063"/>
      <w:bookmarkStart w:id="149" w:name="_Toc209233286"/>
      <w:bookmarkStart w:id="150" w:name="_Toc209233503"/>
      <w:bookmarkStart w:id="151" w:name="_Toc209233720"/>
      <w:bookmarkStart w:id="152" w:name="_Toc209234006"/>
      <w:bookmarkStart w:id="153" w:name="_Toc209234221"/>
      <w:bookmarkStart w:id="154" w:name="_Toc209234439"/>
      <w:bookmarkStart w:id="155" w:name="_Toc209234729"/>
      <w:bookmarkStart w:id="156" w:name="_Toc209605068"/>
      <w:bookmarkStart w:id="157" w:name="_Toc209609003"/>
      <w:bookmarkStart w:id="158" w:name="_Toc208118874"/>
      <w:bookmarkStart w:id="159" w:name="_Toc208238267"/>
      <w:bookmarkStart w:id="160" w:name="_Toc208238429"/>
      <w:bookmarkStart w:id="161" w:name="_Toc208314964"/>
      <w:bookmarkStart w:id="162" w:name="_Toc208313392"/>
      <w:bookmarkStart w:id="163" w:name="_Toc208314266"/>
      <w:bookmarkStart w:id="164" w:name="_Toc208314449"/>
      <w:bookmarkStart w:id="165" w:name="_Toc208314634"/>
      <w:bookmarkStart w:id="166" w:name="_Toc208314818"/>
      <w:bookmarkStart w:id="167" w:name="_Toc208315030"/>
      <w:bookmarkStart w:id="168" w:name="_Toc208315215"/>
      <w:bookmarkStart w:id="169" w:name="_Toc208315401"/>
      <w:bookmarkStart w:id="170" w:name="_Toc208320020"/>
      <w:bookmarkStart w:id="171" w:name="_Toc208325047"/>
      <w:bookmarkStart w:id="172" w:name="_Toc208970031"/>
      <w:bookmarkStart w:id="173" w:name="_Toc208971998"/>
      <w:bookmarkStart w:id="174" w:name="_Toc208972303"/>
      <w:bookmarkStart w:id="175" w:name="_Toc208972511"/>
      <w:bookmarkStart w:id="176" w:name="_Toc208972714"/>
      <w:bookmarkStart w:id="177" w:name="_Toc208972912"/>
      <w:bookmarkStart w:id="178" w:name="_Toc208973172"/>
      <w:bookmarkStart w:id="179" w:name="_Toc208973715"/>
      <w:bookmarkStart w:id="180" w:name="_Toc208973910"/>
      <w:bookmarkStart w:id="181" w:name="_Toc208974110"/>
      <w:bookmarkStart w:id="182" w:name="_Toc208974312"/>
      <w:bookmarkStart w:id="183" w:name="_Toc208974525"/>
      <w:bookmarkStart w:id="184" w:name="_Toc208974786"/>
      <w:bookmarkStart w:id="185" w:name="_Toc208974984"/>
      <w:bookmarkStart w:id="186" w:name="_Toc208975199"/>
      <w:bookmarkStart w:id="187" w:name="_Toc208975720"/>
      <w:bookmarkStart w:id="188" w:name="_Toc208975918"/>
      <w:bookmarkStart w:id="189" w:name="_Toc208976861"/>
      <w:bookmarkStart w:id="190" w:name="_Toc208979642"/>
      <w:bookmarkStart w:id="191" w:name="_Toc208980127"/>
      <w:bookmarkStart w:id="192" w:name="_Toc209229510"/>
      <w:bookmarkStart w:id="193" w:name="_Toc209232608"/>
      <w:bookmarkStart w:id="194" w:name="_Toc209232841"/>
      <w:bookmarkStart w:id="195" w:name="_Toc209233064"/>
      <w:bookmarkStart w:id="196" w:name="_Toc209233287"/>
      <w:bookmarkStart w:id="197" w:name="_Toc209233504"/>
      <w:bookmarkStart w:id="198" w:name="_Toc209233721"/>
      <w:bookmarkStart w:id="199" w:name="_Toc209234007"/>
      <w:bookmarkStart w:id="200" w:name="_Toc209234222"/>
      <w:bookmarkStart w:id="201" w:name="_Toc209234440"/>
      <w:bookmarkStart w:id="202" w:name="_Toc209234730"/>
      <w:bookmarkStart w:id="203" w:name="_Toc209605069"/>
      <w:bookmarkStart w:id="204" w:name="_Toc209609004"/>
      <w:bookmarkStart w:id="205" w:name="_Toc208118875"/>
      <w:bookmarkStart w:id="206" w:name="_Toc208238268"/>
      <w:bookmarkStart w:id="207" w:name="_Toc208238430"/>
      <w:bookmarkStart w:id="208" w:name="_Toc208314965"/>
      <w:bookmarkStart w:id="209" w:name="_Toc208313393"/>
      <w:bookmarkStart w:id="210" w:name="_Toc208314267"/>
      <w:bookmarkStart w:id="211" w:name="_Toc208314450"/>
      <w:bookmarkStart w:id="212" w:name="_Toc208314635"/>
      <w:bookmarkStart w:id="213" w:name="_Toc208314819"/>
      <w:bookmarkStart w:id="214" w:name="_Toc208315031"/>
      <w:bookmarkStart w:id="215" w:name="_Toc208315216"/>
      <w:bookmarkStart w:id="216" w:name="_Toc208315402"/>
      <w:bookmarkStart w:id="217" w:name="_Toc208320021"/>
      <w:bookmarkStart w:id="218" w:name="_Toc208325048"/>
      <w:bookmarkStart w:id="219" w:name="_Toc208970032"/>
      <w:bookmarkStart w:id="220" w:name="_Toc208971999"/>
      <w:bookmarkStart w:id="221" w:name="_Toc208972304"/>
      <w:bookmarkStart w:id="222" w:name="_Toc208972512"/>
      <w:bookmarkStart w:id="223" w:name="_Toc208972715"/>
      <w:bookmarkStart w:id="224" w:name="_Toc208972913"/>
      <w:bookmarkStart w:id="225" w:name="_Toc208973173"/>
      <w:bookmarkStart w:id="226" w:name="_Toc208973716"/>
      <w:bookmarkStart w:id="227" w:name="_Toc208973911"/>
      <w:bookmarkStart w:id="228" w:name="_Toc208974111"/>
      <w:bookmarkStart w:id="229" w:name="_Toc208974313"/>
      <w:bookmarkStart w:id="230" w:name="_Toc208974526"/>
      <w:bookmarkStart w:id="231" w:name="_Toc208974787"/>
      <w:bookmarkStart w:id="232" w:name="_Toc208974985"/>
      <w:bookmarkStart w:id="233" w:name="_Toc208975200"/>
      <w:bookmarkStart w:id="234" w:name="_Toc208975721"/>
      <w:bookmarkStart w:id="235" w:name="_Toc208975919"/>
      <w:bookmarkStart w:id="236" w:name="_Toc208976862"/>
      <w:bookmarkStart w:id="237" w:name="_Toc208977051"/>
      <w:bookmarkStart w:id="238" w:name="_Toc208979643"/>
      <w:bookmarkStart w:id="239" w:name="_Toc208980128"/>
      <w:bookmarkStart w:id="240" w:name="_Toc209229511"/>
      <w:bookmarkStart w:id="241" w:name="_Toc209232609"/>
      <w:bookmarkStart w:id="242" w:name="_Toc209232842"/>
      <w:bookmarkStart w:id="243" w:name="_Toc209233065"/>
      <w:bookmarkStart w:id="244" w:name="_Toc209233288"/>
      <w:bookmarkStart w:id="245" w:name="_Toc209233505"/>
      <w:bookmarkStart w:id="246" w:name="_Toc209233722"/>
      <w:bookmarkStart w:id="247" w:name="_Toc209234008"/>
      <w:bookmarkStart w:id="248" w:name="_Toc209234223"/>
      <w:bookmarkStart w:id="249" w:name="_Toc209234441"/>
      <w:bookmarkStart w:id="250" w:name="_Toc209234731"/>
      <w:bookmarkStart w:id="251" w:name="_Toc209605070"/>
      <w:bookmarkStart w:id="252" w:name="_Toc209609005"/>
      <w:bookmarkStart w:id="253" w:name="_Toc208118876"/>
      <w:bookmarkStart w:id="254" w:name="_Toc208238269"/>
      <w:bookmarkStart w:id="255" w:name="_Toc208238431"/>
      <w:bookmarkStart w:id="256" w:name="_Toc208314966"/>
      <w:bookmarkStart w:id="257" w:name="_Toc208313394"/>
      <w:bookmarkStart w:id="258" w:name="_Toc208314268"/>
      <w:bookmarkStart w:id="259" w:name="_Toc208314451"/>
      <w:bookmarkStart w:id="260" w:name="_Toc208314636"/>
      <w:bookmarkStart w:id="261" w:name="_Toc208314820"/>
      <w:bookmarkStart w:id="262" w:name="_Toc208315032"/>
      <w:bookmarkStart w:id="263" w:name="_Toc208315217"/>
      <w:bookmarkStart w:id="264" w:name="_Toc208315403"/>
      <w:bookmarkStart w:id="265" w:name="_Toc208320022"/>
      <w:bookmarkStart w:id="266" w:name="_Toc208325049"/>
      <w:bookmarkStart w:id="267" w:name="_Toc208970033"/>
      <w:bookmarkStart w:id="268" w:name="_Toc208972000"/>
      <w:bookmarkStart w:id="269" w:name="_Toc208972305"/>
      <w:bookmarkStart w:id="270" w:name="_Toc208972513"/>
      <w:bookmarkStart w:id="271" w:name="_Toc208972716"/>
      <w:bookmarkStart w:id="272" w:name="_Toc208972914"/>
      <w:bookmarkStart w:id="273" w:name="_Toc208973174"/>
      <w:bookmarkStart w:id="274" w:name="_Toc208973717"/>
      <w:bookmarkStart w:id="275" w:name="_Toc208973912"/>
      <w:bookmarkStart w:id="276" w:name="_Toc208974112"/>
      <w:bookmarkStart w:id="277" w:name="_Toc208974314"/>
      <w:bookmarkStart w:id="278" w:name="_Toc208974527"/>
      <w:bookmarkStart w:id="279" w:name="_Toc208974788"/>
      <w:bookmarkStart w:id="280" w:name="_Toc208974986"/>
      <w:bookmarkStart w:id="281" w:name="_Toc208975201"/>
      <w:bookmarkStart w:id="282" w:name="_Toc208975722"/>
      <w:bookmarkStart w:id="283" w:name="_Toc208975920"/>
      <w:bookmarkStart w:id="284" w:name="_Toc208976863"/>
      <w:bookmarkStart w:id="285" w:name="_Toc208979644"/>
      <w:bookmarkStart w:id="286" w:name="_Toc208980129"/>
      <w:bookmarkStart w:id="287" w:name="_Toc209229512"/>
      <w:bookmarkStart w:id="288" w:name="_Toc209232610"/>
      <w:bookmarkStart w:id="289" w:name="_Toc209232843"/>
      <w:bookmarkStart w:id="290" w:name="_Toc209233066"/>
      <w:bookmarkStart w:id="291" w:name="_Toc209233289"/>
      <w:bookmarkStart w:id="292" w:name="_Toc209233506"/>
      <w:bookmarkStart w:id="293" w:name="_Toc209233723"/>
      <w:bookmarkStart w:id="294" w:name="_Toc209234009"/>
      <w:bookmarkStart w:id="295" w:name="_Toc209234224"/>
      <w:bookmarkStart w:id="296" w:name="_Toc209234442"/>
      <w:bookmarkStart w:id="297" w:name="_Toc209234732"/>
      <w:bookmarkStart w:id="298" w:name="_Toc209605071"/>
      <w:bookmarkStart w:id="299" w:name="_Toc209609006"/>
      <w:bookmarkStart w:id="300" w:name="_Toc208118877"/>
      <w:bookmarkStart w:id="301" w:name="_Toc208238270"/>
      <w:bookmarkStart w:id="302" w:name="_Toc208238432"/>
      <w:bookmarkStart w:id="303" w:name="_Toc208314967"/>
      <w:bookmarkStart w:id="304" w:name="_Toc208313395"/>
      <w:bookmarkStart w:id="305" w:name="_Toc208314269"/>
      <w:bookmarkStart w:id="306" w:name="_Toc208314452"/>
      <w:bookmarkStart w:id="307" w:name="_Toc208314637"/>
      <w:bookmarkStart w:id="308" w:name="_Toc208314821"/>
      <w:bookmarkStart w:id="309" w:name="_Toc208315033"/>
      <w:bookmarkStart w:id="310" w:name="_Toc208315218"/>
      <w:bookmarkStart w:id="311" w:name="_Toc208315404"/>
      <w:bookmarkStart w:id="312" w:name="_Toc208320023"/>
      <w:bookmarkStart w:id="313" w:name="_Toc208325050"/>
      <w:bookmarkStart w:id="314" w:name="_Toc208970034"/>
      <w:bookmarkStart w:id="315" w:name="_Toc208972001"/>
      <w:bookmarkStart w:id="316" w:name="_Toc208972306"/>
      <w:bookmarkStart w:id="317" w:name="_Toc208972514"/>
      <w:bookmarkStart w:id="318" w:name="_Toc208972717"/>
      <w:bookmarkStart w:id="319" w:name="_Toc208972915"/>
      <w:bookmarkStart w:id="320" w:name="_Toc208973175"/>
      <w:bookmarkStart w:id="321" w:name="_Toc208973718"/>
      <w:bookmarkStart w:id="322" w:name="_Toc208973913"/>
      <w:bookmarkStart w:id="323" w:name="_Toc208974113"/>
      <w:bookmarkStart w:id="324" w:name="_Toc208974315"/>
      <w:bookmarkStart w:id="325" w:name="_Toc208974528"/>
      <w:bookmarkStart w:id="326" w:name="_Toc208974789"/>
      <w:bookmarkStart w:id="327" w:name="_Toc208974987"/>
      <w:bookmarkStart w:id="328" w:name="_Toc208975202"/>
      <w:bookmarkStart w:id="329" w:name="_Toc208975723"/>
      <w:bookmarkStart w:id="330" w:name="_Toc208975921"/>
      <w:bookmarkStart w:id="331" w:name="_Toc208976864"/>
      <w:bookmarkStart w:id="332" w:name="_Toc208977053"/>
      <w:bookmarkStart w:id="333" w:name="_Toc208979645"/>
      <w:bookmarkStart w:id="334" w:name="_Toc208980130"/>
      <w:bookmarkStart w:id="335" w:name="_Toc209229513"/>
      <w:bookmarkStart w:id="336" w:name="_Toc209232611"/>
      <w:bookmarkStart w:id="337" w:name="_Toc209232844"/>
      <w:bookmarkStart w:id="338" w:name="_Toc209233067"/>
      <w:bookmarkStart w:id="339" w:name="_Toc209233290"/>
      <w:bookmarkStart w:id="340" w:name="_Toc209233507"/>
      <w:bookmarkStart w:id="341" w:name="_Toc209233724"/>
      <w:bookmarkStart w:id="342" w:name="_Toc209234010"/>
      <w:bookmarkStart w:id="343" w:name="_Toc209234225"/>
      <w:bookmarkStart w:id="344" w:name="_Toc209234443"/>
      <w:bookmarkStart w:id="345" w:name="_Toc209234733"/>
      <w:bookmarkStart w:id="346" w:name="_Toc209605072"/>
      <w:bookmarkStart w:id="347" w:name="_Toc209609007"/>
      <w:bookmarkStart w:id="348" w:name="_Toc208118878"/>
      <w:bookmarkStart w:id="349" w:name="_Toc208238271"/>
      <w:bookmarkStart w:id="350" w:name="_Toc208238433"/>
      <w:bookmarkStart w:id="351" w:name="_Toc208314968"/>
      <w:bookmarkStart w:id="352" w:name="_Toc208313396"/>
      <w:bookmarkStart w:id="353" w:name="_Toc208314270"/>
      <w:bookmarkStart w:id="354" w:name="_Toc208314453"/>
      <w:bookmarkStart w:id="355" w:name="_Toc208314638"/>
      <w:bookmarkStart w:id="356" w:name="_Toc208314822"/>
      <w:bookmarkStart w:id="357" w:name="_Toc208315034"/>
      <w:bookmarkStart w:id="358" w:name="_Toc208315219"/>
      <w:bookmarkStart w:id="359" w:name="_Toc208315405"/>
      <w:bookmarkStart w:id="360" w:name="_Toc208320024"/>
      <w:bookmarkStart w:id="361" w:name="_Toc208325051"/>
      <w:bookmarkStart w:id="362" w:name="_Toc208970035"/>
      <w:bookmarkStart w:id="363" w:name="_Toc208972002"/>
      <w:bookmarkStart w:id="364" w:name="_Toc208972307"/>
      <w:bookmarkStart w:id="365" w:name="_Toc208972515"/>
      <w:bookmarkStart w:id="366" w:name="_Toc208972718"/>
      <w:bookmarkStart w:id="367" w:name="_Toc208972916"/>
      <w:bookmarkStart w:id="368" w:name="_Toc208973176"/>
      <w:bookmarkStart w:id="369" w:name="_Toc208973719"/>
      <w:bookmarkStart w:id="370" w:name="_Toc208973914"/>
      <w:bookmarkStart w:id="371" w:name="_Toc208974114"/>
      <w:bookmarkStart w:id="372" w:name="_Toc208974316"/>
      <w:bookmarkStart w:id="373" w:name="_Toc208974529"/>
      <w:bookmarkStart w:id="374" w:name="_Toc208974790"/>
      <w:bookmarkStart w:id="375" w:name="_Toc208974988"/>
      <w:bookmarkStart w:id="376" w:name="_Toc208975203"/>
      <w:bookmarkStart w:id="377" w:name="_Toc208975724"/>
      <w:bookmarkStart w:id="378" w:name="_Toc208975922"/>
      <w:bookmarkStart w:id="379" w:name="_Toc208976865"/>
      <w:bookmarkStart w:id="380" w:name="_Toc208979646"/>
      <w:bookmarkStart w:id="381" w:name="_Toc208980131"/>
      <w:bookmarkStart w:id="382" w:name="_Toc209229514"/>
      <w:bookmarkStart w:id="383" w:name="_Toc209232612"/>
      <w:bookmarkStart w:id="384" w:name="_Toc209232845"/>
      <w:bookmarkStart w:id="385" w:name="_Toc209233068"/>
      <w:bookmarkStart w:id="386" w:name="_Toc209233291"/>
      <w:bookmarkStart w:id="387" w:name="_Toc209233508"/>
      <w:bookmarkStart w:id="388" w:name="_Toc209233725"/>
      <w:bookmarkStart w:id="389" w:name="_Toc209234011"/>
      <w:bookmarkStart w:id="390" w:name="_Toc209234226"/>
      <w:bookmarkStart w:id="391" w:name="_Toc209234444"/>
      <w:bookmarkStart w:id="392" w:name="_Toc209234734"/>
      <w:bookmarkStart w:id="393" w:name="_Toc209605073"/>
      <w:bookmarkStart w:id="394" w:name="_Toc209609008"/>
      <w:bookmarkStart w:id="395" w:name="_Toc208118879"/>
      <w:bookmarkStart w:id="396" w:name="_Toc208238272"/>
      <w:bookmarkStart w:id="397" w:name="_Toc208238434"/>
      <w:bookmarkStart w:id="398" w:name="_Toc208314969"/>
      <w:bookmarkStart w:id="399" w:name="_Toc208313397"/>
      <w:bookmarkStart w:id="400" w:name="_Toc208314271"/>
      <w:bookmarkStart w:id="401" w:name="_Toc208314454"/>
      <w:bookmarkStart w:id="402" w:name="_Toc208314639"/>
      <w:bookmarkStart w:id="403" w:name="_Toc208314823"/>
      <w:bookmarkStart w:id="404" w:name="_Toc208315035"/>
      <w:bookmarkStart w:id="405" w:name="_Toc208315220"/>
      <w:bookmarkStart w:id="406" w:name="_Toc208315406"/>
      <w:bookmarkStart w:id="407" w:name="_Toc208320025"/>
      <w:bookmarkStart w:id="408" w:name="_Toc208325052"/>
      <w:bookmarkStart w:id="409" w:name="_Toc208970036"/>
      <w:bookmarkStart w:id="410" w:name="_Toc208972003"/>
      <w:bookmarkStart w:id="411" w:name="_Toc208972308"/>
      <w:bookmarkStart w:id="412" w:name="_Toc208972516"/>
      <w:bookmarkStart w:id="413" w:name="_Toc208972719"/>
      <w:bookmarkStart w:id="414" w:name="_Toc208972917"/>
      <w:bookmarkStart w:id="415" w:name="_Toc208973177"/>
      <w:bookmarkStart w:id="416" w:name="_Toc208973720"/>
      <w:bookmarkStart w:id="417" w:name="_Toc208973915"/>
      <w:bookmarkStart w:id="418" w:name="_Toc208974115"/>
      <w:bookmarkStart w:id="419" w:name="_Toc208974317"/>
      <w:bookmarkStart w:id="420" w:name="_Toc208974530"/>
      <w:bookmarkStart w:id="421" w:name="_Toc208974791"/>
      <w:bookmarkStart w:id="422" w:name="_Toc208974989"/>
      <w:bookmarkStart w:id="423" w:name="_Toc208975204"/>
      <w:bookmarkStart w:id="424" w:name="_Toc208975725"/>
      <w:bookmarkStart w:id="425" w:name="_Toc208975923"/>
      <w:bookmarkStart w:id="426" w:name="_Toc208976866"/>
      <w:bookmarkStart w:id="427" w:name="_Toc208977055"/>
      <w:bookmarkStart w:id="428" w:name="_Toc208979647"/>
      <w:bookmarkStart w:id="429" w:name="_Toc208980132"/>
      <w:bookmarkStart w:id="430" w:name="_Toc209229515"/>
      <w:bookmarkStart w:id="431" w:name="_Toc209232613"/>
      <w:bookmarkStart w:id="432" w:name="_Toc209232846"/>
      <w:bookmarkStart w:id="433" w:name="_Toc209233069"/>
      <w:bookmarkStart w:id="434" w:name="_Toc209233292"/>
      <w:bookmarkStart w:id="435" w:name="_Toc209233509"/>
      <w:bookmarkStart w:id="436" w:name="_Toc209233726"/>
      <w:bookmarkStart w:id="437" w:name="_Toc209234012"/>
      <w:bookmarkStart w:id="438" w:name="_Toc209234227"/>
      <w:bookmarkStart w:id="439" w:name="_Toc209234445"/>
      <w:bookmarkStart w:id="440" w:name="_Toc209234735"/>
      <w:bookmarkStart w:id="441" w:name="_Toc209605074"/>
      <w:bookmarkStart w:id="442" w:name="_Toc209609009"/>
      <w:bookmarkStart w:id="443" w:name="_bookmark16"/>
      <w:bookmarkStart w:id="444" w:name="_Toc208973721"/>
      <w:bookmarkStart w:id="445" w:name="_Toc208973916"/>
      <w:bookmarkStart w:id="446" w:name="_Toc208974116"/>
      <w:bookmarkStart w:id="447" w:name="_Toc208974318"/>
      <w:bookmarkStart w:id="448" w:name="_Toc208974531"/>
      <w:bookmarkStart w:id="449" w:name="_Toc21058939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r w:rsidRPr="002B3F36">
        <w:t>Land Use and Socio-Economic Setting</w:t>
      </w:r>
      <w:bookmarkEnd w:id="444"/>
      <w:bookmarkEnd w:id="445"/>
      <w:bookmarkEnd w:id="446"/>
      <w:bookmarkEnd w:id="447"/>
      <w:bookmarkEnd w:id="448"/>
      <w:bookmarkEnd w:id="449"/>
    </w:p>
    <w:p w14:paraId="200DAD74" w14:textId="77777777" w:rsidR="00F61F8E" w:rsidRPr="002B3F36" w:rsidRDefault="00F61F8E">
      <w:pPr>
        <w:pStyle w:val="ReportParagraph"/>
      </w:pPr>
    </w:p>
    <w:p w14:paraId="47C3FC67" w14:textId="0A9AB242" w:rsidR="00F61F8E" w:rsidRPr="002B3F36" w:rsidRDefault="000F264B" w:rsidP="00AF3655">
      <w:pPr>
        <w:pStyle w:val="ReportBodyPar"/>
      </w:pPr>
      <w:r w:rsidRPr="002B3F36">
        <w:t xml:space="preserve">The Mointy–Kyzylzhar greenfield railway corridor traverses predominantly undeveloped steppe and semi-desert landscapes in Ulytau Region and </w:t>
      </w:r>
      <w:r w:rsidR="003A184C">
        <w:t>Karagandy</w:t>
      </w:r>
      <w:r w:rsidRPr="002B3F36">
        <w:t xml:space="preserve"> Region. Near settlements or in irrigated plots, the land use is dominated by extensive livestock grazing, with seasonal crop cultivation. The surrounding terrain is open and sparsely populated, with </w:t>
      </w:r>
      <w:r w:rsidRPr="002B3F36">
        <w:lastRenderedPageBreak/>
        <w:t>settlements located at significant distances from one another and often several kilometers</w:t>
      </w:r>
      <w:r w:rsidR="009F3760" w:rsidRPr="002B3F36">
        <w:rPr>
          <w:rStyle w:val="ac"/>
        </w:rPr>
        <w:footnoteReference w:id="8"/>
      </w:r>
      <w:r w:rsidRPr="002B3F36">
        <w:t xml:space="preserve"> from the planned alignment.</w:t>
      </w:r>
    </w:p>
    <w:p w14:paraId="44B6DD46" w14:textId="77777777" w:rsidR="00F61F8E" w:rsidRPr="002B3F36" w:rsidRDefault="00F61F8E" w:rsidP="00AF3655">
      <w:pPr>
        <w:pStyle w:val="ReportBodyPar"/>
      </w:pPr>
    </w:p>
    <w:p w14:paraId="3653A8D0" w14:textId="078A7C1B" w:rsidR="00F61F8E" w:rsidRPr="002B3F36" w:rsidRDefault="000F264B" w:rsidP="00AF3655">
      <w:pPr>
        <w:pStyle w:val="ReportBodyPar"/>
      </w:pPr>
      <w:r w:rsidRPr="002B3F36">
        <w:t>Population density is low, and rural communities typically number only a few hundred residents. Public services such as healthcare, education, and markets are concentrated in district centers, requiring long travel distances for many households. Local infrastructure is limited; road connections are primarily unpaved or regional routes, and utility provision</w:t>
      </w:r>
      <w:r w:rsidR="00BB3A5F" w:rsidRPr="002B3F36">
        <w:t xml:space="preserve"> (</w:t>
      </w:r>
      <w:r w:rsidRPr="002B3F36">
        <w:t>such as electricity, piped water, and telecommunications</w:t>
      </w:r>
      <w:r w:rsidR="00BB3A5F" w:rsidRPr="002B3F36">
        <w:t xml:space="preserve">) </w:t>
      </w:r>
      <w:r w:rsidRPr="002B3F36">
        <w:t>is generally available only in larger settlements.</w:t>
      </w:r>
    </w:p>
    <w:p w14:paraId="427FF9FF" w14:textId="77777777" w:rsidR="00F61F8E" w:rsidRPr="002B3F36" w:rsidRDefault="00F61F8E" w:rsidP="00AF3655">
      <w:pPr>
        <w:pStyle w:val="ReportBodyPar"/>
      </w:pPr>
    </w:p>
    <w:p w14:paraId="42A67B96" w14:textId="77777777" w:rsidR="00F61F8E" w:rsidRPr="002B3F36" w:rsidRDefault="000F264B" w:rsidP="00AF3655">
      <w:pPr>
        <w:pStyle w:val="ReportBodyPar"/>
      </w:pPr>
      <w:r w:rsidRPr="002B3F36">
        <w:t>Livelihoods in the corridor are highly dependent on pastoralism, supported by small-scale crop farming and seasonal wage labor. Seasonal livestock migration is a common practice, reflecting the reliance on rangeland resources. Non-agricultural employment opportunities are scarce, prompting some working-age residents to engage in seasonal or longer-term outmigration to urban centers.</w:t>
      </w:r>
    </w:p>
    <w:p w14:paraId="07DFFC11" w14:textId="77777777" w:rsidR="00F61F8E" w:rsidRPr="002B3F36" w:rsidRDefault="00F61F8E" w:rsidP="00AF3655">
      <w:pPr>
        <w:pStyle w:val="ReportBodyPar"/>
      </w:pPr>
    </w:p>
    <w:p w14:paraId="36D5D219" w14:textId="77777777" w:rsidR="00F61F8E" w:rsidRPr="002B3F36" w:rsidRDefault="000F264B" w:rsidP="00AF3655">
      <w:pPr>
        <w:pStyle w:val="ReportBodyPar"/>
      </w:pPr>
      <w:r w:rsidRPr="002B3F36">
        <w:t>Land tenure is predominantly state-owned, designated for agricultural purposes. Isolated privately held parcels occur near village boundaries, but most of the grazing lands are managed through state allocation and traditional use rights. Access to grazing areas and water points is critical for local economic and social resilience.</w:t>
      </w:r>
    </w:p>
    <w:p w14:paraId="43E9CC38" w14:textId="77777777" w:rsidR="00F61F8E" w:rsidRPr="002B3F36" w:rsidRDefault="00F61F8E" w:rsidP="00AF3655">
      <w:pPr>
        <w:pStyle w:val="ReportBodyPar"/>
      </w:pPr>
    </w:p>
    <w:p w14:paraId="7B4C5097" w14:textId="77777777" w:rsidR="00F61F8E" w:rsidRPr="002B3F36" w:rsidRDefault="000F264B" w:rsidP="00AF3655">
      <w:pPr>
        <w:pStyle w:val="ReportBodyPar"/>
      </w:pPr>
      <w:r w:rsidRPr="002B3F36">
        <w:t>Given the combination of low population density, strong dependence on natural resources, and limited livelihood diversification, the socio-economic setting of the Mointy–Kyzylzhar corridor requires mitigation measures that safeguard grazing access, manage construction-related disruptions, and ensure fair and timely livelihood restoration where land acquisition or access restrictions occur.</w:t>
      </w:r>
    </w:p>
    <w:p w14:paraId="14381CED" w14:textId="77777777" w:rsidR="00F61F8E" w:rsidRPr="002B3F36" w:rsidRDefault="00F61F8E">
      <w:pPr>
        <w:pStyle w:val="ReportParagraph"/>
      </w:pPr>
    </w:p>
    <w:p w14:paraId="47BA5C4E" w14:textId="5A2588B4" w:rsidR="00F61F8E" w:rsidRPr="002B3F36" w:rsidRDefault="000F264B" w:rsidP="005A68AD">
      <w:pPr>
        <w:pStyle w:val="31"/>
      </w:pPr>
      <w:bookmarkStart w:id="450" w:name="_bookmark18"/>
      <w:bookmarkStart w:id="451" w:name="_Toc208973722"/>
      <w:bookmarkStart w:id="452" w:name="_Toc208973917"/>
      <w:bookmarkStart w:id="453" w:name="_Toc208974117"/>
      <w:bookmarkStart w:id="454" w:name="_Toc208974319"/>
      <w:bookmarkStart w:id="455" w:name="_Toc208974532"/>
      <w:bookmarkStart w:id="456" w:name="_Toc210589393"/>
      <w:bookmarkEnd w:id="450"/>
      <w:r w:rsidRPr="002B3F36">
        <w:t xml:space="preserve">Project Geography and </w:t>
      </w:r>
      <w:r w:rsidR="00C47FE4" w:rsidRPr="002B3F36">
        <w:t>Ecological</w:t>
      </w:r>
      <w:r w:rsidRPr="002B3F36">
        <w:t xml:space="preserve"> Habitat</w:t>
      </w:r>
      <w:bookmarkEnd w:id="451"/>
      <w:bookmarkEnd w:id="452"/>
      <w:bookmarkEnd w:id="453"/>
      <w:bookmarkEnd w:id="454"/>
      <w:bookmarkEnd w:id="455"/>
      <w:bookmarkEnd w:id="456"/>
    </w:p>
    <w:p w14:paraId="5373FC9E" w14:textId="77777777" w:rsidR="00F61F8E" w:rsidRPr="002B3F36" w:rsidRDefault="00F61F8E">
      <w:pPr>
        <w:pStyle w:val="ReportParagraph"/>
      </w:pPr>
    </w:p>
    <w:p w14:paraId="5057DB1A" w14:textId="24C203A0" w:rsidR="007E35D0" w:rsidRPr="002B3F36" w:rsidRDefault="000F264B" w:rsidP="00F82096">
      <w:pPr>
        <w:widowControl/>
        <w:autoSpaceDE/>
        <w:autoSpaceDN/>
        <w:jc w:val="both"/>
        <w:divId w:val="1487432135"/>
        <w:rPr>
          <w:rFonts w:ascii="Arial" w:eastAsia="Calibri" w:hAnsi="Arial" w:cs="Arial"/>
          <w:sz w:val="24"/>
          <w:szCs w:val="24"/>
        </w:rPr>
      </w:pPr>
      <w:r w:rsidRPr="002B3F36">
        <w:rPr>
          <w:rFonts w:ascii="Arial" w:hAnsi="Arial" w:cs="Arial"/>
          <w:sz w:val="24"/>
          <w:szCs w:val="24"/>
        </w:rPr>
        <w:t>The Mointy–Kyzylzhar Railway Greenfield Project spans 32</w:t>
      </w:r>
      <w:r w:rsidR="005C152A">
        <w:rPr>
          <w:rFonts w:ascii="Arial" w:hAnsi="Arial" w:cs="Arial"/>
          <w:sz w:val="24"/>
          <w:szCs w:val="24"/>
        </w:rPr>
        <w:t>2.2</w:t>
      </w:r>
      <w:r w:rsidRPr="002B3F36">
        <w:rPr>
          <w:rFonts w:ascii="Arial" w:hAnsi="Arial" w:cs="Arial"/>
          <w:sz w:val="24"/>
          <w:szCs w:val="24"/>
        </w:rPr>
        <w:t xml:space="preserve"> kilometers through central and north-central Kazakhstan, connecting the towns of Mointy and Kyzylzhar. Based on the geographic alignment, the corridor cuts across the transitional zones of the Kazakh Uplands (Saryarka), characterized by open steppe and semi-desert landscapes. The route avoids densely populated areas </w:t>
      </w:r>
      <w:r w:rsidR="007E35D0" w:rsidRPr="002B3F36">
        <w:rPr>
          <w:rFonts w:ascii="Arial" w:hAnsi="Arial" w:cs="Arial"/>
          <w:sz w:val="24"/>
          <w:szCs w:val="24"/>
        </w:rPr>
        <w:t xml:space="preserve">but traversing </w:t>
      </w:r>
      <w:r w:rsidR="007E35D0" w:rsidRPr="00A846C7">
        <w:rPr>
          <w:rFonts w:ascii="Arial" w:eastAsia="Times New Roman" w:hAnsi="Arial" w:cs="Arial"/>
          <w:color w:val="222222"/>
          <w:sz w:val="24"/>
          <w:szCs w:val="24"/>
          <w:lang w:eastAsia="en-PH"/>
        </w:rPr>
        <w:t xml:space="preserve">2 </w:t>
      </w:r>
      <w:r w:rsidR="00410663" w:rsidRPr="00410663">
        <w:rPr>
          <w:rFonts w:ascii="Arial" w:hAnsi="Arial" w:cs="Arial"/>
          <w:sz w:val="24"/>
          <w:szCs w:val="24"/>
        </w:rPr>
        <w:t xml:space="preserve">Key Biodiversity Areas (KBAs), also known as Important Bird Areas (IBAs), </w:t>
      </w:r>
      <w:r w:rsidR="007E35D0" w:rsidRPr="00A846C7">
        <w:rPr>
          <w:rFonts w:ascii="Arial" w:eastAsia="Times New Roman" w:hAnsi="Arial" w:cs="Arial"/>
          <w:color w:val="222222"/>
          <w:sz w:val="24"/>
          <w:szCs w:val="24"/>
          <w:lang w:eastAsia="en-PH"/>
        </w:rPr>
        <w:t>and 1 national protected area</w:t>
      </w:r>
      <w:r w:rsidR="6D62E9B0" w:rsidRPr="00A846C7">
        <w:rPr>
          <w:rFonts w:ascii="Arial" w:eastAsia="Times New Roman" w:hAnsi="Arial" w:cs="Arial"/>
          <w:color w:val="222222"/>
          <w:sz w:val="24"/>
          <w:szCs w:val="24"/>
          <w:lang w:val="en" w:eastAsia="en-PH"/>
        </w:rPr>
        <w:t>.</w:t>
      </w:r>
      <w:r w:rsidR="007E35D0" w:rsidRPr="002B3F36">
        <w:rPr>
          <w:rFonts w:ascii="Arial" w:hAnsi="Arial" w:cs="Arial"/>
          <w:sz w:val="24"/>
          <w:szCs w:val="24"/>
        </w:rPr>
        <w:t xml:space="preserve"> </w:t>
      </w:r>
      <w:r w:rsidR="6D62E9B0" w:rsidRPr="002B3F36">
        <w:rPr>
          <w:rFonts w:ascii="Arial" w:hAnsi="Arial" w:cs="Arial"/>
          <w:sz w:val="24"/>
          <w:szCs w:val="24"/>
        </w:rPr>
        <w:t xml:space="preserve">It goes through mostly low-relief plains and arid terrain, with minimal surface water bodies and highly seasonal hydrological features. </w:t>
      </w:r>
      <w:r w:rsidR="007E35D0" w:rsidRPr="002B3F36">
        <w:rPr>
          <w:rFonts w:ascii="Arial" w:hAnsi="Arial" w:cs="Arial"/>
          <w:sz w:val="24"/>
          <w:szCs w:val="24"/>
        </w:rPr>
        <w:t xml:space="preserve">. It goes through mostly low-relief plains and arid terrain, with minimal surface water bodies and highly seasonal hydrological features. </w:t>
      </w:r>
      <w:r w:rsidR="00EB4816">
        <w:rPr>
          <w:rFonts w:ascii="Arial" w:hAnsi="Arial" w:cs="Arial"/>
          <w:sz w:val="24"/>
          <w:szCs w:val="24"/>
        </w:rPr>
        <w:t>I</w:t>
      </w:r>
      <w:r w:rsidR="007E35D0" w:rsidRPr="002B3F36">
        <w:rPr>
          <w:rFonts w:ascii="Arial" w:hAnsi="Arial" w:cs="Arial"/>
          <w:sz w:val="24"/>
          <w:szCs w:val="24"/>
        </w:rPr>
        <w:t xml:space="preserve">t has limited but visible direct anthropogenic pressures on ecologically sensitive habitats. It goes through mostly low-relief plains and arid terrain, with minimal surface water bodies and highly seasonal hydrological features. </w:t>
      </w:r>
    </w:p>
    <w:p w14:paraId="3834BE2C" w14:textId="77777777" w:rsidR="00F61F8E" w:rsidRPr="002B3F36" w:rsidRDefault="00F61F8E" w:rsidP="007E35D0">
      <w:pPr>
        <w:pStyle w:val="ReportBodyPar"/>
      </w:pPr>
    </w:p>
    <w:p w14:paraId="4602A4DB" w14:textId="77777777" w:rsidR="00F61F8E" w:rsidRPr="002B3F36" w:rsidRDefault="000F264B">
      <w:pPr>
        <w:pStyle w:val="20"/>
      </w:pPr>
      <w:bookmarkStart w:id="457" w:name="_Toc210583356"/>
      <w:bookmarkStart w:id="458" w:name="_Toc210583660"/>
      <w:bookmarkStart w:id="459" w:name="_Toc210583822"/>
      <w:bookmarkStart w:id="460" w:name="_Toc210589017"/>
      <w:bookmarkStart w:id="461" w:name="_Toc210589394"/>
      <w:bookmarkStart w:id="462" w:name="_Toc210583357"/>
      <w:bookmarkStart w:id="463" w:name="_Toc210583661"/>
      <w:bookmarkStart w:id="464" w:name="_Toc210583823"/>
      <w:bookmarkStart w:id="465" w:name="_Toc210589018"/>
      <w:bookmarkStart w:id="466" w:name="_Toc210589395"/>
      <w:bookmarkStart w:id="467" w:name="_Toc210583358"/>
      <w:bookmarkStart w:id="468" w:name="_Toc210583662"/>
      <w:bookmarkStart w:id="469" w:name="_Toc210583824"/>
      <w:bookmarkStart w:id="470" w:name="_Toc210589019"/>
      <w:bookmarkStart w:id="471" w:name="_Toc210589396"/>
      <w:bookmarkStart w:id="472" w:name="_Toc210583359"/>
      <w:bookmarkStart w:id="473" w:name="_Toc210583663"/>
      <w:bookmarkStart w:id="474" w:name="_Toc210583825"/>
      <w:bookmarkStart w:id="475" w:name="_Toc210589020"/>
      <w:bookmarkStart w:id="476" w:name="_Toc210589397"/>
      <w:bookmarkStart w:id="477" w:name="_bookmark21"/>
      <w:bookmarkStart w:id="478" w:name="_Toc208973723"/>
      <w:bookmarkStart w:id="479" w:name="_Toc208973918"/>
      <w:bookmarkStart w:id="480" w:name="_Toc208974118"/>
      <w:bookmarkStart w:id="481" w:name="_Toc208974320"/>
      <w:bookmarkStart w:id="482" w:name="_Toc208974533"/>
      <w:bookmarkStart w:id="483" w:name="_Toc210589398"/>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2B3F36">
        <w:t>Alignment Overview and Project Components</w:t>
      </w:r>
      <w:bookmarkEnd w:id="478"/>
      <w:bookmarkEnd w:id="479"/>
      <w:bookmarkEnd w:id="480"/>
      <w:bookmarkEnd w:id="481"/>
      <w:bookmarkEnd w:id="482"/>
      <w:bookmarkEnd w:id="483"/>
    </w:p>
    <w:p w14:paraId="6E7B2E03" w14:textId="77777777" w:rsidR="00F61F8E" w:rsidRPr="002B3F36" w:rsidRDefault="00F61F8E">
      <w:pPr>
        <w:pStyle w:val="ReportParagraph"/>
      </w:pPr>
    </w:p>
    <w:p w14:paraId="06A11BBC" w14:textId="70473649" w:rsidR="00F61F8E" w:rsidRPr="002B3F36" w:rsidRDefault="000F264B" w:rsidP="00AF3655">
      <w:pPr>
        <w:pStyle w:val="ReportBodyPar"/>
      </w:pPr>
      <w:r w:rsidRPr="002B3F36">
        <w:t>The Mointy–Kyzylzhar Railway Greenfield Project will establish a modern single-track railway line of 32</w:t>
      </w:r>
      <w:r w:rsidR="005C152A">
        <w:t>2.2</w:t>
      </w:r>
      <w:r w:rsidRPr="002B3F36">
        <w:t xml:space="preserve"> kilometers across central Kazakhstan, designed under national railway standards to meet current freight and operational demands. The alignment has been </w:t>
      </w:r>
      <w:r w:rsidRPr="002B3F36">
        <w:lastRenderedPageBreak/>
        <w:t>planned to avoid densely populated areas and minimize encroachment into environmentally</w:t>
      </w:r>
      <w:r w:rsidR="00CA5B69" w:rsidRPr="002B3F36">
        <w:t xml:space="preserve"> core areas of</w:t>
      </w:r>
      <w:r w:rsidRPr="002B3F36">
        <w:t xml:space="preserve"> sensitive zones while creating a direct, high-capacity transport corridor linking Mointy and Kyzylzhar.</w:t>
      </w:r>
    </w:p>
    <w:p w14:paraId="6DB1AB79" w14:textId="77777777" w:rsidR="00F61F8E" w:rsidRPr="002B3F36" w:rsidRDefault="00F61F8E" w:rsidP="00AF3655">
      <w:pPr>
        <w:pStyle w:val="ReportBodyPar"/>
      </w:pPr>
    </w:p>
    <w:p w14:paraId="540C394A" w14:textId="77777777" w:rsidR="00F61F8E" w:rsidRPr="002B3F36" w:rsidRDefault="000F264B" w:rsidP="00AF3655">
      <w:pPr>
        <w:pStyle w:val="ReportBodyPar"/>
      </w:pPr>
      <w:r w:rsidRPr="002B3F36">
        <w:t>The project includes a new railbed and track structure built with heat-strengthened R65 rails on reinforced concrete sleepers, with a ballast foundation for long-term stability and durability. Continuous welded rail technology will be applied using aluminothermic welding, ensuring a smoother, more reliable track capable of handling heavy freight volumes under Kazakhstan’s harsh continental climate, where temperatures fluctuate widely between seasons.</w:t>
      </w:r>
    </w:p>
    <w:p w14:paraId="73FEC14B" w14:textId="77777777" w:rsidR="00F61F8E" w:rsidRPr="002B3F36" w:rsidRDefault="00F61F8E" w:rsidP="00AF3655">
      <w:pPr>
        <w:pStyle w:val="ReportBodyPar"/>
      </w:pPr>
    </w:p>
    <w:p w14:paraId="0F4A4C4A" w14:textId="05EE9933" w:rsidR="00F61F8E" w:rsidRPr="002B3F36" w:rsidRDefault="000F264B" w:rsidP="00AF3655">
      <w:pPr>
        <w:pStyle w:val="ReportBodyPar"/>
      </w:pPr>
      <w:r w:rsidRPr="002B3F36">
        <w:t xml:space="preserve">To support efficient train operations, the design incorporates </w:t>
      </w:r>
      <w:r w:rsidR="0025494F">
        <w:t>17</w:t>
      </w:r>
      <w:r w:rsidR="0025494F" w:rsidRPr="002B3F36">
        <w:t xml:space="preserve"> </w:t>
      </w:r>
      <w:r w:rsidRPr="002B3F36">
        <w:t>passing points and the modernization or construction of key stations such as Kyzylzhar, Aktau, Karazhal-2, and Mointy. These facilities will include multiple reception-departure tracks, pull-out tracks, and classification yards to handle both current and projected freight volumes, with capacity for up to 30 pairs of trains per day, including double-stacked container trains.</w:t>
      </w:r>
    </w:p>
    <w:p w14:paraId="305D780B" w14:textId="77777777" w:rsidR="00F61F8E" w:rsidRPr="002B3F36" w:rsidRDefault="00F61F8E" w:rsidP="00AF3655">
      <w:pPr>
        <w:pStyle w:val="ReportBodyPar"/>
      </w:pPr>
    </w:p>
    <w:p w14:paraId="2EE9CAB2" w14:textId="4AE0A4C5" w:rsidR="00F61F8E" w:rsidRPr="002B3F36" w:rsidRDefault="000F264B" w:rsidP="00AF3655">
      <w:pPr>
        <w:pStyle w:val="ReportBodyPar"/>
      </w:pPr>
      <w:r w:rsidRPr="002B3F36">
        <w:t xml:space="preserve">The project scope also includes signaling and telecommunications systems, power supply and utility connections, and access </w:t>
      </w:r>
      <w:r w:rsidR="00C63AAF" w:rsidRPr="002B3F36">
        <w:t>rail</w:t>
      </w:r>
      <w:r w:rsidRPr="002B3F36">
        <w:t>roads to ensure safe operations and easy maintenance access. Together, these components will deliver a modern, high-capacity railway corridor designed for long-term reliability and efficiency under Kazakhstan’s operating conditions.</w:t>
      </w:r>
    </w:p>
    <w:p w14:paraId="5A11ECC6" w14:textId="77777777" w:rsidR="00F61F8E" w:rsidRPr="002B3F36" w:rsidRDefault="00F61F8E">
      <w:pPr>
        <w:pStyle w:val="ReportParagraph"/>
      </w:pPr>
    </w:p>
    <w:p w14:paraId="7CB54729" w14:textId="4A087E65" w:rsidR="00F61F8E" w:rsidRPr="002B3F36" w:rsidRDefault="000F264B">
      <w:pPr>
        <w:rPr>
          <w:rFonts w:ascii="Arial" w:hAnsi="Arial" w:cs="Arial"/>
        </w:rPr>
      </w:pPr>
      <w:r w:rsidRPr="002B3F36">
        <w:rPr>
          <w:rFonts w:ascii="Arial" w:hAnsi="Arial" w:cs="Arial"/>
          <w:noProof/>
        </w:rPr>
        <w:drawing>
          <wp:inline distT="0" distB="0" distL="0" distR="0" wp14:anchorId="33DFD3CE" wp14:editId="3CA2E5F1">
            <wp:extent cx="6286500" cy="4251960"/>
            <wp:effectExtent l="19050" t="19050" r="19050" b="15240"/>
            <wp:docPr id="1031" name="image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17.png"/>
                    <pic:cNvPicPr/>
                  </pic:nvPicPr>
                  <pic:blipFill>
                    <a:blip r:embed="rId26" cstate="print"/>
                    <a:srcRect/>
                    <a:stretch/>
                  </pic:blipFill>
                  <pic:spPr>
                    <a:xfrm>
                      <a:off x="0" y="0"/>
                      <a:ext cx="6286500" cy="4251960"/>
                    </a:xfrm>
                    <a:prstGeom prst="rect">
                      <a:avLst/>
                    </a:prstGeom>
                    <a:ln w="9525" cap="flat" cmpd="sng">
                      <a:solidFill>
                        <a:schemeClr val="tx1"/>
                      </a:solidFill>
                      <a:prstDash val="solid"/>
                      <a:round/>
                      <a:headEnd/>
                      <a:tailEnd/>
                    </a:ln>
                  </pic:spPr>
                </pic:pic>
              </a:graphicData>
            </a:graphic>
          </wp:inline>
        </w:drawing>
      </w:r>
    </w:p>
    <w:p w14:paraId="5177EAED" w14:textId="2D77E284" w:rsidR="00F61F8E" w:rsidRPr="002B3F36" w:rsidRDefault="000F264B" w:rsidP="000126FC">
      <w:pPr>
        <w:pStyle w:val="FigureCaption"/>
        <w:rPr>
          <w:rFonts w:cs="Arial"/>
        </w:rPr>
      </w:pPr>
      <w:bookmarkStart w:id="484" w:name="_Toc210589592"/>
      <w:r w:rsidRPr="002B3F36">
        <w:rPr>
          <w:rFonts w:cs="Arial"/>
        </w:rPr>
        <w:t xml:space="preserve">Figure </w:t>
      </w:r>
      <w:r w:rsidR="00F3729F" w:rsidRPr="002B3F36">
        <w:rPr>
          <w:rFonts w:cs="Arial"/>
          <w:b w:val="0"/>
        </w:rPr>
        <w:fldChar w:fldCharType="begin"/>
      </w:r>
      <w:r w:rsidR="00F3729F" w:rsidRPr="002B3F36">
        <w:rPr>
          <w:rFonts w:cs="Arial"/>
        </w:rPr>
        <w:instrText xml:space="preserve"> SEQ Figure \* ARABIC </w:instrText>
      </w:r>
      <w:r w:rsidR="00F3729F" w:rsidRPr="002B3F36">
        <w:rPr>
          <w:rFonts w:cs="Arial"/>
          <w:b w:val="0"/>
        </w:rPr>
        <w:fldChar w:fldCharType="separate"/>
      </w:r>
      <w:r w:rsidR="002B3F36">
        <w:rPr>
          <w:rFonts w:cs="Arial"/>
          <w:noProof/>
        </w:rPr>
        <w:t>3</w:t>
      </w:r>
      <w:r w:rsidR="00F3729F" w:rsidRPr="002B3F36">
        <w:rPr>
          <w:rFonts w:cs="Arial"/>
          <w:b w:val="0"/>
        </w:rPr>
        <w:fldChar w:fldCharType="end"/>
      </w:r>
      <w:r w:rsidRPr="002B3F36">
        <w:rPr>
          <w:rFonts w:cs="Arial"/>
        </w:rPr>
        <w:t>: Greenfield Project Map of Mointy-Kyzylzhar</w:t>
      </w:r>
      <w:bookmarkEnd w:id="484"/>
    </w:p>
    <w:p w14:paraId="007C69D5" w14:textId="77777777" w:rsidR="00F61F8E" w:rsidRPr="002B3F36" w:rsidRDefault="00F61F8E">
      <w:pPr>
        <w:pStyle w:val="ReportParagraph"/>
      </w:pPr>
    </w:p>
    <w:p w14:paraId="3FF4BACA" w14:textId="77777777" w:rsidR="00F61F8E" w:rsidRPr="002B3F36" w:rsidRDefault="000F264B" w:rsidP="005A68AD">
      <w:pPr>
        <w:pStyle w:val="31"/>
      </w:pPr>
      <w:bookmarkStart w:id="485" w:name="_Toc208973724"/>
      <w:bookmarkStart w:id="486" w:name="_Toc208973919"/>
      <w:bookmarkStart w:id="487" w:name="_Toc208974119"/>
      <w:bookmarkStart w:id="488" w:name="_Toc208974321"/>
      <w:bookmarkStart w:id="489" w:name="_Toc208974534"/>
      <w:bookmarkStart w:id="490" w:name="_Toc210589399"/>
      <w:r w:rsidRPr="002B3F36">
        <w:lastRenderedPageBreak/>
        <w:t>Adopted Project Design Parameters</w:t>
      </w:r>
      <w:bookmarkEnd w:id="485"/>
      <w:bookmarkEnd w:id="486"/>
      <w:bookmarkEnd w:id="487"/>
      <w:bookmarkEnd w:id="488"/>
      <w:bookmarkEnd w:id="489"/>
      <w:bookmarkEnd w:id="490"/>
    </w:p>
    <w:p w14:paraId="2AAEA9E2" w14:textId="77777777" w:rsidR="00F61F8E" w:rsidRPr="002B3F36" w:rsidRDefault="000F264B" w:rsidP="00AF3655">
      <w:pPr>
        <w:pStyle w:val="ReportBodyPar"/>
      </w:pPr>
      <w:r w:rsidRPr="002B3F36">
        <w:t>Project Data:</w:t>
      </w:r>
    </w:p>
    <w:p w14:paraId="09B80185" w14:textId="139E2C26" w:rsidR="00F61F8E" w:rsidRPr="002B3F36" w:rsidRDefault="000F264B" w:rsidP="00AF3655">
      <w:pPr>
        <w:pStyle w:val="ReportBodyPar"/>
      </w:pPr>
      <w:r w:rsidRPr="002B3F36">
        <w:t xml:space="preserve">Category of railway track: </w:t>
      </w:r>
      <w:r w:rsidR="00DF4A4C" w:rsidRPr="002B3F36">
        <w:t xml:space="preserve"> </w:t>
      </w:r>
      <w:r w:rsidRPr="002B3F36">
        <w:t>II – Based on SP RK 3.03-114-2014, entitled “Railways”, is an active regulatory standard that outlines technical requirements for the design, construction, operation, and/or reconstruction of railway lines in Kazakhstan. The adopted design parameters are as follows:</w:t>
      </w:r>
    </w:p>
    <w:p w14:paraId="08E4CF1E" w14:textId="6D72FEF3" w:rsidR="00F61F8E" w:rsidRPr="002B3F36" w:rsidRDefault="00F61F8E">
      <w:pPr>
        <w:pStyle w:val="ReportParagraph"/>
      </w:pPr>
    </w:p>
    <w:p w14:paraId="24C71CA9" w14:textId="24C12131" w:rsidR="008235B6" w:rsidRPr="002B3F36" w:rsidRDefault="008235B6" w:rsidP="00C452FA">
      <w:pPr>
        <w:pStyle w:val="CaptionTable"/>
      </w:pPr>
      <w:bookmarkStart w:id="491" w:name="_Toc210589546"/>
      <w:r w:rsidRPr="002B3F36">
        <w:t xml:space="preserve">Table </w:t>
      </w:r>
      <w:r w:rsidR="00EB4816">
        <w:rPr>
          <w:noProof/>
        </w:rPr>
        <w:fldChar w:fldCharType="begin"/>
      </w:r>
      <w:r w:rsidR="00EB4816">
        <w:rPr>
          <w:noProof/>
        </w:rPr>
        <w:instrText xml:space="preserve"> SEQ Table \* ARABIC </w:instrText>
      </w:r>
      <w:r w:rsidR="00EB4816">
        <w:rPr>
          <w:noProof/>
        </w:rPr>
        <w:fldChar w:fldCharType="separate"/>
      </w:r>
      <w:r w:rsidR="00A023DA">
        <w:rPr>
          <w:noProof/>
        </w:rPr>
        <w:t>2</w:t>
      </w:r>
      <w:r w:rsidR="00EB4816">
        <w:rPr>
          <w:noProof/>
        </w:rPr>
        <w:fldChar w:fldCharType="end"/>
      </w:r>
      <w:r w:rsidRPr="002B3F36">
        <w:t xml:space="preserve">: </w:t>
      </w:r>
      <w:r w:rsidR="003D073B" w:rsidRPr="002B3F36">
        <w:t>Design Parameters for Mointy-Kyzylzhar Railway</w:t>
      </w:r>
      <w:bookmarkEnd w:id="491"/>
    </w:p>
    <w:tbl>
      <w:tblPr>
        <w:tblStyle w:val="af"/>
        <w:tblW w:w="8383" w:type="dxa"/>
        <w:jc w:val="center"/>
        <w:tblLook w:val="04A0" w:firstRow="1" w:lastRow="0" w:firstColumn="1" w:lastColumn="0" w:noHBand="0" w:noVBand="1"/>
      </w:tblPr>
      <w:tblGrid>
        <w:gridCol w:w="5125"/>
        <w:gridCol w:w="3258"/>
      </w:tblGrid>
      <w:tr w:rsidR="00F61F8E" w:rsidRPr="002B3F36" w14:paraId="5AF07E40" w14:textId="77777777" w:rsidTr="000E123E">
        <w:trPr>
          <w:tblHeader/>
          <w:jc w:val="center"/>
        </w:trPr>
        <w:tc>
          <w:tcPr>
            <w:tcW w:w="5125" w:type="dxa"/>
          </w:tcPr>
          <w:p w14:paraId="4CEA6A2B" w14:textId="77777777" w:rsidR="00F61F8E" w:rsidRPr="002B3F36" w:rsidRDefault="000F264B">
            <w:pPr>
              <w:pStyle w:val="ReportParagraph"/>
              <w:jc w:val="center"/>
              <w:rPr>
                <w:b/>
                <w:sz w:val="20"/>
                <w:szCs w:val="20"/>
              </w:rPr>
            </w:pPr>
            <w:r w:rsidRPr="002B3F36">
              <w:rPr>
                <w:b/>
                <w:sz w:val="20"/>
                <w:szCs w:val="20"/>
              </w:rPr>
              <w:t>Parameter</w:t>
            </w:r>
          </w:p>
        </w:tc>
        <w:tc>
          <w:tcPr>
            <w:tcW w:w="3258" w:type="dxa"/>
          </w:tcPr>
          <w:p w14:paraId="57F7DD45" w14:textId="77777777" w:rsidR="00F61F8E" w:rsidRPr="002B3F36" w:rsidRDefault="000F264B">
            <w:pPr>
              <w:pStyle w:val="ReportParagraph"/>
              <w:jc w:val="center"/>
              <w:rPr>
                <w:b/>
                <w:sz w:val="20"/>
                <w:szCs w:val="20"/>
              </w:rPr>
            </w:pPr>
            <w:r w:rsidRPr="002B3F36">
              <w:rPr>
                <w:b/>
                <w:sz w:val="20"/>
                <w:szCs w:val="20"/>
              </w:rPr>
              <w:t>Value</w:t>
            </w:r>
          </w:p>
        </w:tc>
      </w:tr>
      <w:tr w:rsidR="00F61F8E" w:rsidRPr="002B3F36" w14:paraId="159F08E5" w14:textId="77777777">
        <w:trPr>
          <w:jc w:val="center"/>
        </w:trPr>
        <w:tc>
          <w:tcPr>
            <w:tcW w:w="5125" w:type="dxa"/>
          </w:tcPr>
          <w:p w14:paraId="57284373" w14:textId="77777777" w:rsidR="00F61F8E" w:rsidRPr="002B3F36" w:rsidRDefault="000F264B">
            <w:pPr>
              <w:pStyle w:val="ReportParagraph"/>
              <w:rPr>
                <w:sz w:val="20"/>
                <w:szCs w:val="20"/>
              </w:rPr>
            </w:pPr>
            <w:r w:rsidRPr="002B3F36">
              <w:rPr>
                <w:sz w:val="20"/>
                <w:szCs w:val="20"/>
              </w:rPr>
              <w:t xml:space="preserve">Operational length: </w:t>
            </w:r>
          </w:p>
        </w:tc>
        <w:tc>
          <w:tcPr>
            <w:tcW w:w="3258" w:type="dxa"/>
          </w:tcPr>
          <w:p w14:paraId="3EB089B0" w14:textId="77777777" w:rsidR="00F61F8E" w:rsidRPr="002B3F36" w:rsidRDefault="000F264B">
            <w:pPr>
              <w:pStyle w:val="ReportParagraph"/>
              <w:rPr>
                <w:sz w:val="20"/>
                <w:szCs w:val="20"/>
              </w:rPr>
            </w:pPr>
            <w:r w:rsidRPr="002B3F36">
              <w:rPr>
                <w:sz w:val="20"/>
                <w:szCs w:val="20"/>
              </w:rPr>
              <w:t>325,517.60 m.</w:t>
            </w:r>
          </w:p>
        </w:tc>
      </w:tr>
      <w:tr w:rsidR="00F61F8E" w:rsidRPr="002B3F36" w14:paraId="0896F8DD" w14:textId="77777777">
        <w:trPr>
          <w:jc w:val="center"/>
        </w:trPr>
        <w:tc>
          <w:tcPr>
            <w:tcW w:w="5125" w:type="dxa"/>
          </w:tcPr>
          <w:p w14:paraId="1124F882" w14:textId="77777777" w:rsidR="00F61F8E" w:rsidRPr="002B3F36" w:rsidRDefault="000F264B">
            <w:pPr>
              <w:pStyle w:val="ReportParagraph"/>
              <w:rPr>
                <w:sz w:val="20"/>
                <w:szCs w:val="20"/>
              </w:rPr>
            </w:pPr>
            <w:r w:rsidRPr="002B3F36">
              <w:rPr>
                <w:sz w:val="20"/>
                <w:szCs w:val="20"/>
              </w:rPr>
              <w:t>Straight section:</w:t>
            </w:r>
          </w:p>
        </w:tc>
        <w:tc>
          <w:tcPr>
            <w:tcW w:w="3258" w:type="dxa"/>
          </w:tcPr>
          <w:p w14:paraId="525E595C" w14:textId="77777777" w:rsidR="00F61F8E" w:rsidRPr="002B3F36" w:rsidRDefault="000F264B">
            <w:pPr>
              <w:pStyle w:val="ReportParagraph"/>
              <w:rPr>
                <w:sz w:val="20"/>
                <w:szCs w:val="20"/>
              </w:rPr>
            </w:pPr>
            <w:r w:rsidRPr="002B3F36">
              <w:rPr>
                <w:sz w:val="20"/>
                <w:szCs w:val="20"/>
              </w:rPr>
              <w:t>257,294.20 m.</w:t>
            </w:r>
          </w:p>
        </w:tc>
      </w:tr>
      <w:tr w:rsidR="00F61F8E" w:rsidRPr="002B3F36" w14:paraId="50AFEE88" w14:textId="77777777">
        <w:trPr>
          <w:jc w:val="center"/>
        </w:trPr>
        <w:tc>
          <w:tcPr>
            <w:tcW w:w="5125" w:type="dxa"/>
          </w:tcPr>
          <w:p w14:paraId="22D5F2FB" w14:textId="77777777" w:rsidR="00F61F8E" w:rsidRPr="002B3F36" w:rsidRDefault="000F264B">
            <w:pPr>
              <w:pStyle w:val="ReportParagraph"/>
              <w:rPr>
                <w:sz w:val="20"/>
                <w:szCs w:val="20"/>
              </w:rPr>
            </w:pPr>
            <w:r w:rsidRPr="002B3F36">
              <w:rPr>
                <w:sz w:val="20"/>
                <w:szCs w:val="20"/>
              </w:rPr>
              <w:t xml:space="preserve">Curved section: </w:t>
            </w:r>
          </w:p>
        </w:tc>
        <w:tc>
          <w:tcPr>
            <w:tcW w:w="3258" w:type="dxa"/>
          </w:tcPr>
          <w:p w14:paraId="04D73F9C" w14:textId="77777777" w:rsidR="00F61F8E" w:rsidRPr="002B3F36" w:rsidRDefault="000F264B">
            <w:pPr>
              <w:pStyle w:val="ReportParagraph"/>
              <w:rPr>
                <w:sz w:val="20"/>
                <w:szCs w:val="20"/>
              </w:rPr>
            </w:pPr>
            <w:r w:rsidRPr="002B3F36">
              <w:rPr>
                <w:sz w:val="20"/>
                <w:szCs w:val="20"/>
              </w:rPr>
              <w:t>65,343.57 m.</w:t>
            </w:r>
          </w:p>
        </w:tc>
      </w:tr>
      <w:tr w:rsidR="00F61F8E" w:rsidRPr="002B3F36" w14:paraId="63BCB806" w14:textId="77777777">
        <w:trPr>
          <w:jc w:val="center"/>
        </w:trPr>
        <w:tc>
          <w:tcPr>
            <w:tcW w:w="5125" w:type="dxa"/>
          </w:tcPr>
          <w:p w14:paraId="085EAD5A" w14:textId="77777777" w:rsidR="00F61F8E" w:rsidRPr="002B3F36" w:rsidRDefault="000F264B">
            <w:pPr>
              <w:pStyle w:val="ReportParagraph"/>
              <w:rPr>
                <w:sz w:val="20"/>
                <w:szCs w:val="20"/>
              </w:rPr>
            </w:pPr>
            <w:r w:rsidRPr="002B3F36">
              <w:rPr>
                <w:sz w:val="20"/>
                <w:szCs w:val="20"/>
              </w:rPr>
              <w:t xml:space="preserve">Controlling gradient: </w:t>
            </w:r>
          </w:p>
        </w:tc>
        <w:tc>
          <w:tcPr>
            <w:tcW w:w="3258" w:type="dxa"/>
          </w:tcPr>
          <w:p w14:paraId="332D1649" w14:textId="77777777" w:rsidR="00F61F8E" w:rsidRPr="002B3F36" w:rsidRDefault="000F264B">
            <w:pPr>
              <w:pStyle w:val="ReportParagraph"/>
              <w:rPr>
                <w:sz w:val="20"/>
                <w:szCs w:val="20"/>
              </w:rPr>
            </w:pPr>
            <w:r w:rsidRPr="002B3F36">
              <w:rPr>
                <w:sz w:val="20"/>
                <w:szCs w:val="20"/>
              </w:rPr>
              <w:t>8.18 ‰.</w:t>
            </w:r>
          </w:p>
        </w:tc>
      </w:tr>
      <w:tr w:rsidR="00F61F8E" w:rsidRPr="002B3F36" w14:paraId="6A3CB931" w14:textId="77777777">
        <w:trPr>
          <w:jc w:val="center"/>
        </w:trPr>
        <w:tc>
          <w:tcPr>
            <w:tcW w:w="5125" w:type="dxa"/>
          </w:tcPr>
          <w:p w14:paraId="59EC9F49" w14:textId="77777777" w:rsidR="00F61F8E" w:rsidRPr="002B3F36" w:rsidRDefault="000F264B">
            <w:pPr>
              <w:pStyle w:val="ReportParagraph"/>
              <w:rPr>
                <w:sz w:val="20"/>
                <w:szCs w:val="20"/>
              </w:rPr>
            </w:pPr>
            <w:r w:rsidRPr="002B3F36">
              <w:rPr>
                <w:sz w:val="20"/>
                <w:szCs w:val="20"/>
              </w:rPr>
              <w:t xml:space="preserve">Useful length of receiving-departure tracks: </w:t>
            </w:r>
          </w:p>
        </w:tc>
        <w:tc>
          <w:tcPr>
            <w:tcW w:w="3258" w:type="dxa"/>
          </w:tcPr>
          <w:p w14:paraId="65A79CF1" w14:textId="77777777" w:rsidR="00F61F8E" w:rsidRPr="002B3F36" w:rsidRDefault="000F264B">
            <w:pPr>
              <w:pStyle w:val="ReportParagraph"/>
              <w:rPr>
                <w:sz w:val="20"/>
                <w:szCs w:val="20"/>
              </w:rPr>
            </w:pPr>
            <w:r w:rsidRPr="002B3F36">
              <w:rPr>
                <w:sz w:val="20"/>
                <w:szCs w:val="20"/>
              </w:rPr>
              <w:t>1050 m.</w:t>
            </w:r>
          </w:p>
        </w:tc>
      </w:tr>
      <w:tr w:rsidR="00F61F8E" w:rsidRPr="002B3F36" w14:paraId="642DB78E" w14:textId="77777777">
        <w:trPr>
          <w:jc w:val="center"/>
        </w:trPr>
        <w:tc>
          <w:tcPr>
            <w:tcW w:w="5125" w:type="dxa"/>
          </w:tcPr>
          <w:p w14:paraId="36997F5E" w14:textId="77777777" w:rsidR="00F61F8E" w:rsidRPr="002B3F36" w:rsidRDefault="000F264B">
            <w:pPr>
              <w:pStyle w:val="ReportParagraph"/>
              <w:rPr>
                <w:sz w:val="20"/>
                <w:szCs w:val="20"/>
              </w:rPr>
            </w:pPr>
            <w:r w:rsidRPr="002B3F36">
              <w:rPr>
                <w:sz w:val="20"/>
                <w:szCs w:val="20"/>
              </w:rPr>
              <w:t>Minimum curve radius in plan:</w:t>
            </w:r>
          </w:p>
        </w:tc>
        <w:tc>
          <w:tcPr>
            <w:tcW w:w="3258" w:type="dxa"/>
          </w:tcPr>
          <w:p w14:paraId="39B80893" w14:textId="77777777" w:rsidR="00F61F8E" w:rsidRPr="002B3F36" w:rsidRDefault="000F264B">
            <w:pPr>
              <w:pStyle w:val="ReportParagraph"/>
              <w:rPr>
                <w:sz w:val="20"/>
                <w:szCs w:val="20"/>
              </w:rPr>
            </w:pPr>
            <w:r w:rsidRPr="002B3F36">
              <w:rPr>
                <w:sz w:val="20"/>
                <w:szCs w:val="20"/>
              </w:rPr>
              <w:t>1000 m.</w:t>
            </w:r>
          </w:p>
        </w:tc>
      </w:tr>
    </w:tbl>
    <w:p w14:paraId="48E7BFB7" w14:textId="77777777" w:rsidR="00F61F8E" w:rsidRPr="002B3F36" w:rsidRDefault="00F61F8E">
      <w:pPr>
        <w:pStyle w:val="ReportParagraph"/>
      </w:pPr>
    </w:p>
    <w:p w14:paraId="7DB2B65B" w14:textId="79D2A1BA" w:rsidR="00F61F8E" w:rsidRPr="002B3F36" w:rsidRDefault="000F264B" w:rsidP="00AF3655">
      <w:pPr>
        <w:pStyle w:val="ReportBodyPar"/>
      </w:pPr>
      <w:r w:rsidRPr="002B3F36">
        <w:t xml:space="preserve">The adopted railway design parameters - covering alignment length, curve radius, gradients, and station track capacities - are essential for the ESIA under </w:t>
      </w:r>
      <w:r w:rsidR="00F95BD8" w:rsidRPr="002B3F36">
        <w:t>WB</w:t>
      </w:r>
      <w:r w:rsidRPr="002B3F36">
        <w:t xml:space="preserve"> Performance Standards because they define the scale and location of potential environmental and social interactions along the 32</w:t>
      </w:r>
      <w:r w:rsidR="005C152A">
        <w:t>2.2</w:t>
      </w:r>
      <w:r w:rsidRPr="002B3F36">
        <w:t xml:space="preserve">-kilometer greenfield corridor. Apart from being the requirement for locomotive rolling stock operations, these parameters influence the extent of land disturbance, earthworks, and drainage needs, as well as distance to settlements, Important Bird Areas (KZ063, KZ064), and Cluster 2 Andasai Sanctuary. </w:t>
      </w:r>
      <w:r w:rsidR="00163238" w:rsidRPr="002B3F36">
        <w:t>WB PS</w:t>
      </w:r>
    </w:p>
    <w:p w14:paraId="4C0AA9F5" w14:textId="77777777" w:rsidR="00F61F8E" w:rsidRPr="002B3F36" w:rsidRDefault="00F61F8E">
      <w:pPr>
        <w:pStyle w:val="ReportParagraph"/>
      </w:pPr>
    </w:p>
    <w:p w14:paraId="5027013B" w14:textId="77777777" w:rsidR="00F61F8E" w:rsidRPr="002B3F36" w:rsidRDefault="000F264B" w:rsidP="005A68AD">
      <w:pPr>
        <w:pStyle w:val="31"/>
      </w:pPr>
      <w:bookmarkStart w:id="492" w:name="_Toc208973725"/>
      <w:bookmarkStart w:id="493" w:name="_Toc208973920"/>
      <w:bookmarkStart w:id="494" w:name="_Toc208974120"/>
      <w:bookmarkStart w:id="495" w:name="_Toc208974322"/>
      <w:bookmarkStart w:id="496" w:name="_Toc208974535"/>
      <w:bookmarkStart w:id="497" w:name="_Toc210589400"/>
      <w:r w:rsidRPr="002B3F36">
        <w:t>Project Components</w:t>
      </w:r>
      <w:bookmarkEnd w:id="492"/>
      <w:bookmarkEnd w:id="493"/>
      <w:bookmarkEnd w:id="494"/>
      <w:bookmarkEnd w:id="495"/>
      <w:bookmarkEnd w:id="496"/>
      <w:bookmarkEnd w:id="497"/>
    </w:p>
    <w:p w14:paraId="0D5867A5" w14:textId="77777777" w:rsidR="00F61F8E" w:rsidRPr="002B3F36" w:rsidRDefault="00F61F8E">
      <w:pPr>
        <w:pStyle w:val="ReportParagraph"/>
      </w:pPr>
    </w:p>
    <w:p w14:paraId="138CCC22" w14:textId="7A2C1691" w:rsidR="00F61F8E" w:rsidRPr="002B3F36" w:rsidRDefault="000F264B">
      <w:pPr>
        <w:pStyle w:val="ReportParagraph"/>
      </w:pPr>
      <w:r w:rsidRPr="002B3F36">
        <w:t xml:space="preserve">The </w:t>
      </w:r>
      <w:r w:rsidR="003650DB" w:rsidRPr="002B3F36">
        <w:t xml:space="preserve">Mointy – Kyzylzhar </w:t>
      </w:r>
      <w:r w:rsidRPr="002B3F36">
        <w:t>railway project involves constructing a single-track line with modern rail infrastructure. Key components include railbed formation with imported fill, slope stabilization, track laying with R65 rails and reinforced concrete sleepers, and aluminothermic rail welding. The project also includes passing loops and station upgrades to support operational needs</w:t>
      </w:r>
    </w:p>
    <w:p w14:paraId="1B7FE7C1" w14:textId="77777777" w:rsidR="00F61F8E" w:rsidRPr="002B3F36" w:rsidRDefault="00F61F8E">
      <w:pPr>
        <w:pStyle w:val="ReportParagraph"/>
      </w:pPr>
    </w:p>
    <w:p w14:paraId="14EAA1D2" w14:textId="77777777" w:rsidR="00F61F8E" w:rsidRPr="002B3F36" w:rsidRDefault="000F264B">
      <w:pPr>
        <w:pStyle w:val="Sam1"/>
      </w:pPr>
      <w:bookmarkStart w:id="498" w:name="_Toc208973921"/>
      <w:bookmarkStart w:id="499" w:name="_Toc208974121"/>
      <w:bookmarkStart w:id="500" w:name="_Toc208974323"/>
      <w:r w:rsidRPr="002B3F36">
        <w:t>Rail bed</w:t>
      </w:r>
      <w:bookmarkEnd w:id="498"/>
      <w:bookmarkEnd w:id="499"/>
      <w:bookmarkEnd w:id="500"/>
    </w:p>
    <w:p w14:paraId="084EAC71" w14:textId="5E890294" w:rsidR="00F61F8E" w:rsidRPr="002B3F36" w:rsidRDefault="000F264B">
      <w:pPr>
        <w:pStyle w:val="ReportParagraph"/>
      </w:pPr>
      <w:r w:rsidRPr="002B3F36">
        <w:t xml:space="preserve">The railbed is planned to be filled with imported soils from quarries, borrow pits, and excavated cut sections. </w:t>
      </w:r>
      <w:r w:rsidR="00456A28" w:rsidRPr="00A846C7">
        <w:t>The quarry locations (35) have already been identified and are shown in Fig. 2A. The soil quality meets construction requirements. Permits from the relevant government agencies are required to use the quarries.</w:t>
      </w:r>
      <w:r w:rsidR="00456A28" w:rsidRPr="002B3F36">
        <w:t xml:space="preserve"> </w:t>
      </w:r>
      <w:r w:rsidRPr="002B3F36">
        <w:t>The project provides for the reinforcement of embankment and cut slopes, berms, drainage ditches, and side ditches by hydroseeding perennial grasses. Slopes of the roadbed constructed from wind-erodible sandy soils, as well as strips at least 3.0 m wide along the edges of cut sections and the toes of embankments, are to be reinforced with the geosynthetic material “Polyfelt TS65” in combination with grass seeding.</w:t>
      </w:r>
    </w:p>
    <w:p w14:paraId="4D3A128A" w14:textId="07CA1F12" w:rsidR="00C52BF1" w:rsidRPr="002B3F36" w:rsidRDefault="00C52BF1" w:rsidP="00A2780C">
      <w:pPr>
        <w:pStyle w:val="ReportParagraph"/>
        <w:jc w:val="center"/>
      </w:pPr>
      <w:r w:rsidRPr="002B3F36">
        <w:rPr>
          <w:noProof/>
        </w:rPr>
        <w:lastRenderedPageBreak/>
        <w:drawing>
          <wp:inline distT="0" distB="0" distL="0" distR="0" wp14:anchorId="3D20423D" wp14:editId="6A5EAD23">
            <wp:extent cx="5238750" cy="3613150"/>
            <wp:effectExtent l="0" t="0" r="0" b="635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8750" cy="3613150"/>
                    </a:xfrm>
                    <a:prstGeom prst="rect">
                      <a:avLst/>
                    </a:prstGeom>
                    <a:noFill/>
                  </pic:spPr>
                </pic:pic>
              </a:graphicData>
            </a:graphic>
          </wp:inline>
        </w:drawing>
      </w:r>
    </w:p>
    <w:p w14:paraId="3A32148C" w14:textId="20936312" w:rsidR="00A2780C" w:rsidRPr="002B3F36" w:rsidRDefault="00A2780C">
      <w:pPr>
        <w:pStyle w:val="FigureCaption"/>
        <w:rPr>
          <w:rFonts w:cs="Arial"/>
        </w:rPr>
      </w:pPr>
      <w:bookmarkStart w:id="501" w:name="_Toc210589593"/>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4</w:t>
      </w:r>
      <w:r w:rsidRPr="002B3F36">
        <w:rPr>
          <w:rFonts w:cs="Arial"/>
        </w:rPr>
        <w:fldChar w:fldCharType="end"/>
      </w:r>
      <w:r w:rsidRPr="002B3F36">
        <w:rPr>
          <w:rFonts w:cs="Arial"/>
        </w:rPr>
        <w:t>: Quarry Locations</w:t>
      </w:r>
      <w:bookmarkEnd w:id="501"/>
      <w:r w:rsidRPr="002B3F36">
        <w:rPr>
          <w:rFonts w:cs="Arial"/>
        </w:rPr>
        <w:t xml:space="preserve"> </w:t>
      </w:r>
    </w:p>
    <w:p w14:paraId="188FD5E5" w14:textId="56B6DCE9" w:rsidR="00A2780C" w:rsidRPr="002B3F36" w:rsidRDefault="00A2780C" w:rsidP="00F82096">
      <w:pPr>
        <w:pStyle w:val="Simple"/>
        <w:rPr>
          <w:sz w:val="20"/>
          <w:szCs w:val="20"/>
        </w:rPr>
      </w:pPr>
      <w:r w:rsidRPr="002B3F36">
        <w:rPr>
          <w:sz w:val="20"/>
          <w:szCs w:val="20"/>
        </w:rPr>
        <w:t>Legend: white squares – Quarr</w:t>
      </w:r>
      <w:r w:rsidR="00EB4816">
        <w:rPr>
          <w:sz w:val="20"/>
          <w:szCs w:val="20"/>
        </w:rPr>
        <w:t>i</w:t>
      </w:r>
      <w:r w:rsidRPr="002B3F36">
        <w:rPr>
          <w:sz w:val="20"/>
          <w:szCs w:val="20"/>
        </w:rPr>
        <w:t xml:space="preserve">es; purple polygons – parts of the Andasai Sanctuary, white polygons - IBA </w:t>
      </w:r>
    </w:p>
    <w:p w14:paraId="4C1CC943" w14:textId="77777777" w:rsidR="00C52BF1" w:rsidRPr="002B3F36" w:rsidRDefault="00C52BF1" w:rsidP="00F82096"/>
    <w:p w14:paraId="47E60768" w14:textId="77777777" w:rsidR="00F61F8E" w:rsidRPr="002B3F36" w:rsidRDefault="000F264B">
      <w:pPr>
        <w:pStyle w:val="Sam1"/>
      </w:pPr>
      <w:bookmarkStart w:id="502" w:name="_Toc208973922"/>
      <w:bookmarkStart w:id="503" w:name="_Toc208974122"/>
      <w:bookmarkStart w:id="504" w:name="_Toc208974324"/>
      <w:r w:rsidRPr="002B3F36">
        <w:t>Railway Track</w:t>
      </w:r>
      <w:bookmarkEnd w:id="502"/>
      <w:bookmarkEnd w:id="503"/>
      <w:bookmarkEnd w:id="504"/>
    </w:p>
    <w:p w14:paraId="5EB7015D" w14:textId="77777777" w:rsidR="00F61F8E" w:rsidRPr="002B3F36" w:rsidRDefault="000F264B">
      <w:pPr>
        <w:pStyle w:val="ReportParagraph"/>
      </w:pPr>
      <w:r w:rsidRPr="002B3F36">
        <w:t>The railway track laying is envisaged using differentially heat-strengthened new rails of type R65, 25 meters long (ST RK 2432-2023), on new reinforced concrete sleepers (GOST 33320-2015) with a spacing of 1,840 sleepers per 1 km on both straight and curved sections of the track. The ballast will be crushed stone (track ballast) of 35–65 mm fractions, with a thickness of 35 cm under the sleeper, laid on a 20 cm sand cushion. The width of the earth bed (roadbed) on a single-track section is 7.30 m. For replacing jointed track with continuous welded rail, rail joints will be welded using the aluminothermic welding method.</w:t>
      </w:r>
    </w:p>
    <w:p w14:paraId="2DBC2BCC" w14:textId="77777777" w:rsidR="00F61F8E" w:rsidRPr="002B3F36" w:rsidRDefault="00F61F8E">
      <w:pPr>
        <w:pStyle w:val="ReportParagraph"/>
      </w:pPr>
    </w:p>
    <w:p w14:paraId="26E8F0E0" w14:textId="77777777" w:rsidR="00F61F8E" w:rsidRPr="002B3F36" w:rsidRDefault="000F264B">
      <w:pPr>
        <w:pStyle w:val="Sam1"/>
      </w:pPr>
      <w:bookmarkStart w:id="505" w:name="_Toc208973923"/>
      <w:bookmarkStart w:id="506" w:name="_Toc208974123"/>
      <w:bookmarkStart w:id="507" w:name="_Toc208974325"/>
      <w:r w:rsidRPr="002B3F36">
        <w:t>Purpose and Scope of Application of Aluminothermic Welding</w:t>
      </w:r>
      <w:bookmarkEnd w:id="505"/>
      <w:bookmarkEnd w:id="506"/>
      <w:bookmarkEnd w:id="507"/>
    </w:p>
    <w:p w14:paraId="516D8AF4" w14:textId="413E0367" w:rsidR="00F61F8E" w:rsidRPr="002B3F36" w:rsidRDefault="000F264B" w:rsidP="009B4CDB">
      <w:pPr>
        <w:pStyle w:val="Numberinpara"/>
        <w:numPr>
          <w:ilvl w:val="0"/>
          <w:numId w:val="67"/>
        </w:numPr>
        <w:ind w:left="720"/>
      </w:pPr>
      <w:r w:rsidRPr="002B3F36">
        <w:t>Alumino-thermite welding of rails with short preheating time (SkV-L 25, SkV-L 50 and SkV-L 75) is intended for joining in any combination of fully heat-treated, surface-hardened, and non-heat-strengthened rails.</w:t>
      </w:r>
    </w:p>
    <w:p w14:paraId="72789AB7" w14:textId="77777777" w:rsidR="00F61F8E" w:rsidRPr="002B3F36" w:rsidRDefault="000F264B">
      <w:pPr>
        <w:pStyle w:val="Numberinpara"/>
      </w:pPr>
      <w:r w:rsidRPr="002B3F36">
        <w:t>Welding of rail string joints and joints (except insulating ones) of turnouts laid on wooden or reinforced concrete sleepers and beams can be carried out on main, reception-departure, station, and hump tracks of the main railway network of the Republic of Kazakhstan, on industrial tracks, as well as in the subway.</w:t>
      </w:r>
    </w:p>
    <w:p w14:paraId="17D443C9" w14:textId="6DBAE836" w:rsidR="00F61F8E" w:rsidRPr="002B3F36" w:rsidRDefault="000F264B">
      <w:pPr>
        <w:pStyle w:val="Numberinpara"/>
      </w:pPr>
      <w:bookmarkStart w:id="508" w:name="_Hlk208058015"/>
      <w:r w:rsidRPr="002B3F36">
        <w:t xml:space="preserve">Alumino-thermite welding </w:t>
      </w:r>
      <w:bookmarkEnd w:id="508"/>
      <w:r w:rsidRPr="002B3F36">
        <w:t>uses a chemical reaction between aluminum powder and metal oxides to produce molten steel that fuses rail ends together. It creates strong, continuous joints quickly, even in temperatures as low as −5 °C. This method is widely used in railway construction to make continuous welded rails, which provide smoother rides, fewer track defects, and lower maintenance needs than traditional jointed tracks.</w:t>
      </w:r>
    </w:p>
    <w:p w14:paraId="45393FAD" w14:textId="77777777" w:rsidR="00F61F8E" w:rsidRPr="002B3F36" w:rsidRDefault="00F61F8E">
      <w:pPr>
        <w:pStyle w:val="ReportParagraph"/>
      </w:pPr>
    </w:p>
    <w:p w14:paraId="404C9887" w14:textId="77777777" w:rsidR="00F61F8E" w:rsidRPr="002B3F36" w:rsidRDefault="000F264B">
      <w:pPr>
        <w:pStyle w:val="Sam1"/>
      </w:pPr>
      <w:bookmarkStart w:id="509" w:name="_Toc208973924"/>
      <w:bookmarkStart w:id="510" w:name="_Toc208974124"/>
      <w:bookmarkStart w:id="511" w:name="_Toc208974326"/>
      <w:r w:rsidRPr="002B3F36">
        <w:t>Types of Welded Rails and Grades of Applied Thermite</w:t>
      </w:r>
      <w:bookmarkEnd w:id="509"/>
      <w:bookmarkEnd w:id="510"/>
      <w:bookmarkEnd w:id="511"/>
    </w:p>
    <w:p w14:paraId="55845439" w14:textId="68597BC8" w:rsidR="00F61F8E" w:rsidRPr="002B3F36" w:rsidRDefault="000F264B" w:rsidP="009B4CDB">
      <w:pPr>
        <w:pStyle w:val="Numberinpara"/>
        <w:numPr>
          <w:ilvl w:val="0"/>
          <w:numId w:val="68"/>
        </w:numPr>
      </w:pPr>
      <w:r w:rsidRPr="002B3F36">
        <w:t>The Alumino-thermite welding technology makes it possible to weld new railway rails of type R65: non-hardened, volume-hardened (according to GOST 24182-</w:t>
      </w:r>
      <w:r w:rsidRPr="002B3F36">
        <w:lastRenderedPageBreak/>
        <w:t>80), or with a hardened head (with a fine pearlitic metal structure), with temporary resistance of not less than 900 N/mm², 1200 N/mm² and 900 N/mm², respectively.</w:t>
      </w:r>
    </w:p>
    <w:p w14:paraId="509FFF19" w14:textId="77777777" w:rsidR="00F61F8E" w:rsidRPr="002B3F36" w:rsidRDefault="000F264B" w:rsidP="009B4CDB">
      <w:pPr>
        <w:pStyle w:val="Numberinpara"/>
        <w:numPr>
          <w:ilvl w:val="0"/>
          <w:numId w:val="68"/>
        </w:numPr>
      </w:pPr>
      <w:r w:rsidRPr="002B3F36">
        <w:t>The length of welded rails shall be not less than 6 m for main tracks of all classes and not less than 3 m for turnouts and other tracks of all classes. Welding parameters and SkV modes for gaps of 25, 50 and 75 mm.</w:t>
      </w:r>
    </w:p>
    <w:p w14:paraId="7318735D" w14:textId="0E34AB45" w:rsidR="00F61F8E" w:rsidRPr="002B3F36" w:rsidRDefault="00F61F8E">
      <w:pPr>
        <w:pStyle w:val="ReportParagraph"/>
      </w:pPr>
    </w:p>
    <w:p w14:paraId="0C0EB711" w14:textId="77777777" w:rsidR="00F61F8E" w:rsidRPr="002B3F36" w:rsidRDefault="000F264B">
      <w:pPr>
        <w:pStyle w:val="Sam1"/>
      </w:pPr>
      <w:bookmarkStart w:id="512" w:name="_Toc208973925"/>
      <w:bookmarkStart w:id="513" w:name="_Toc208974125"/>
      <w:bookmarkStart w:id="514" w:name="_Toc208974327"/>
      <w:r w:rsidRPr="002B3F36">
        <w:t>Railway Stations and Tracks (Sidings)</w:t>
      </w:r>
      <w:bookmarkEnd w:id="512"/>
      <w:bookmarkEnd w:id="513"/>
      <w:bookmarkEnd w:id="514"/>
    </w:p>
    <w:p w14:paraId="2B91B974" w14:textId="153C9875" w:rsidR="00F61F8E" w:rsidRPr="002B3F36" w:rsidRDefault="000F264B">
      <w:pPr>
        <w:pStyle w:val="ReportParagraph"/>
      </w:pPr>
      <w:r w:rsidRPr="002B3F36">
        <w:t>For the designed railway line, the Feasibility Study (FS) on the section</w:t>
      </w:r>
      <w:r w:rsidR="008D5118" w:rsidRPr="002B3F36">
        <w:t xml:space="preserve"> </w:t>
      </w:r>
      <w:r w:rsidR="0080772D" w:rsidRPr="002B3F36">
        <w:t>Mointy</w:t>
      </w:r>
      <w:r w:rsidR="008235B6" w:rsidRPr="002B3F36">
        <w:t xml:space="preserve">-Kyzylzhar </w:t>
      </w:r>
      <w:r w:rsidRPr="002B3F36">
        <w:t xml:space="preserve">provides for the construction of a single-track railway line with the necessary railway infrastructure facilities, the opening of </w:t>
      </w:r>
      <w:r w:rsidR="00171BD2">
        <w:t>17</w:t>
      </w:r>
      <w:r w:rsidRPr="002B3F36">
        <w:t xml:space="preserve"> passing points</w:t>
      </w:r>
      <w:r w:rsidR="006B0970" w:rsidRPr="002B3F36">
        <w:t>/loops</w:t>
      </w:r>
      <w:r w:rsidRPr="002B3F36">
        <w:t xml:space="preserve"> along the route, as well as the development </w:t>
      </w:r>
      <w:r w:rsidR="00171BD2">
        <w:t xml:space="preserve">or construction </w:t>
      </w:r>
      <w:r w:rsidRPr="002B3F36">
        <w:t>of Kyzylzhar station and Mointy station</w:t>
      </w:r>
      <w:r w:rsidR="00171BD2">
        <w:t xml:space="preserve"> and 2 new stations</w:t>
      </w:r>
      <w:r w:rsidRPr="002B3F36">
        <w:t>. The components are summarized in the table below.</w:t>
      </w:r>
    </w:p>
    <w:p w14:paraId="22FBE48F" w14:textId="77777777" w:rsidR="00517A3E" w:rsidRPr="002B3F36" w:rsidRDefault="00517A3E">
      <w:pPr>
        <w:pStyle w:val="ReportParagraph"/>
      </w:pPr>
    </w:p>
    <w:p w14:paraId="0A51E949" w14:textId="16978D95" w:rsidR="00517A3E" w:rsidRPr="002B3F36" w:rsidRDefault="00517A3E" w:rsidP="000E123E">
      <w:pPr>
        <w:pStyle w:val="CaptionTable"/>
      </w:pPr>
      <w:bookmarkStart w:id="515" w:name="_Toc210589547"/>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3</w:t>
      </w:r>
      <w:r w:rsidR="00CF113E" w:rsidRPr="002B3F36">
        <w:fldChar w:fldCharType="end"/>
      </w:r>
      <w:r w:rsidRPr="002B3F36">
        <w:t>:</w:t>
      </w:r>
      <w:r w:rsidR="00D47A5F" w:rsidRPr="002B3F36">
        <w:t xml:space="preserve"> Railway Construction Components</w:t>
      </w:r>
      <w:bookmarkEnd w:id="515"/>
    </w:p>
    <w:tbl>
      <w:tblPr>
        <w:tblStyle w:val="af"/>
        <w:tblW w:w="9302" w:type="dxa"/>
        <w:jc w:val="center"/>
        <w:tblLook w:val="04A0" w:firstRow="1" w:lastRow="0" w:firstColumn="1" w:lastColumn="0" w:noHBand="0" w:noVBand="1"/>
      </w:tblPr>
      <w:tblGrid>
        <w:gridCol w:w="4172"/>
        <w:gridCol w:w="5130"/>
      </w:tblGrid>
      <w:tr w:rsidR="00F61F8E" w:rsidRPr="002B3F36" w14:paraId="3AB96C22" w14:textId="77777777" w:rsidTr="00A846C7">
        <w:trPr>
          <w:tblHeader/>
          <w:jc w:val="center"/>
        </w:trPr>
        <w:tc>
          <w:tcPr>
            <w:tcW w:w="4172" w:type="dxa"/>
            <w:shd w:val="clear" w:color="auto" w:fill="D9D9D9"/>
          </w:tcPr>
          <w:p w14:paraId="433FC6BF" w14:textId="77777777" w:rsidR="00F61F8E" w:rsidRPr="002B3F36" w:rsidRDefault="000F264B">
            <w:pPr>
              <w:jc w:val="center"/>
              <w:rPr>
                <w:rFonts w:ascii="Arial" w:hAnsi="Arial" w:cs="Arial"/>
                <w:b/>
              </w:rPr>
            </w:pPr>
            <w:r w:rsidRPr="002B3F36">
              <w:rPr>
                <w:rFonts w:ascii="Arial" w:hAnsi="Arial" w:cs="Arial"/>
                <w:b/>
              </w:rPr>
              <w:t>Components</w:t>
            </w:r>
          </w:p>
        </w:tc>
        <w:tc>
          <w:tcPr>
            <w:tcW w:w="5130" w:type="dxa"/>
            <w:shd w:val="clear" w:color="auto" w:fill="D9D9D9"/>
          </w:tcPr>
          <w:p w14:paraId="00B8559F" w14:textId="77777777" w:rsidR="00F61F8E" w:rsidRPr="002B3F36" w:rsidRDefault="000F264B">
            <w:pPr>
              <w:jc w:val="center"/>
              <w:rPr>
                <w:rFonts w:ascii="Arial" w:hAnsi="Arial" w:cs="Arial"/>
                <w:b/>
              </w:rPr>
            </w:pPr>
            <w:r w:rsidRPr="002B3F36">
              <w:rPr>
                <w:rFonts w:ascii="Arial" w:hAnsi="Arial" w:cs="Arial"/>
                <w:b/>
              </w:rPr>
              <w:t>Description</w:t>
            </w:r>
          </w:p>
        </w:tc>
      </w:tr>
      <w:tr w:rsidR="00F61F8E" w:rsidRPr="002B3F36" w14:paraId="48BB03B3" w14:textId="77777777" w:rsidTr="00A846C7">
        <w:trPr>
          <w:jc w:val="center"/>
        </w:trPr>
        <w:tc>
          <w:tcPr>
            <w:tcW w:w="4172" w:type="dxa"/>
          </w:tcPr>
          <w:p w14:paraId="7676371B" w14:textId="77777777" w:rsidR="00F61F8E" w:rsidRPr="002B3F36" w:rsidRDefault="000F264B">
            <w:pPr>
              <w:ind w:left="348" w:hanging="348"/>
              <w:rPr>
                <w:rFonts w:ascii="Arial" w:hAnsi="Arial" w:cs="Arial"/>
              </w:rPr>
            </w:pPr>
            <w:r w:rsidRPr="002B3F36">
              <w:rPr>
                <w:rFonts w:ascii="Arial" w:hAnsi="Arial" w:cs="Arial"/>
              </w:rPr>
              <w:t>1. Develop the existing Kyzylzhar station</w:t>
            </w:r>
          </w:p>
        </w:tc>
        <w:tc>
          <w:tcPr>
            <w:tcW w:w="5130" w:type="dxa"/>
          </w:tcPr>
          <w:p w14:paraId="302CFB8C" w14:textId="77777777" w:rsidR="00F61F8E" w:rsidRPr="002B3F36" w:rsidRDefault="000F264B">
            <w:pPr>
              <w:rPr>
                <w:rFonts w:ascii="Arial" w:hAnsi="Arial" w:cs="Arial"/>
              </w:rPr>
            </w:pPr>
            <w:r w:rsidRPr="002B3F36">
              <w:rPr>
                <w:rFonts w:ascii="Arial" w:hAnsi="Arial" w:cs="Arial"/>
              </w:rPr>
              <w:t>Park B, with the construction of an additional 2nd main railway track with 3 reception-departure tracks (excluding the main track), and the construction of depot, pull-out, railway tracks for a triangle and a dead-end track.</w:t>
            </w:r>
          </w:p>
        </w:tc>
      </w:tr>
      <w:tr w:rsidR="00F61F8E" w:rsidRPr="002B3F36" w14:paraId="4D412619" w14:textId="77777777" w:rsidTr="00A846C7">
        <w:trPr>
          <w:jc w:val="center"/>
        </w:trPr>
        <w:tc>
          <w:tcPr>
            <w:tcW w:w="4172" w:type="dxa"/>
          </w:tcPr>
          <w:p w14:paraId="4989BBB3" w14:textId="77777777" w:rsidR="00F61F8E" w:rsidRPr="002B3F36" w:rsidRDefault="000F264B">
            <w:pPr>
              <w:ind w:left="348" w:hanging="348"/>
              <w:rPr>
                <w:rFonts w:ascii="Arial" w:hAnsi="Arial" w:cs="Arial"/>
              </w:rPr>
            </w:pPr>
            <w:r w:rsidRPr="002B3F36">
              <w:rPr>
                <w:rFonts w:ascii="Arial" w:hAnsi="Arial" w:cs="Arial"/>
              </w:rPr>
              <w:t>2. Pre-Junction Station-1</w:t>
            </w:r>
          </w:p>
        </w:tc>
        <w:tc>
          <w:tcPr>
            <w:tcW w:w="5130" w:type="dxa"/>
          </w:tcPr>
          <w:p w14:paraId="43F29B6B" w14:textId="77777777" w:rsidR="00F61F8E" w:rsidRPr="002B3F36" w:rsidRDefault="000F264B">
            <w:pPr>
              <w:rPr>
                <w:rFonts w:ascii="Arial" w:hAnsi="Arial" w:cs="Arial"/>
              </w:rPr>
            </w:pPr>
            <w:r w:rsidRPr="002B3F36">
              <w:rPr>
                <w:rFonts w:ascii="Arial" w:hAnsi="Arial" w:cs="Arial"/>
              </w:rPr>
              <w:t>With 3 reception-departure tracks of useful length of 1050 meters, and a railway dead-end track of 100 meters.</w:t>
            </w:r>
          </w:p>
        </w:tc>
      </w:tr>
      <w:tr w:rsidR="00F61F8E" w:rsidRPr="002B3F36" w14:paraId="4916D4BA" w14:textId="77777777" w:rsidTr="00A846C7">
        <w:trPr>
          <w:jc w:val="center"/>
        </w:trPr>
        <w:tc>
          <w:tcPr>
            <w:tcW w:w="4172" w:type="dxa"/>
          </w:tcPr>
          <w:p w14:paraId="575F58D5" w14:textId="50B17747" w:rsidR="00F61F8E" w:rsidRPr="002B3F36" w:rsidRDefault="000F264B">
            <w:pPr>
              <w:ind w:left="348" w:hanging="348"/>
              <w:rPr>
                <w:rFonts w:ascii="Arial" w:hAnsi="Arial" w:cs="Arial"/>
              </w:rPr>
            </w:pPr>
            <w:r w:rsidRPr="002B3F36">
              <w:rPr>
                <w:rFonts w:ascii="Arial" w:hAnsi="Arial" w:cs="Arial"/>
              </w:rPr>
              <w:t xml:space="preserve">3. Passing Point </w:t>
            </w:r>
            <w:r w:rsidR="00171BD2">
              <w:rPr>
                <w:rFonts w:ascii="Arial" w:hAnsi="Arial" w:cs="Arial"/>
              </w:rPr>
              <w:t>1</w:t>
            </w:r>
          </w:p>
        </w:tc>
        <w:tc>
          <w:tcPr>
            <w:tcW w:w="5130" w:type="dxa"/>
          </w:tcPr>
          <w:p w14:paraId="7FDFD5B7"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73D8D4F7" w14:textId="77777777" w:rsidTr="00A846C7">
        <w:trPr>
          <w:jc w:val="center"/>
        </w:trPr>
        <w:tc>
          <w:tcPr>
            <w:tcW w:w="4172" w:type="dxa"/>
          </w:tcPr>
          <w:p w14:paraId="0BEBB82B" w14:textId="4339B02A" w:rsidR="00F61F8E" w:rsidRPr="002B3F36" w:rsidRDefault="000F264B">
            <w:pPr>
              <w:ind w:left="348" w:hanging="348"/>
              <w:rPr>
                <w:rFonts w:ascii="Arial" w:hAnsi="Arial" w:cs="Arial"/>
              </w:rPr>
            </w:pPr>
            <w:r w:rsidRPr="002B3F36">
              <w:rPr>
                <w:rFonts w:ascii="Arial" w:hAnsi="Arial" w:cs="Arial"/>
              </w:rPr>
              <w:t xml:space="preserve">4. Passing Point </w:t>
            </w:r>
            <w:r w:rsidR="00171BD2">
              <w:rPr>
                <w:rFonts w:ascii="Arial" w:hAnsi="Arial" w:cs="Arial"/>
              </w:rPr>
              <w:t>2</w:t>
            </w:r>
          </w:p>
        </w:tc>
        <w:tc>
          <w:tcPr>
            <w:tcW w:w="5130" w:type="dxa"/>
          </w:tcPr>
          <w:p w14:paraId="6D04FFDE" w14:textId="77777777" w:rsidR="00F61F8E" w:rsidRPr="002B3F36" w:rsidRDefault="000F264B">
            <w:pPr>
              <w:rPr>
                <w:rFonts w:ascii="Arial" w:hAnsi="Arial" w:cs="Arial"/>
              </w:rPr>
            </w:pPr>
            <w:r w:rsidRPr="002B3F36">
              <w:rPr>
                <w:rFonts w:ascii="Arial" w:hAnsi="Arial" w:cs="Arial"/>
              </w:rPr>
              <w:t xml:space="preserve"> With 2 reception-departure tracks of useful length of 1050 meters, and a prospective track of 1050 meters.</w:t>
            </w:r>
          </w:p>
        </w:tc>
      </w:tr>
      <w:tr w:rsidR="00F61F8E" w:rsidRPr="002B3F36" w14:paraId="0E646987" w14:textId="77777777" w:rsidTr="00A846C7">
        <w:trPr>
          <w:jc w:val="center"/>
        </w:trPr>
        <w:tc>
          <w:tcPr>
            <w:tcW w:w="4172" w:type="dxa"/>
          </w:tcPr>
          <w:p w14:paraId="606F0888" w14:textId="17281F24" w:rsidR="00F61F8E" w:rsidRPr="002B3F36" w:rsidRDefault="000F264B">
            <w:pPr>
              <w:ind w:left="348" w:hanging="348"/>
              <w:rPr>
                <w:rFonts w:ascii="Arial" w:hAnsi="Arial" w:cs="Arial"/>
              </w:rPr>
            </w:pPr>
            <w:r w:rsidRPr="002B3F36">
              <w:rPr>
                <w:rFonts w:ascii="Arial" w:hAnsi="Arial" w:cs="Arial"/>
              </w:rPr>
              <w:t xml:space="preserve">5. Passing Point </w:t>
            </w:r>
            <w:r w:rsidR="00171BD2">
              <w:rPr>
                <w:rFonts w:ascii="Arial" w:hAnsi="Arial" w:cs="Arial"/>
              </w:rPr>
              <w:t>3</w:t>
            </w:r>
          </w:p>
        </w:tc>
        <w:tc>
          <w:tcPr>
            <w:tcW w:w="5130" w:type="dxa"/>
          </w:tcPr>
          <w:p w14:paraId="1EA72C8A" w14:textId="77777777" w:rsidR="00F61F8E" w:rsidRPr="002B3F36" w:rsidRDefault="000F264B">
            <w:pPr>
              <w:rPr>
                <w:rFonts w:ascii="Arial" w:hAnsi="Arial" w:cs="Arial"/>
              </w:rPr>
            </w:pPr>
            <w:r w:rsidRPr="002B3F36">
              <w:rPr>
                <w:rFonts w:ascii="Arial" w:hAnsi="Arial" w:cs="Arial"/>
              </w:rPr>
              <w:t xml:space="preserve"> With 3 reception-departure tracks of useful length of 1050 meters, and a railway dead-end track of 100 meters.</w:t>
            </w:r>
          </w:p>
        </w:tc>
      </w:tr>
      <w:tr w:rsidR="00F61F8E" w:rsidRPr="002B3F36" w14:paraId="0B3EBFE4" w14:textId="77777777" w:rsidTr="00A846C7">
        <w:trPr>
          <w:jc w:val="center"/>
        </w:trPr>
        <w:tc>
          <w:tcPr>
            <w:tcW w:w="4172" w:type="dxa"/>
          </w:tcPr>
          <w:p w14:paraId="3D3106C8" w14:textId="793F606C" w:rsidR="00F61F8E" w:rsidRPr="002B3F36" w:rsidRDefault="000F264B">
            <w:pPr>
              <w:ind w:left="348" w:hanging="348"/>
              <w:rPr>
                <w:rFonts w:ascii="Arial" w:hAnsi="Arial" w:cs="Arial"/>
              </w:rPr>
            </w:pPr>
            <w:r w:rsidRPr="002B3F36">
              <w:rPr>
                <w:rFonts w:ascii="Arial" w:hAnsi="Arial" w:cs="Arial"/>
              </w:rPr>
              <w:t xml:space="preserve">6. Passing Point </w:t>
            </w:r>
            <w:r w:rsidR="00171BD2">
              <w:rPr>
                <w:rFonts w:ascii="Arial" w:hAnsi="Arial" w:cs="Arial"/>
              </w:rPr>
              <w:t>4</w:t>
            </w:r>
          </w:p>
        </w:tc>
        <w:tc>
          <w:tcPr>
            <w:tcW w:w="5130" w:type="dxa"/>
          </w:tcPr>
          <w:p w14:paraId="1CDDFCFA"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039E450B" w14:textId="77777777" w:rsidTr="00A846C7">
        <w:trPr>
          <w:jc w:val="center"/>
        </w:trPr>
        <w:tc>
          <w:tcPr>
            <w:tcW w:w="4172" w:type="dxa"/>
          </w:tcPr>
          <w:p w14:paraId="015442BB" w14:textId="0F62FFDB" w:rsidR="00F61F8E" w:rsidRPr="002B3F36" w:rsidRDefault="000F264B">
            <w:pPr>
              <w:ind w:left="348" w:hanging="348"/>
              <w:rPr>
                <w:rFonts w:ascii="Arial" w:hAnsi="Arial" w:cs="Arial"/>
              </w:rPr>
            </w:pPr>
            <w:r w:rsidRPr="002B3F36">
              <w:rPr>
                <w:rFonts w:ascii="Arial" w:hAnsi="Arial" w:cs="Arial"/>
              </w:rPr>
              <w:t xml:space="preserve">7. Passing Point </w:t>
            </w:r>
            <w:r w:rsidR="00171BD2">
              <w:rPr>
                <w:rFonts w:ascii="Arial" w:hAnsi="Arial" w:cs="Arial"/>
              </w:rPr>
              <w:t>5</w:t>
            </w:r>
          </w:p>
        </w:tc>
        <w:tc>
          <w:tcPr>
            <w:tcW w:w="5130" w:type="dxa"/>
          </w:tcPr>
          <w:p w14:paraId="1890BC8E"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6F785E89" w14:textId="77777777" w:rsidTr="00A846C7">
        <w:trPr>
          <w:jc w:val="center"/>
        </w:trPr>
        <w:tc>
          <w:tcPr>
            <w:tcW w:w="4172" w:type="dxa"/>
          </w:tcPr>
          <w:p w14:paraId="69CB717A" w14:textId="77777777" w:rsidR="00F61F8E" w:rsidRPr="002B3F36" w:rsidRDefault="000F264B">
            <w:pPr>
              <w:ind w:left="348" w:hanging="348"/>
              <w:rPr>
                <w:rFonts w:ascii="Arial" w:hAnsi="Arial" w:cs="Arial"/>
              </w:rPr>
            </w:pPr>
            <w:r w:rsidRPr="002B3F36">
              <w:rPr>
                <w:rFonts w:ascii="Arial" w:hAnsi="Arial" w:cs="Arial"/>
              </w:rPr>
              <w:t>8. Karazhal-2 Station</w:t>
            </w:r>
          </w:p>
        </w:tc>
        <w:tc>
          <w:tcPr>
            <w:tcW w:w="5130" w:type="dxa"/>
          </w:tcPr>
          <w:p w14:paraId="346DB2FD" w14:textId="77777777" w:rsidR="00F61F8E" w:rsidRPr="002B3F36" w:rsidRDefault="000F264B">
            <w:pPr>
              <w:rPr>
                <w:rFonts w:ascii="Arial" w:hAnsi="Arial" w:cs="Arial"/>
              </w:rPr>
            </w:pPr>
            <w:r w:rsidRPr="002B3F36">
              <w:rPr>
                <w:rFonts w:ascii="Arial" w:hAnsi="Arial" w:cs="Arial"/>
              </w:rPr>
              <w:t>With 4 reception-departure tracks of useful length of 1050 meters, with 2 prospective tracks of 1050 meters each; a pull-out track of 550 meters; and a dead-end track for special equipment of 100 meters.</w:t>
            </w:r>
          </w:p>
        </w:tc>
      </w:tr>
      <w:tr w:rsidR="00F61F8E" w:rsidRPr="002B3F36" w14:paraId="7104A722" w14:textId="77777777" w:rsidTr="00A846C7">
        <w:trPr>
          <w:jc w:val="center"/>
        </w:trPr>
        <w:tc>
          <w:tcPr>
            <w:tcW w:w="4172" w:type="dxa"/>
          </w:tcPr>
          <w:p w14:paraId="77CFAAAC" w14:textId="63FE2855" w:rsidR="00F61F8E" w:rsidRPr="002B3F36" w:rsidRDefault="000F264B">
            <w:pPr>
              <w:ind w:left="348" w:hanging="348"/>
              <w:rPr>
                <w:rFonts w:ascii="Arial" w:hAnsi="Arial" w:cs="Arial"/>
              </w:rPr>
            </w:pPr>
            <w:r w:rsidRPr="002B3F36">
              <w:rPr>
                <w:rFonts w:ascii="Arial" w:hAnsi="Arial" w:cs="Arial"/>
              </w:rPr>
              <w:t xml:space="preserve">9. Passing Point </w:t>
            </w:r>
            <w:r w:rsidR="00171BD2">
              <w:rPr>
                <w:rFonts w:ascii="Arial" w:hAnsi="Arial" w:cs="Arial"/>
              </w:rPr>
              <w:t>6</w:t>
            </w:r>
          </w:p>
        </w:tc>
        <w:tc>
          <w:tcPr>
            <w:tcW w:w="5130" w:type="dxa"/>
          </w:tcPr>
          <w:p w14:paraId="74D380E4"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4B43D1F9" w14:textId="77777777" w:rsidTr="00A846C7">
        <w:trPr>
          <w:jc w:val="center"/>
        </w:trPr>
        <w:tc>
          <w:tcPr>
            <w:tcW w:w="4172" w:type="dxa"/>
          </w:tcPr>
          <w:p w14:paraId="5A8CAA60" w14:textId="285E326D" w:rsidR="00F61F8E" w:rsidRPr="002B3F36" w:rsidRDefault="000F264B">
            <w:pPr>
              <w:ind w:left="348" w:hanging="348"/>
              <w:rPr>
                <w:rFonts w:ascii="Arial" w:hAnsi="Arial" w:cs="Arial"/>
              </w:rPr>
            </w:pPr>
            <w:r w:rsidRPr="002B3F36">
              <w:rPr>
                <w:rFonts w:ascii="Arial" w:hAnsi="Arial" w:cs="Arial"/>
              </w:rPr>
              <w:t xml:space="preserve">10. Passing Point </w:t>
            </w:r>
            <w:r w:rsidR="00171BD2">
              <w:rPr>
                <w:rFonts w:ascii="Arial" w:hAnsi="Arial" w:cs="Arial"/>
              </w:rPr>
              <w:t>7</w:t>
            </w:r>
          </w:p>
        </w:tc>
        <w:tc>
          <w:tcPr>
            <w:tcW w:w="5130" w:type="dxa"/>
          </w:tcPr>
          <w:p w14:paraId="61711BC9"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0A364E46" w14:textId="77777777" w:rsidTr="00A846C7">
        <w:trPr>
          <w:jc w:val="center"/>
        </w:trPr>
        <w:tc>
          <w:tcPr>
            <w:tcW w:w="4172" w:type="dxa"/>
          </w:tcPr>
          <w:p w14:paraId="03DB2324" w14:textId="40C14881" w:rsidR="00F61F8E" w:rsidRPr="002B3F36" w:rsidRDefault="000F264B">
            <w:pPr>
              <w:ind w:left="348" w:hanging="348"/>
              <w:rPr>
                <w:rFonts w:ascii="Arial" w:hAnsi="Arial" w:cs="Arial"/>
              </w:rPr>
            </w:pPr>
            <w:r w:rsidRPr="002B3F36">
              <w:rPr>
                <w:rFonts w:ascii="Arial" w:hAnsi="Arial" w:cs="Arial"/>
              </w:rPr>
              <w:t xml:space="preserve">11. Passing Point </w:t>
            </w:r>
            <w:r w:rsidR="00171BD2">
              <w:rPr>
                <w:rFonts w:ascii="Arial" w:hAnsi="Arial" w:cs="Arial"/>
              </w:rPr>
              <w:t>8</w:t>
            </w:r>
          </w:p>
        </w:tc>
        <w:tc>
          <w:tcPr>
            <w:tcW w:w="5130" w:type="dxa"/>
          </w:tcPr>
          <w:p w14:paraId="08DFBBDA"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2511A195" w14:textId="77777777" w:rsidTr="00A846C7">
        <w:trPr>
          <w:jc w:val="center"/>
        </w:trPr>
        <w:tc>
          <w:tcPr>
            <w:tcW w:w="4172" w:type="dxa"/>
          </w:tcPr>
          <w:p w14:paraId="6065901F" w14:textId="77777777" w:rsidR="00F61F8E" w:rsidRPr="002B3F36" w:rsidRDefault="000F264B">
            <w:pPr>
              <w:ind w:left="348" w:hanging="348"/>
              <w:rPr>
                <w:rFonts w:ascii="Arial" w:hAnsi="Arial" w:cs="Arial"/>
              </w:rPr>
            </w:pPr>
            <w:r w:rsidRPr="002B3F36">
              <w:rPr>
                <w:rFonts w:ascii="Arial" w:hAnsi="Arial" w:cs="Arial"/>
              </w:rPr>
              <w:t>12. Aktau Station</w:t>
            </w:r>
          </w:p>
        </w:tc>
        <w:tc>
          <w:tcPr>
            <w:tcW w:w="5130" w:type="dxa"/>
          </w:tcPr>
          <w:p w14:paraId="3356D40C" w14:textId="77777777" w:rsidR="00F61F8E" w:rsidRPr="002B3F36" w:rsidRDefault="000F264B">
            <w:pPr>
              <w:rPr>
                <w:rFonts w:ascii="Arial" w:hAnsi="Arial" w:cs="Arial"/>
              </w:rPr>
            </w:pPr>
            <w:r w:rsidRPr="002B3F36">
              <w:rPr>
                <w:rFonts w:ascii="Arial" w:hAnsi="Arial" w:cs="Arial"/>
              </w:rPr>
              <w:t>With 7 reception-departure tracks of useful length of 1050 meters, with 2 prospective tracks of 1050 meters each; a pull-out track of 1050 meters; a railway track for a fire train of 250 meters; an access track for the Track Maintenance Department (pch) of 300 meters; an access track for the Power Supply Department (ech) of 150 meters; and a railway dead-end track of 100 meters.</w:t>
            </w:r>
          </w:p>
        </w:tc>
      </w:tr>
      <w:tr w:rsidR="00F61F8E" w:rsidRPr="002B3F36" w14:paraId="0D3E5F48" w14:textId="77777777" w:rsidTr="00A846C7">
        <w:trPr>
          <w:jc w:val="center"/>
        </w:trPr>
        <w:tc>
          <w:tcPr>
            <w:tcW w:w="4172" w:type="dxa"/>
          </w:tcPr>
          <w:p w14:paraId="3070A713" w14:textId="52074C96" w:rsidR="00F61F8E" w:rsidRPr="002B3F36" w:rsidRDefault="000F264B">
            <w:pPr>
              <w:ind w:left="348" w:hanging="348"/>
              <w:rPr>
                <w:rFonts w:ascii="Arial" w:hAnsi="Arial" w:cs="Arial"/>
              </w:rPr>
            </w:pPr>
            <w:r w:rsidRPr="002B3F36">
              <w:rPr>
                <w:rFonts w:ascii="Arial" w:hAnsi="Arial" w:cs="Arial"/>
              </w:rPr>
              <w:t xml:space="preserve">13. Passing Point </w:t>
            </w:r>
            <w:r w:rsidR="00171BD2">
              <w:rPr>
                <w:rFonts w:ascii="Arial" w:hAnsi="Arial" w:cs="Arial"/>
              </w:rPr>
              <w:t>9</w:t>
            </w:r>
          </w:p>
        </w:tc>
        <w:tc>
          <w:tcPr>
            <w:tcW w:w="5130" w:type="dxa"/>
          </w:tcPr>
          <w:p w14:paraId="6CC6447D"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59492F5A" w14:textId="77777777" w:rsidTr="00A846C7">
        <w:trPr>
          <w:jc w:val="center"/>
        </w:trPr>
        <w:tc>
          <w:tcPr>
            <w:tcW w:w="4172" w:type="dxa"/>
          </w:tcPr>
          <w:p w14:paraId="2CDA07FA" w14:textId="7D11FA85" w:rsidR="00F61F8E" w:rsidRPr="002B3F36" w:rsidRDefault="000F264B">
            <w:pPr>
              <w:ind w:left="348" w:hanging="348"/>
              <w:rPr>
                <w:rFonts w:ascii="Arial" w:hAnsi="Arial" w:cs="Arial"/>
              </w:rPr>
            </w:pPr>
            <w:r w:rsidRPr="002B3F36">
              <w:rPr>
                <w:rFonts w:ascii="Arial" w:hAnsi="Arial" w:cs="Arial"/>
              </w:rPr>
              <w:t>14. Passing Point 1</w:t>
            </w:r>
            <w:r w:rsidR="00171BD2">
              <w:rPr>
                <w:rFonts w:ascii="Arial" w:hAnsi="Arial" w:cs="Arial"/>
              </w:rPr>
              <w:t>0</w:t>
            </w:r>
          </w:p>
        </w:tc>
        <w:tc>
          <w:tcPr>
            <w:tcW w:w="5130" w:type="dxa"/>
          </w:tcPr>
          <w:p w14:paraId="4370CBD9" w14:textId="77777777" w:rsidR="00F61F8E" w:rsidRPr="002B3F36" w:rsidRDefault="000F264B">
            <w:pPr>
              <w:rPr>
                <w:rFonts w:ascii="Arial" w:hAnsi="Arial" w:cs="Arial"/>
              </w:rPr>
            </w:pPr>
            <w:r w:rsidRPr="002B3F36">
              <w:rPr>
                <w:rFonts w:ascii="Arial" w:hAnsi="Arial" w:cs="Arial"/>
              </w:rPr>
              <w:t>With 2 reception-departure tracks of useful length of 1050 meters, a prospective track of 1050 meters, and a catch track of 50 meters.</w:t>
            </w:r>
          </w:p>
        </w:tc>
      </w:tr>
      <w:tr w:rsidR="00F61F8E" w:rsidRPr="002B3F36" w14:paraId="42E71FD0" w14:textId="77777777" w:rsidTr="00A846C7">
        <w:trPr>
          <w:jc w:val="center"/>
        </w:trPr>
        <w:tc>
          <w:tcPr>
            <w:tcW w:w="4172" w:type="dxa"/>
          </w:tcPr>
          <w:p w14:paraId="67AA82A2" w14:textId="35C4ACF7" w:rsidR="00F61F8E" w:rsidRPr="002B3F36" w:rsidRDefault="000F264B">
            <w:pPr>
              <w:ind w:left="348" w:hanging="348"/>
              <w:rPr>
                <w:rFonts w:ascii="Arial" w:hAnsi="Arial" w:cs="Arial"/>
              </w:rPr>
            </w:pPr>
            <w:r w:rsidRPr="002B3F36">
              <w:rPr>
                <w:rFonts w:ascii="Arial" w:hAnsi="Arial" w:cs="Arial"/>
              </w:rPr>
              <w:lastRenderedPageBreak/>
              <w:t>15. Passing Point 1</w:t>
            </w:r>
            <w:r w:rsidR="00171BD2">
              <w:rPr>
                <w:rFonts w:ascii="Arial" w:hAnsi="Arial" w:cs="Arial"/>
              </w:rPr>
              <w:t>1</w:t>
            </w:r>
          </w:p>
        </w:tc>
        <w:tc>
          <w:tcPr>
            <w:tcW w:w="5130" w:type="dxa"/>
          </w:tcPr>
          <w:p w14:paraId="1362731F" w14:textId="77777777" w:rsidR="00F61F8E" w:rsidRPr="002B3F36" w:rsidRDefault="000F264B">
            <w:pPr>
              <w:rPr>
                <w:rFonts w:ascii="Arial" w:hAnsi="Arial" w:cs="Arial"/>
              </w:rPr>
            </w:pPr>
            <w:r w:rsidRPr="002B3F36">
              <w:rPr>
                <w:rFonts w:ascii="Arial" w:hAnsi="Arial" w:cs="Arial"/>
              </w:rPr>
              <w:t>With 3 reception-departure tracks of useful length of 1050 meters, and a railway dead-end track of 100 meters.</w:t>
            </w:r>
          </w:p>
        </w:tc>
      </w:tr>
      <w:tr w:rsidR="00F61F8E" w:rsidRPr="002B3F36" w14:paraId="127471DC" w14:textId="77777777" w:rsidTr="00A846C7">
        <w:trPr>
          <w:jc w:val="center"/>
        </w:trPr>
        <w:tc>
          <w:tcPr>
            <w:tcW w:w="4172" w:type="dxa"/>
          </w:tcPr>
          <w:p w14:paraId="518B1A5E" w14:textId="1DE8B095" w:rsidR="00F61F8E" w:rsidRPr="002B3F36" w:rsidRDefault="000F264B">
            <w:pPr>
              <w:ind w:left="348" w:hanging="348"/>
              <w:rPr>
                <w:rFonts w:ascii="Arial" w:hAnsi="Arial" w:cs="Arial"/>
              </w:rPr>
            </w:pPr>
            <w:r w:rsidRPr="002B3F36">
              <w:rPr>
                <w:rFonts w:ascii="Arial" w:hAnsi="Arial" w:cs="Arial"/>
              </w:rPr>
              <w:t>1</w:t>
            </w:r>
            <w:r w:rsidR="00171BD2">
              <w:rPr>
                <w:rFonts w:ascii="Arial" w:hAnsi="Arial" w:cs="Arial"/>
              </w:rPr>
              <w:t>6</w:t>
            </w:r>
            <w:r w:rsidRPr="002B3F36">
              <w:rPr>
                <w:rFonts w:ascii="Arial" w:hAnsi="Arial" w:cs="Arial"/>
              </w:rPr>
              <w:t>. Passing Point 1</w:t>
            </w:r>
            <w:r w:rsidR="00171BD2">
              <w:rPr>
                <w:rFonts w:ascii="Arial" w:hAnsi="Arial" w:cs="Arial"/>
              </w:rPr>
              <w:t>2</w:t>
            </w:r>
          </w:p>
        </w:tc>
        <w:tc>
          <w:tcPr>
            <w:tcW w:w="5130" w:type="dxa"/>
          </w:tcPr>
          <w:p w14:paraId="607F65E2" w14:textId="77777777" w:rsidR="00F61F8E" w:rsidRPr="002B3F36" w:rsidRDefault="000F264B">
            <w:pPr>
              <w:rPr>
                <w:rFonts w:ascii="Arial" w:hAnsi="Arial" w:cs="Arial"/>
              </w:rPr>
            </w:pPr>
            <w:r w:rsidRPr="002B3F36">
              <w:rPr>
                <w:rFonts w:ascii="Arial" w:hAnsi="Arial" w:cs="Arial"/>
              </w:rPr>
              <w:t>With 2 reception-departure tracks of useful length of 1050 meters, a prospective track of 1050 meters, and a catch track of 50 meters.</w:t>
            </w:r>
          </w:p>
        </w:tc>
      </w:tr>
      <w:tr w:rsidR="00F61F8E" w:rsidRPr="002B3F36" w14:paraId="778BD86F" w14:textId="77777777" w:rsidTr="00A846C7">
        <w:trPr>
          <w:jc w:val="center"/>
        </w:trPr>
        <w:tc>
          <w:tcPr>
            <w:tcW w:w="4172" w:type="dxa"/>
          </w:tcPr>
          <w:p w14:paraId="1840C7D6" w14:textId="3F280B61" w:rsidR="00F61F8E" w:rsidRPr="002B3F36" w:rsidRDefault="000F264B">
            <w:pPr>
              <w:ind w:left="348" w:hanging="348"/>
              <w:rPr>
                <w:rFonts w:ascii="Arial" w:hAnsi="Arial" w:cs="Arial"/>
              </w:rPr>
            </w:pPr>
            <w:r w:rsidRPr="002B3F36">
              <w:rPr>
                <w:rFonts w:ascii="Arial" w:hAnsi="Arial" w:cs="Arial"/>
              </w:rPr>
              <w:t>1</w:t>
            </w:r>
            <w:r w:rsidR="00171BD2">
              <w:rPr>
                <w:rFonts w:ascii="Arial" w:hAnsi="Arial" w:cs="Arial"/>
              </w:rPr>
              <w:t>7</w:t>
            </w:r>
            <w:r w:rsidRPr="002B3F36">
              <w:rPr>
                <w:rFonts w:ascii="Arial" w:hAnsi="Arial" w:cs="Arial"/>
              </w:rPr>
              <w:t>. Passing Point 1</w:t>
            </w:r>
            <w:r w:rsidR="00171BD2">
              <w:rPr>
                <w:rFonts w:ascii="Arial" w:hAnsi="Arial" w:cs="Arial"/>
              </w:rPr>
              <w:t>3</w:t>
            </w:r>
          </w:p>
        </w:tc>
        <w:tc>
          <w:tcPr>
            <w:tcW w:w="5130" w:type="dxa"/>
          </w:tcPr>
          <w:p w14:paraId="083F1817" w14:textId="77777777" w:rsidR="00F61F8E" w:rsidRPr="002B3F36" w:rsidRDefault="000F264B">
            <w:pPr>
              <w:rPr>
                <w:rFonts w:ascii="Arial" w:hAnsi="Arial" w:cs="Arial"/>
              </w:rPr>
            </w:pPr>
            <w:r w:rsidRPr="002B3F36">
              <w:rPr>
                <w:rFonts w:ascii="Arial" w:hAnsi="Arial" w:cs="Arial"/>
              </w:rPr>
              <w:t>With 3 reception-departure tracks of useful length of 1050 meters, and a railway dead-end track of 100 meters.</w:t>
            </w:r>
          </w:p>
        </w:tc>
      </w:tr>
      <w:tr w:rsidR="00F61F8E" w:rsidRPr="002B3F36" w14:paraId="565529E7" w14:textId="77777777" w:rsidTr="00A846C7">
        <w:trPr>
          <w:jc w:val="center"/>
        </w:trPr>
        <w:tc>
          <w:tcPr>
            <w:tcW w:w="4172" w:type="dxa"/>
          </w:tcPr>
          <w:p w14:paraId="4AFB0F5D" w14:textId="5E3399BC" w:rsidR="00F61F8E" w:rsidRPr="002B3F36" w:rsidRDefault="000F264B">
            <w:pPr>
              <w:ind w:left="348" w:hanging="348"/>
              <w:rPr>
                <w:rFonts w:ascii="Arial" w:hAnsi="Arial" w:cs="Arial"/>
              </w:rPr>
            </w:pPr>
            <w:r w:rsidRPr="002B3F36">
              <w:rPr>
                <w:rFonts w:ascii="Arial" w:hAnsi="Arial" w:cs="Arial"/>
              </w:rPr>
              <w:t>1</w:t>
            </w:r>
            <w:r w:rsidR="00171BD2">
              <w:rPr>
                <w:rFonts w:ascii="Arial" w:hAnsi="Arial" w:cs="Arial"/>
              </w:rPr>
              <w:t>8</w:t>
            </w:r>
            <w:r w:rsidRPr="002B3F36">
              <w:rPr>
                <w:rFonts w:ascii="Arial" w:hAnsi="Arial" w:cs="Arial"/>
              </w:rPr>
              <w:t>. Passing Point 1</w:t>
            </w:r>
            <w:r w:rsidR="00171BD2">
              <w:rPr>
                <w:rFonts w:ascii="Arial" w:hAnsi="Arial" w:cs="Arial"/>
              </w:rPr>
              <w:t>4</w:t>
            </w:r>
          </w:p>
        </w:tc>
        <w:tc>
          <w:tcPr>
            <w:tcW w:w="5130" w:type="dxa"/>
          </w:tcPr>
          <w:p w14:paraId="1C893223"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67CD65A9" w14:textId="77777777" w:rsidTr="00A846C7">
        <w:trPr>
          <w:jc w:val="center"/>
        </w:trPr>
        <w:tc>
          <w:tcPr>
            <w:tcW w:w="4172" w:type="dxa"/>
          </w:tcPr>
          <w:p w14:paraId="1C355DCF" w14:textId="4851FCFC" w:rsidR="00F61F8E" w:rsidRPr="002B3F36" w:rsidRDefault="00171BD2">
            <w:pPr>
              <w:ind w:left="348" w:hanging="348"/>
              <w:rPr>
                <w:rFonts w:ascii="Arial" w:hAnsi="Arial" w:cs="Arial"/>
              </w:rPr>
            </w:pPr>
            <w:r>
              <w:rPr>
                <w:rFonts w:ascii="Arial" w:hAnsi="Arial" w:cs="Arial"/>
              </w:rPr>
              <w:t>19</w:t>
            </w:r>
            <w:r w:rsidR="000F264B" w:rsidRPr="002B3F36">
              <w:rPr>
                <w:rFonts w:ascii="Arial" w:hAnsi="Arial" w:cs="Arial"/>
              </w:rPr>
              <w:t>. Passing Loop 1</w:t>
            </w:r>
            <w:r>
              <w:rPr>
                <w:rFonts w:ascii="Arial" w:hAnsi="Arial" w:cs="Arial"/>
              </w:rPr>
              <w:t>5</w:t>
            </w:r>
          </w:p>
        </w:tc>
        <w:tc>
          <w:tcPr>
            <w:tcW w:w="5130" w:type="dxa"/>
          </w:tcPr>
          <w:p w14:paraId="465C8E56"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6E54F54B" w14:textId="77777777" w:rsidTr="00A846C7">
        <w:trPr>
          <w:jc w:val="center"/>
        </w:trPr>
        <w:tc>
          <w:tcPr>
            <w:tcW w:w="4172" w:type="dxa"/>
          </w:tcPr>
          <w:p w14:paraId="4DC1FE3A" w14:textId="5598F138" w:rsidR="00F61F8E" w:rsidRPr="002B3F36" w:rsidRDefault="000F264B">
            <w:pPr>
              <w:ind w:left="348" w:hanging="348"/>
              <w:rPr>
                <w:rFonts w:ascii="Arial" w:hAnsi="Arial" w:cs="Arial"/>
              </w:rPr>
            </w:pPr>
            <w:r w:rsidRPr="002B3F36">
              <w:rPr>
                <w:rFonts w:ascii="Arial" w:hAnsi="Arial" w:cs="Arial"/>
              </w:rPr>
              <w:t>2</w:t>
            </w:r>
            <w:r w:rsidR="00171BD2">
              <w:rPr>
                <w:rFonts w:ascii="Arial" w:hAnsi="Arial" w:cs="Arial"/>
              </w:rPr>
              <w:t>0</w:t>
            </w:r>
            <w:r w:rsidRPr="002B3F36">
              <w:rPr>
                <w:rFonts w:ascii="Arial" w:hAnsi="Arial" w:cs="Arial"/>
              </w:rPr>
              <w:t>. Passing Loop 1</w:t>
            </w:r>
            <w:r w:rsidR="00171BD2">
              <w:rPr>
                <w:rFonts w:ascii="Arial" w:hAnsi="Arial" w:cs="Arial"/>
              </w:rPr>
              <w:t>6</w:t>
            </w:r>
          </w:p>
        </w:tc>
        <w:tc>
          <w:tcPr>
            <w:tcW w:w="5130" w:type="dxa"/>
          </w:tcPr>
          <w:p w14:paraId="2642DE40"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44673B79" w14:textId="77777777" w:rsidTr="00A846C7">
        <w:trPr>
          <w:jc w:val="center"/>
        </w:trPr>
        <w:tc>
          <w:tcPr>
            <w:tcW w:w="4172" w:type="dxa"/>
          </w:tcPr>
          <w:p w14:paraId="4C53395A" w14:textId="083DCD86" w:rsidR="00F61F8E" w:rsidRPr="002B3F36" w:rsidRDefault="000F264B">
            <w:pPr>
              <w:ind w:left="348" w:hanging="348"/>
              <w:rPr>
                <w:rFonts w:ascii="Arial" w:hAnsi="Arial" w:cs="Arial"/>
              </w:rPr>
            </w:pPr>
            <w:r w:rsidRPr="002B3F36">
              <w:rPr>
                <w:rFonts w:ascii="Arial" w:hAnsi="Arial" w:cs="Arial"/>
              </w:rPr>
              <w:t>2</w:t>
            </w:r>
            <w:r w:rsidR="00171BD2">
              <w:rPr>
                <w:rFonts w:ascii="Arial" w:hAnsi="Arial" w:cs="Arial"/>
              </w:rPr>
              <w:t>1</w:t>
            </w:r>
            <w:r w:rsidRPr="002B3F36">
              <w:rPr>
                <w:rFonts w:ascii="Arial" w:hAnsi="Arial" w:cs="Arial"/>
              </w:rPr>
              <w:t>. Passing Loop 1</w:t>
            </w:r>
            <w:r w:rsidR="00171BD2">
              <w:rPr>
                <w:rFonts w:ascii="Arial" w:hAnsi="Arial" w:cs="Arial"/>
              </w:rPr>
              <w:t>7</w:t>
            </w:r>
          </w:p>
        </w:tc>
        <w:tc>
          <w:tcPr>
            <w:tcW w:w="5130" w:type="dxa"/>
          </w:tcPr>
          <w:p w14:paraId="2FCC1C52" w14:textId="77777777" w:rsidR="00F61F8E" w:rsidRPr="002B3F36" w:rsidRDefault="000F264B">
            <w:pPr>
              <w:rPr>
                <w:rFonts w:ascii="Arial" w:hAnsi="Arial" w:cs="Arial"/>
              </w:rPr>
            </w:pPr>
            <w:r w:rsidRPr="002B3F36">
              <w:rPr>
                <w:rFonts w:ascii="Arial" w:hAnsi="Arial" w:cs="Arial"/>
              </w:rPr>
              <w:t>With 2 reception-departure tracks of useful length of 1050 meters, and a prospective track of 1050 meters.</w:t>
            </w:r>
          </w:p>
        </w:tc>
      </w:tr>
      <w:tr w:rsidR="00F61F8E" w:rsidRPr="002B3F36" w14:paraId="18EA4B34" w14:textId="77777777" w:rsidTr="00A846C7">
        <w:trPr>
          <w:jc w:val="center"/>
        </w:trPr>
        <w:tc>
          <w:tcPr>
            <w:tcW w:w="4172" w:type="dxa"/>
          </w:tcPr>
          <w:p w14:paraId="476167F3" w14:textId="460247C0" w:rsidR="00F61F8E" w:rsidRPr="002B3F36" w:rsidRDefault="000F264B">
            <w:pPr>
              <w:ind w:left="348" w:hanging="348"/>
              <w:rPr>
                <w:rFonts w:ascii="Arial" w:hAnsi="Arial" w:cs="Arial"/>
              </w:rPr>
            </w:pPr>
            <w:r w:rsidRPr="002B3F36">
              <w:rPr>
                <w:rFonts w:ascii="Arial" w:hAnsi="Arial" w:cs="Arial"/>
              </w:rPr>
              <w:t>2</w:t>
            </w:r>
            <w:r w:rsidR="00171BD2">
              <w:rPr>
                <w:rFonts w:ascii="Arial" w:hAnsi="Arial" w:cs="Arial"/>
              </w:rPr>
              <w:t>2</w:t>
            </w:r>
            <w:r w:rsidRPr="002B3F36">
              <w:rPr>
                <w:rFonts w:ascii="Arial" w:hAnsi="Arial" w:cs="Arial"/>
              </w:rPr>
              <w:t>. Pre-Junction Station 20</w:t>
            </w:r>
          </w:p>
        </w:tc>
        <w:tc>
          <w:tcPr>
            <w:tcW w:w="5130" w:type="dxa"/>
          </w:tcPr>
          <w:p w14:paraId="7EDDAAB1" w14:textId="77777777" w:rsidR="00F61F8E" w:rsidRPr="002B3F36" w:rsidRDefault="000F264B">
            <w:pPr>
              <w:rPr>
                <w:rFonts w:ascii="Arial" w:hAnsi="Arial" w:cs="Arial"/>
              </w:rPr>
            </w:pPr>
            <w:r w:rsidRPr="002B3F36">
              <w:rPr>
                <w:rFonts w:ascii="Arial" w:hAnsi="Arial" w:cs="Arial"/>
              </w:rPr>
              <w:t>With 4 reception-departure tracks of useful length of 1050 meters, and a railway dead-end track of 100 meters.</w:t>
            </w:r>
          </w:p>
        </w:tc>
      </w:tr>
      <w:tr w:rsidR="00F61F8E" w:rsidRPr="002B3F36" w14:paraId="0EBA1F77" w14:textId="77777777" w:rsidTr="00A846C7">
        <w:trPr>
          <w:jc w:val="center"/>
        </w:trPr>
        <w:tc>
          <w:tcPr>
            <w:tcW w:w="4172" w:type="dxa"/>
          </w:tcPr>
          <w:p w14:paraId="6F53C9F4" w14:textId="608761D2" w:rsidR="00F61F8E" w:rsidRPr="002B3F36" w:rsidRDefault="000F264B">
            <w:pPr>
              <w:ind w:left="348" w:hanging="348"/>
              <w:rPr>
                <w:rFonts w:ascii="Arial" w:hAnsi="Arial" w:cs="Arial"/>
              </w:rPr>
            </w:pPr>
            <w:r w:rsidRPr="002B3F36">
              <w:rPr>
                <w:rFonts w:ascii="Arial" w:hAnsi="Arial" w:cs="Arial"/>
              </w:rPr>
              <w:t>2</w:t>
            </w:r>
            <w:r w:rsidR="00171BD2">
              <w:rPr>
                <w:rFonts w:ascii="Arial" w:hAnsi="Arial" w:cs="Arial"/>
              </w:rPr>
              <w:t>3</w:t>
            </w:r>
            <w:r w:rsidRPr="002B3F36">
              <w:rPr>
                <w:rFonts w:ascii="Arial" w:hAnsi="Arial" w:cs="Arial"/>
              </w:rPr>
              <w:t>.  Pre-Junction Station 21</w:t>
            </w:r>
          </w:p>
        </w:tc>
        <w:tc>
          <w:tcPr>
            <w:tcW w:w="5130" w:type="dxa"/>
          </w:tcPr>
          <w:p w14:paraId="7C777B17" w14:textId="77777777" w:rsidR="00F61F8E" w:rsidRPr="002B3F36" w:rsidRDefault="000F264B">
            <w:pPr>
              <w:rPr>
                <w:rFonts w:ascii="Arial" w:hAnsi="Arial" w:cs="Arial"/>
              </w:rPr>
            </w:pPr>
            <w:r w:rsidRPr="002B3F36">
              <w:rPr>
                <w:rFonts w:ascii="Arial" w:hAnsi="Arial" w:cs="Arial"/>
              </w:rPr>
              <w:t>With 4 reception-departure tracks of useful length of 1050 meters, 2 railway dead-end tracks of 100 meters each, and a prospective track of 1050 meters.</w:t>
            </w:r>
          </w:p>
        </w:tc>
      </w:tr>
      <w:tr w:rsidR="00F61F8E" w:rsidRPr="002B3F36" w14:paraId="69F59061" w14:textId="77777777" w:rsidTr="00A846C7">
        <w:trPr>
          <w:jc w:val="center"/>
        </w:trPr>
        <w:tc>
          <w:tcPr>
            <w:tcW w:w="4172" w:type="dxa"/>
          </w:tcPr>
          <w:p w14:paraId="1555C052" w14:textId="44C0A3A9" w:rsidR="00F61F8E" w:rsidRPr="002B3F36" w:rsidRDefault="000F264B">
            <w:pPr>
              <w:ind w:left="348" w:hanging="348"/>
              <w:rPr>
                <w:rFonts w:ascii="Arial" w:hAnsi="Arial" w:cs="Arial"/>
              </w:rPr>
            </w:pPr>
            <w:r w:rsidRPr="002B3F36">
              <w:rPr>
                <w:rFonts w:ascii="Arial" w:hAnsi="Arial" w:cs="Arial"/>
              </w:rPr>
              <w:t>2</w:t>
            </w:r>
            <w:r w:rsidR="00171BD2">
              <w:rPr>
                <w:rFonts w:ascii="Arial" w:hAnsi="Arial" w:cs="Arial"/>
              </w:rPr>
              <w:t>4</w:t>
            </w:r>
            <w:r w:rsidRPr="002B3F36">
              <w:rPr>
                <w:rFonts w:ascii="Arial" w:hAnsi="Arial" w:cs="Arial"/>
              </w:rPr>
              <w:t>. Mointy Station</w:t>
            </w:r>
          </w:p>
          <w:p w14:paraId="15BFC416" w14:textId="77777777" w:rsidR="00F61F8E" w:rsidRPr="002B3F36" w:rsidRDefault="00F61F8E">
            <w:pPr>
              <w:ind w:left="348" w:hanging="348"/>
              <w:rPr>
                <w:rFonts w:ascii="Arial" w:hAnsi="Arial" w:cs="Arial"/>
              </w:rPr>
            </w:pPr>
          </w:p>
        </w:tc>
        <w:tc>
          <w:tcPr>
            <w:tcW w:w="5130" w:type="dxa"/>
          </w:tcPr>
          <w:p w14:paraId="78D23F9A" w14:textId="77777777" w:rsidR="00F61F8E" w:rsidRPr="002B3F36" w:rsidRDefault="000F264B">
            <w:pPr>
              <w:pStyle w:val="ReportParagraph"/>
              <w:rPr>
                <w:sz w:val="20"/>
                <w:szCs w:val="20"/>
              </w:rPr>
            </w:pPr>
            <w:r w:rsidRPr="002B3F36">
              <w:rPr>
                <w:sz w:val="20"/>
                <w:szCs w:val="20"/>
              </w:rPr>
              <w:t>Reconstruct Mointy Station with the construction of 3 reception-departure tracks of useful length of 1050 meters, a classification yard with 3 additional tracks, extension of the pull-out track to a useful length of 1050 meters, extension of 7 tracks to a useful length of 1050 meters, and 2 railway dead-end tracks of 100 meters each.</w:t>
            </w:r>
          </w:p>
          <w:p w14:paraId="34DEFF51" w14:textId="77777777" w:rsidR="00F61F8E" w:rsidRPr="002B3F36" w:rsidRDefault="00F61F8E">
            <w:pPr>
              <w:rPr>
                <w:rFonts w:ascii="Arial" w:hAnsi="Arial" w:cs="Arial"/>
              </w:rPr>
            </w:pPr>
          </w:p>
        </w:tc>
      </w:tr>
    </w:tbl>
    <w:p w14:paraId="681FEFB4" w14:textId="77777777" w:rsidR="00C52BF1" w:rsidRPr="00A846C7" w:rsidRDefault="00C52BF1" w:rsidP="00C52BF1">
      <w:pPr>
        <w:pStyle w:val="ReportParagraph"/>
      </w:pPr>
    </w:p>
    <w:p w14:paraId="091711C8" w14:textId="4BFDBD50" w:rsidR="00C52BF1" w:rsidRPr="002B3F36" w:rsidRDefault="00C52BF1" w:rsidP="00C52BF1">
      <w:pPr>
        <w:pStyle w:val="ReportParagraph"/>
      </w:pPr>
      <w:r w:rsidRPr="00A846C7">
        <w:t>Descri</w:t>
      </w:r>
      <w:r w:rsidR="00A2780C" w:rsidRPr="00A846C7">
        <w:t>ption</w:t>
      </w:r>
      <w:r w:rsidRPr="00A846C7">
        <w:t xml:space="preserve"> and locations of the new stations are given below. </w:t>
      </w:r>
      <w:r w:rsidRPr="00A846C7">
        <w:rPr>
          <w:rFonts w:eastAsia="Times New Roman"/>
          <w:color w:val="222222"/>
          <w:lang w:val="en"/>
        </w:rPr>
        <w:t>There will be an influx of labor to service the new stations</w:t>
      </w:r>
      <w:r w:rsidR="00533FCE" w:rsidRPr="00A846C7">
        <w:rPr>
          <w:rFonts w:eastAsia="Times New Roman"/>
          <w:color w:val="222222"/>
          <w:lang w:val="en"/>
        </w:rPr>
        <w:t>, not considered to</w:t>
      </w:r>
      <w:r w:rsidR="00EB4816">
        <w:rPr>
          <w:rFonts w:eastAsia="Times New Roman"/>
          <w:color w:val="222222"/>
          <w:lang w:val="en"/>
        </w:rPr>
        <w:t xml:space="preserve">o </w:t>
      </w:r>
      <w:r w:rsidRPr="00A846C7">
        <w:rPr>
          <w:rFonts w:eastAsia="Times New Roman"/>
          <w:color w:val="222222"/>
          <w:lang w:val="en"/>
        </w:rPr>
        <w:t>significant.</w:t>
      </w:r>
    </w:p>
    <w:p w14:paraId="5511E425" w14:textId="77777777" w:rsidR="00C52BF1" w:rsidRPr="002B3F36" w:rsidRDefault="00C52BF1" w:rsidP="00C52BF1">
      <w:pPr>
        <w:pStyle w:val="ReportParagraph"/>
      </w:pPr>
    </w:p>
    <w:p w14:paraId="2A6A4C04" w14:textId="77777777" w:rsidR="00C52BF1" w:rsidRPr="002B3F36" w:rsidRDefault="00C52BF1" w:rsidP="00C52BF1">
      <w:pPr>
        <w:pStyle w:val="ReportParagraph"/>
      </w:pPr>
    </w:p>
    <w:p w14:paraId="4AF2F07F" w14:textId="77777777" w:rsidR="00C52BF1" w:rsidRPr="00A846C7" w:rsidRDefault="00C52BF1" w:rsidP="00C52BF1">
      <w:pPr>
        <w:rPr>
          <w:rFonts w:ascii="Arial" w:eastAsia="Times New Roman" w:hAnsi="Arial" w:cs="Arial"/>
          <w:b/>
          <w:i/>
          <w:color w:val="222222"/>
          <w:sz w:val="24"/>
          <w:szCs w:val="24"/>
          <w:lang w:eastAsia="en-PH"/>
        </w:rPr>
      </w:pPr>
      <w:r w:rsidRPr="00A846C7">
        <w:rPr>
          <w:rFonts w:ascii="Arial" w:eastAsia="Times New Roman" w:hAnsi="Arial" w:cs="Arial"/>
          <w:b/>
          <w:i/>
          <w:color w:val="222222"/>
          <w:sz w:val="24"/>
          <w:szCs w:val="24"/>
          <w:lang w:eastAsia="en-PH"/>
        </w:rPr>
        <w:t xml:space="preserve">Kyzylzhar Station. </w:t>
      </w:r>
    </w:p>
    <w:p w14:paraId="65011712" w14:textId="70ACA0D3" w:rsidR="00C52BF1" w:rsidRPr="00A846C7" w:rsidRDefault="00C52BF1" w:rsidP="00C52BF1">
      <w:pPr>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 xml:space="preserve">Kyzylzhar Station is a railway station of the </w:t>
      </w:r>
      <w:r w:rsidR="003A184C">
        <w:rPr>
          <w:rFonts w:ascii="Arial" w:eastAsia="Times New Roman" w:hAnsi="Arial" w:cs="Arial"/>
          <w:bCs/>
          <w:iCs/>
          <w:color w:val="222222"/>
          <w:sz w:val="24"/>
          <w:szCs w:val="24"/>
          <w:lang w:eastAsia="en-PH"/>
        </w:rPr>
        <w:t>Karagandy</w:t>
      </w:r>
      <w:r w:rsidRPr="00A846C7">
        <w:rPr>
          <w:rFonts w:ascii="Arial" w:eastAsia="Times New Roman" w:hAnsi="Arial" w:cs="Arial"/>
          <w:bCs/>
          <w:iCs/>
          <w:color w:val="222222"/>
          <w:sz w:val="24"/>
          <w:szCs w:val="24"/>
          <w:lang w:eastAsia="en-PH"/>
        </w:rPr>
        <w:t xml:space="preserve"> branch of Kazakhstan Railways, located in the Zhanaarka district of the </w:t>
      </w:r>
      <w:r w:rsidR="003A184C">
        <w:rPr>
          <w:rFonts w:ascii="Arial" w:eastAsia="Times New Roman" w:hAnsi="Arial" w:cs="Arial"/>
          <w:bCs/>
          <w:iCs/>
          <w:color w:val="222222"/>
          <w:sz w:val="24"/>
          <w:szCs w:val="24"/>
          <w:lang w:eastAsia="en-PH"/>
        </w:rPr>
        <w:t>Ulytau</w:t>
      </w:r>
      <w:r w:rsidRPr="00A846C7">
        <w:rPr>
          <w:rFonts w:ascii="Arial" w:eastAsia="Times New Roman" w:hAnsi="Arial" w:cs="Arial"/>
          <w:bCs/>
          <w:iCs/>
          <w:color w:val="222222"/>
          <w:sz w:val="24"/>
          <w:szCs w:val="24"/>
          <w:lang w:eastAsia="en-PH"/>
        </w:rPr>
        <w:t xml:space="preserve"> region of Kazakhstan.</w:t>
      </w:r>
    </w:p>
    <w:p w14:paraId="75DEECB2" w14:textId="77777777" w:rsidR="00C52BF1" w:rsidRPr="00A846C7" w:rsidRDefault="00C52BF1" w:rsidP="00F82096">
      <w:pPr>
        <w:pStyle w:val="ReportBodyTextNogap"/>
      </w:pPr>
      <w:r w:rsidRPr="00A846C7">
        <w:t>The station serves freight and passenger services. Local and commuter passenger trains pass through the station, including Almaty-Zhezkazgan, Zhezkazgan-Astana, Zharyk-Zhezkazgan, and others.</w:t>
      </w:r>
    </w:p>
    <w:p w14:paraId="042B5CBB" w14:textId="77777777" w:rsidR="00C52BF1" w:rsidRPr="00A846C7" w:rsidRDefault="00C52BF1" w:rsidP="00C52BF1">
      <w:pPr>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Coordinates: Latitude: 48.297997 Longitude: 69.648750</w:t>
      </w:r>
    </w:p>
    <w:p w14:paraId="0E913359" w14:textId="77777777" w:rsidR="00C52BF1" w:rsidRPr="00A846C7" w:rsidRDefault="00C52BF1" w:rsidP="00C52BF1">
      <w:pPr>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ECP Code: 67670</w:t>
      </w:r>
    </w:p>
    <w:p w14:paraId="736BA6C2" w14:textId="77777777" w:rsidR="00C52BF1" w:rsidRPr="00A846C7" w:rsidRDefault="00C52BF1" w:rsidP="00C52BF1">
      <w:pPr>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Station Type: Intra-City Station</w:t>
      </w:r>
    </w:p>
    <w:p w14:paraId="03E960FC" w14:textId="77777777" w:rsidR="00C52BF1" w:rsidRPr="00A846C7" w:rsidRDefault="00C52BF1" w:rsidP="00C52BF1">
      <w:pPr>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Station Operations:</w:t>
      </w:r>
    </w:p>
    <w:p w14:paraId="2B3A4471" w14:textId="77777777" w:rsidR="00C52BF1" w:rsidRPr="00A846C7" w:rsidRDefault="00C52BF1" w:rsidP="00F82096">
      <w:pPr>
        <w:ind w:left="1080" w:hanging="360"/>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(1) Receipt and delivery of carloads of freight permitted for storage in open station areas</w:t>
      </w:r>
    </w:p>
    <w:p w14:paraId="756072EC" w14:textId="77777777" w:rsidR="00C52BF1" w:rsidRPr="00A846C7" w:rsidRDefault="00C52BF1" w:rsidP="00F82096">
      <w:pPr>
        <w:ind w:left="1080" w:hanging="360"/>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(2) Receipt and delivery of carloads and small freight loaded in whole cars only on sidings and non-public areas</w:t>
      </w:r>
    </w:p>
    <w:p w14:paraId="1025B9B4" w14:textId="77777777" w:rsidR="00C52BF1" w:rsidRPr="00A846C7" w:rsidRDefault="00C52BF1" w:rsidP="00F82096">
      <w:pPr>
        <w:ind w:left="1080" w:hanging="360"/>
        <w:rPr>
          <w:rFonts w:ascii="Arial" w:eastAsia="Times New Roman" w:hAnsi="Arial" w:cs="Arial"/>
          <w:bCs/>
          <w:iCs/>
          <w:color w:val="222222"/>
          <w:sz w:val="24"/>
          <w:szCs w:val="24"/>
          <w:lang w:eastAsia="en-PH"/>
        </w:rPr>
      </w:pPr>
      <w:r w:rsidRPr="00A846C7">
        <w:rPr>
          <w:rFonts w:ascii="Arial" w:eastAsia="Times New Roman" w:hAnsi="Arial" w:cs="Arial"/>
          <w:bCs/>
          <w:iCs/>
          <w:color w:val="222222"/>
          <w:sz w:val="24"/>
          <w:szCs w:val="24"/>
          <w:lang w:eastAsia="en-PH"/>
        </w:rPr>
        <w:t>(3) Ticket sales for all passenger trains, baggage acceptance and delivery.</w:t>
      </w:r>
    </w:p>
    <w:p w14:paraId="1251EC82" w14:textId="77777777" w:rsidR="00C52BF1" w:rsidRPr="00A846C7" w:rsidRDefault="00C52BF1" w:rsidP="00C52BF1">
      <w:pPr>
        <w:rPr>
          <w:rFonts w:ascii="Arial" w:eastAsia="Times New Roman" w:hAnsi="Arial" w:cs="Arial"/>
          <w:bCs/>
          <w:iCs/>
          <w:color w:val="222222"/>
          <w:sz w:val="24"/>
          <w:szCs w:val="24"/>
          <w:lang w:eastAsia="en-PH"/>
        </w:rPr>
      </w:pPr>
    </w:p>
    <w:p w14:paraId="6BEB00F4" w14:textId="77777777" w:rsidR="00C52BF1" w:rsidRPr="00A846C7" w:rsidRDefault="00C52BF1" w:rsidP="00C52BF1">
      <w:pPr>
        <w:rPr>
          <w:rFonts w:ascii="Arial" w:eastAsia="Times New Roman" w:hAnsi="Arial" w:cs="Arial"/>
          <w:b/>
          <w:i/>
          <w:color w:val="222222"/>
          <w:sz w:val="24"/>
          <w:szCs w:val="24"/>
          <w:lang w:eastAsia="en-PH"/>
        </w:rPr>
      </w:pPr>
      <w:r w:rsidRPr="00A846C7">
        <w:rPr>
          <w:rFonts w:ascii="Arial" w:eastAsia="Times New Roman" w:hAnsi="Arial" w:cs="Arial"/>
          <w:b/>
          <w:i/>
          <w:color w:val="222222"/>
          <w:sz w:val="24"/>
          <w:szCs w:val="24"/>
          <w:lang w:val="en" w:eastAsia="en-PH"/>
        </w:rPr>
        <w:t xml:space="preserve">Development of the Kyzylzhar station junction. </w:t>
      </w:r>
    </w:p>
    <w:p w14:paraId="319086A7" w14:textId="77777777" w:rsidR="00C52BF1" w:rsidRPr="002B3F36" w:rsidRDefault="00C52BF1" w:rsidP="00F82096">
      <w:pPr>
        <w:pStyle w:val="ReportBodyPar"/>
      </w:pPr>
      <w:r w:rsidRPr="00A846C7">
        <w:rPr>
          <w:lang w:val="en"/>
        </w:rPr>
        <w:t xml:space="preserve">The plan is to develop the existing Kyzylzhar station Park B with the construction of an additional second main track with three receiving and departure tracks (in addition to the </w:t>
      </w:r>
      <w:r w:rsidRPr="00A846C7">
        <w:rPr>
          <w:lang w:val="en"/>
        </w:rPr>
        <w:lastRenderedPageBreak/>
        <w:t>main track) and the construction of depot, extension, and track for the triangle and dead-end sidings</w:t>
      </w:r>
      <w:r w:rsidRPr="002B3F36">
        <w:t>.</w:t>
      </w:r>
    </w:p>
    <w:p w14:paraId="108A91CF" w14:textId="77777777" w:rsidR="00C52BF1" w:rsidRPr="002B3F36" w:rsidRDefault="00C52BF1" w:rsidP="00C52BF1">
      <w:pPr>
        <w:rPr>
          <w:rFonts w:ascii="Arial" w:eastAsia="Times New Roman" w:hAnsi="Arial" w:cs="Arial"/>
          <w:bCs/>
          <w:iCs/>
          <w:color w:val="222222"/>
          <w:sz w:val="24"/>
          <w:szCs w:val="24"/>
          <w:lang w:eastAsia="en-PH"/>
        </w:rPr>
      </w:pPr>
    </w:p>
    <w:p w14:paraId="2F085D36" w14:textId="76B0843D" w:rsidR="00C52BF1" w:rsidRPr="002B3F36" w:rsidRDefault="00C52BF1" w:rsidP="00C52BF1">
      <w:pPr>
        <w:rPr>
          <w:rFonts w:ascii="Arial" w:eastAsia="Times New Roman" w:hAnsi="Arial" w:cs="Arial"/>
          <w:color w:val="222222"/>
          <w:sz w:val="20"/>
          <w:szCs w:val="20"/>
          <w:lang w:val="ru-RU" w:eastAsia="en-PH"/>
        </w:rPr>
      </w:pPr>
      <w:r w:rsidRPr="002B3F36">
        <w:rPr>
          <w:rFonts w:ascii="Arial" w:eastAsia="Times New Roman" w:hAnsi="Arial" w:cs="Arial"/>
          <w:noProof/>
          <w:color w:val="222222"/>
          <w:sz w:val="20"/>
          <w:szCs w:val="20"/>
          <w:lang w:val="ru-RU" w:eastAsia="ru-RU"/>
        </w:rPr>
        <w:drawing>
          <wp:inline distT="0" distB="0" distL="0" distR="0" wp14:anchorId="5A392B0A" wp14:editId="7ACBAF9F">
            <wp:extent cx="6099870" cy="30022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7821" cy="3016037"/>
                    </a:xfrm>
                    <a:prstGeom prst="rect">
                      <a:avLst/>
                    </a:prstGeom>
                    <a:noFill/>
                    <a:ln>
                      <a:noFill/>
                    </a:ln>
                  </pic:spPr>
                </pic:pic>
              </a:graphicData>
            </a:graphic>
          </wp:inline>
        </w:drawing>
      </w:r>
    </w:p>
    <w:p w14:paraId="6EEC9E21" w14:textId="77777777" w:rsidR="00C52BF1" w:rsidRPr="002B3F36" w:rsidRDefault="00C52BF1" w:rsidP="00C52BF1">
      <w:pPr>
        <w:rPr>
          <w:rFonts w:ascii="Arial" w:eastAsia="Times New Roman" w:hAnsi="Arial" w:cs="Arial"/>
          <w:color w:val="222222"/>
          <w:sz w:val="20"/>
          <w:szCs w:val="20"/>
          <w:lang w:val="ru-RU" w:eastAsia="en-PH"/>
        </w:rPr>
      </w:pPr>
    </w:p>
    <w:p w14:paraId="067B5D11" w14:textId="68076596" w:rsidR="00C52BF1" w:rsidRPr="002B3F36" w:rsidRDefault="00C52BF1" w:rsidP="00C52BF1">
      <w:pPr>
        <w:rPr>
          <w:rFonts w:ascii="Arial" w:eastAsia="Times New Roman" w:hAnsi="Arial" w:cs="Arial"/>
          <w:color w:val="222222"/>
          <w:sz w:val="20"/>
          <w:szCs w:val="20"/>
          <w:lang w:val="ru-RU" w:eastAsia="en-PH"/>
        </w:rPr>
      </w:pPr>
      <w:r w:rsidRPr="002B3F36">
        <w:rPr>
          <w:rFonts w:ascii="Arial" w:eastAsia="Times New Roman" w:hAnsi="Arial" w:cs="Arial"/>
          <w:noProof/>
          <w:color w:val="222222"/>
          <w:sz w:val="20"/>
          <w:szCs w:val="20"/>
          <w:lang w:val="ru-RU" w:eastAsia="ru-RU"/>
        </w:rPr>
        <w:drawing>
          <wp:inline distT="0" distB="0" distL="0" distR="0" wp14:anchorId="5E351278" wp14:editId="7682AB8B">
            <wp:extent cx="6091619" cy="434340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8838" cy="4355677"/>
                    </a:xfrm>
                    <a:prstGeom prst="rect">
                      <a:avLst/>
                    </a:prstGeom>
                    <a:noFill/>
                    <a:ln>
                      <a:noFill/>
                    </a:ln>
                  </pic:spPr>
                </pic:pic>
              </a:graphicData>
            </a:graphic>
          </wp:inline>
        </w:drawing>
      </w:r>
    </w:p>
    <w:p w14:paraId="45ADF911" w14:textId="77777777" w:rsidR="00C52BF1" w:rsidRPr="002B3F36" w:rsidRDefault="00C52BF1" w:rsidP="00C52BF1">
      <w:pPr>
        <w:rPr>
          <w:rFonts w:ascii="Arial" w:eastAsia="Times New Roman" w:hAnsi="Arial" w:cs="Arial"/>
          <w:color w:val="222222"/>
          <w:sz w:val="20"/>
          <w:szCs w:val="20"/>
          <w:lang w:val="ru-RU" w:eastAsia="en-PH"/>
        </w:rPr>
      </w:pPr>
    </w:p>
    <w:p w14:paraId="3E38DB3D" w14:textId="20E64299" w:rsidR="00C52BF1" w:rsidRPr="002B3F36" w:rsidRDefault="00C52BF1" w:rsidP="00C52BF1">
      <w:pPr>
        <w:rPr>
          <w:rFonts w:ascii="Arial" w:eastAsia="Times New Roman" w:hAnsi="Arial" w:cs="Arial"/>
          <w:color w:val="222222"/>
          <w:sz w:val="20"/>
          <w:szCs w:val="20"/>
          <w:lang w:val="ru-RU" w:eastAsia="en-PH"/>
        </w:rPr>
      </w:pPr>
      <w:r w:rsidRPr="002B3F36">
        <w:rPr>
          <w:rFonts w:ascii="Arial" w:eastAsia="Times New Roman" w:hAnsi="Arial" w:cs="Arial"/>
          <w:noProof/>
          <w:color w:val="222222"/>
          <w:sz w:val="20"/>
          <w:szCs w:val="20"/>
          <w:lang w:val="ru-RU" w:eastAsia="ru-RU"/>
        </w:rPr>
        <w:lastRenderedPageBreak/>
        <w:drawing>
          <wp:inline distT="0" distB="0" distL="0" distR="0" wp14:anchorId="35127EC1" wp14:editId="3DD5B3EA">
            <wp:extent cx="6406780" cy="39319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36409" cy="3950104"/>
                    </a:xfrm>
                    <a:prstGeom prst="rect">
                      <a:avLst/>
                    </a:prstGeom>
                    <a:noFill/>
                    <a:ln>
                      <a:noFill/>
                    </a:ln>
                  </pic:spPr>
                </pic:pic>
              </a:graphicData>
            </a:graphic>
          </wp:inline>
        </w:drawing>
      </w:r>
    </w:p>
    <w:p w14:paraId="29B3CD19" w14:textId="29A2A6CE" w:rsidR="00424D73" w:rsidRPr="002B3F36" w:rsidRDefault="00424D73" w:rsidP="00424D73">
      <w:pPr>
        <w:pStyle w:val="FigureCaption"/>
        <w:rPr>
          <w:rFonts w:cs="Arial"/>
        </w:rPr>
      </w:pPr>
      <w:bookmarkStart w:id="516" w:name="_Toc210589594"/>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5</w:t>
      </w:r>
      <w:r w:rsidRPr="002B3F36">
        <w:rPr>
          <w:rFonts w:cs="Arial"/>
        </w:rPr>
        <w:fldChar w:fldCharType="end"/>
      </w:r>
      <w:r w:rsidRPr="002B3F36">
        <w:rPr>
          <w:rFonts w:cs="Arial"/>
        </w:rPr>
        <w:t>: Developments for Kyzylzhar Station</w:t>
      </w:r>
      <w:bookmarkEnd w:id="516"/>
    </w:p>
    <w:p w14:paraId="3695934A" w14:textId="77777777" w:rsidR="00C52BF1" w:rsidRPr="00A846C7" w:rsidRDefault="00C52BF1" w:rsidP="00C52BF1">
      <w:pPr>
        <w:jc w:val="both"/>
        <w:rPr>
          <w:rFonts w:ascii="Arial" w:eastAsia="Calibri" w:hAnsi="Arial" w:cs="Arial"/>
          <w:b/>
          <w:i/>
          <w:kern w:val="2"/>
          <w:sz w:val="20"/>
          <w:szCs w:val="20"/>
          <w14:ligatures w14:val="standardContextual"/>
        </w:rPr>
      </w:pPr>
    </w:p>
    <w:p w14:paraId="23403F26" w14:textId="77777777" w:rsidR="00C52BF1" w:rsidRPr="00A846C7" w:rsidRDefault="00C52BF1" w:rsidP="00C52BF1">
      <w:pPr>
        <w:jc w:val="both"/>
        <w:rPr>
          <w:rFonts w:ascii="Arial" w:eastAsia="Calibri" w:hAnsi="Arial" w:cs="Arial"/>
          <w:b/>
          <w:i/>
          <w:kern w:val="2"/>
          <w:sz w:val="24"/>
          <w:szCs w:val="24"/>
          <w14:ligatures w14:val="standardContextual"/>
        </w:rPr>
      </w:pPr>
      <w:r w:rsidRPr="00A846C7">
        <w:rPr>
          <w:rFonts w:ascii="Arial" w:eastAsia="Calibri" w:hAnsi="Arial" w:cs="Arial"/>
          <w:b/>
          <w:i/>
          <w:kern w:val="2"/>
          <w:sz w:val="24"/>
          <w:szCs w:val="24"/>
          <w:lang w:val="en"/>
          <w14:ligatures w14:val="standardContextual"/>
        </w:rPr>
        <w:t>Preduzlovaya-1 Station</w:t>
      </w:r>
    </w:p>
    <w:p w14:paraId="72C3504C" w14:textId="77777777" w:rsidR="00C52BF1" w:rsidRPr="00A846C7" w:rsidRDefault="00C52BF1" w:rsidP="00C52BF1">
      <w:pPr>
        <w:jc w:val="both"/>
        <w:rPr>
          <w:rFonts w:ascii="Arial" w:eastAsia="Calibri" w:hAnsi="Arial" w:cs="Arial"/>
          <w:bCs/>
          <w:iCs/>
          <w:kern w:val="2"/>
          <w:sz w:val="24"/>
          <w:szCs w:val="24"/>
          <w14:ligatures w14:val="standardContextual"/>
        </w:rPr>
      </w:pPr>
      <w:r w:rsidRPr="00A846C7">
        <w:rPr>
          <w:rFonts w:ascii="Arial" w:eastAsia="Calibri" w:hAnsi="Arial" w:cs="Arial"/>
          <w:bCs/>
          <w:iCs/>
          <w:kern w:val="2"/>
          <w:sz w:val="24"/>
          <w:szCs w:val="24"/>
          <w:lang w:val="en"/>
          <w14:ligatures w14:val="standardContextual"/>
        </w:rPr>
        <w:t xml:space="preserve">Preduzlovaya-1 Station is planned to open with three receiving and departure tracks with a useful length of 1,050 meters and a 100-meter siding. </w:t>
      </w:r>
    </w:p>
    <w:p w14:paraId="49EC55FD" w14:textId="77777777" w:rsidR="00C52BF1" w:rsidRPr="00A846C7" w:rsidRDefault="00C52BF1" w:rsidP="00C52BF1">
      <w:pPr>
        <w:jc w:val="both"/>
        <w:rPr>
          <w:rFonts w:ascii="Arial" w:eastAsia="Calibri" w:hAnsi="Arial" w:cs="Arial"/>
          <w:bCs/>
          <w:iCs/>
          <w:kern w:val="2"/>
          <w:sz w:val="24"/>
          <w:szCs w:val="24"/>
          <w14:ligatures w14:val="standardContextual"/>
        </w:rPr>
      </w:pPr>
    </w:p>
    <w:p w14:paraId="0AABB7C9" w14:textId="77777777" w:rsidR="00C52BF1" w:rsidRPr="00A846C7" w:rsidRDefault="00C52BF1" w:rsidP="00C52BF1">
      <w:pPr>
        <w:jc w:val="both"/>
        <w:rPr>
          <w:rFonts w:ascii="Arial" w:eastAsia="Calibri" w:hAnsi="Arial" w:cs="Arial"/>
          <w:bCs/>
          <w:iCs/>
          <w:kern w:val="2"/>
          <w:sz w:val="24"/>
          <w:szCs w:val="24"/>
          <w14:ligatures w14:val="standardContextual"/>
        </w:rPr>
      </w:pPr>
      <w:r w:rsidRPr="00A846C7">
        <w:rPr>
          <w:rFonts w:ascii="Arial" w:eastAsia="Calibri" w:hAnsi="Arial" w:cs="Arial"/>
          <w:bCs/>
          <w:iCs/>
          <w:kern w:val="2"/>
          <w:sz w:val="24"/>
          <w:szCs w:val="24"/>
          <w:lang w:val="en"/>
          <w14:ligatures w14:val="standardContextual"/>
        </w:rPr>
        <w:t xml:space="preserve">Siding 2 </w:t>
      </w:r>
    </w:p>
    <w:p w14:paraId="78B64A92" w14:textId="77777777" w:rsidR="00C52BF1" w:rsidRPr="00A846C7" w:rsidRDefault="00C52BF1" w:rsidP="00C52BF1">
      <w:pPr>
        <w:jc w:val="both"/>
        <w:rPr>
          <w:rFonts w:ascii="Arial" w:eastAsia="Calibri" w:hAnsi="Arial" w:cs="Arial"/>
          <w:bCs/>
          <w:iCs/>
          <w:kern w:val="2"/>
          <w:sz w:val="24"/>
          <w:szCs w:val="24"/>
          <w14:ligatures w14:val="standardContextual"/>
        </w:rPr>
      </w:pPr>
      <w:r w:rsidRPr="00A846C7">
        <w:rPr>
          <w:rFonts w:ascii="Arial" w:eastAsia="Calibri" w:hAnsi="Arial" w:cs="Arial"/>
          <w:bCs/>
          <w:iCs/>
          <w:kern w:val="2"/>
          <w:sz w:val="24"/>
          <w:szCs w:val="24"/>
          <w:lang w:val="en"/>
          <w14:ligatures w14:val="standardContextual"/>
        </w:rPr>
        <w:t xml:space="preserve">Siding 2 is planned to open with two receiving and departure tracks with a useful length of 1,050 meters and a prospective track of 1,050 meters. </w:t>
      </w:r>
    </w:p>
    <w:p w14:paraId="0457B7DB" w14:textId="77777777" w:rsidR="00C52BF1" w:rsidRPr="00A846C7" w:rsidRDefault="00C52BF1" w:rsidP="00C52BF1">
      <w:pPr>
        <w:jc w:val="both"/>
        <w:rPr>
          <w:rFonts w:ascii="Arial" w:eastAsia="Calibri" w:hAnsi="Arial" w:cs="Arial"/>
          <w:bCs/>
          <w:iCs/>
          <w:kern w:val="2"/>
          <w:sz w:val="24"/>
          <w:szCs w:val="24"/>
          <w14:ligatures w14:val="standardContextual"/>
        </w:rPr>
      </w:pPr>
    </w:p>
    <w:p w14:paraId="343506EE" w14:textId="77777777" w:rsidR="00C52BF1" w:rsidRPr="00A846C7" w:rsidRDefault="00C52BF1" w:rsidP="00C52BF1">
      <w:pPr>
        <w:jc w:val="both"/>
        <w:rPr>
          <w:rFonts w:ascii="Arial" w:eastAsia="Calibri" w:hAnsi="Arial" w:cs="Arial"/>
          <w:bCs/>
          <w:iCs/>
          <w:kern w:val="2"/>
          <w:sz w:val="24"/>
          <w:szCs w:val="24"/>
          <w14:ligatures w14:val="standardContextual"/>
        </w:rPr>
      </w:pPr>
      <w:r w:rsidRPr="00A846C7">
        <w:rPr>
          <w:rFonts w:ascii="Arial" w:eastAsia="Calibri" w:hAnsi="Arial" w:cs="Arial"/>
          <w:bCs/>
          <w:iCs/>
          <w:kern w:val="2"/>
          <w:sz w:val="24"/>
          <w:szCs w:val="24"/>
          <w:lang w:val="en"/>
          <w14:ligatures w14:val="standardContextual"/>
        </w:rPr>
        <w:t xml:space="preserve">Siding 3 </w:t>
      </w:r>
    </w:p>
    <w:p w14:paraId="71579F0A" w14:textId="77777777" w:rsidR="00C52BF1" w:rsidRPr="002B3F36" w:rsidRDefault="00C52BF1" w:rsidP="00C52BF1">
      <w:pPr>
        <w:jc w:val="both"/>
        <w:rPr>
          <w:rFonts w:ascii="Arial" w:eastAsia="Calibri" w:hAnsi="Arial" w:cs="Arial"/>
          <w:bCs/>
          <w:iCs/>
          <w:kern w:val="2"/>
          <w:sz w:val="24"/>
          <w:szCs w:val="24"/>
          <w14:ligatures w14:val="standardContextual"/>
        </w:rPr>
      </w:pPr>
      <w:r w:rsidRPr="00A846C7">
        <w:rPr>
          <w:rFonts w:ascii="Arial" w:eastAsia="Calibri" w:hAnsi="Arial" w:cs="Arial"/>
          <w:bCs/>
          <w:iCs/>
          <w:kern w:val="2"/>
          <w:sz w:val="24"/>
          <w:szCs w:val="24"/>
          <w:lang w:val="en"/>
          <w14:ligatures w14:val="standardContextual"/>
        </w:rPr>
        <w:t xml:space="preserve">Siding </w:t>
      </w:r>
      <w:r w:rsidRPr="00A846C7">
        <w:rPr>
          <w:rFonts w:ascii="Arial" w:eastAsia="Calibri" w:hAnsi="Arial" w:cs="Arial"/>
          <w:bCs/>
          <w:iCs/>
          <w:kern w:val="2"/>
          <w:sz w:val="24"/>
          <w:szCs w:val="24"/>
          <w14:ligatures w14:val="standardContextual"/>
        </w:rPr>
        <w:t>3</w:t>
      </w:r>
      <w:r w:rsidRPr="00A846C7">
        <w:rPr>
          <w:rFonts w:ascii="Arial" w:eastAsia="Calibri" w:hAnsi="Arial" w:cs="Arial"/>
          <w:bCs/>
          <w:iCs/>
          <w:kern w:val="2"/>
          <w:sz w:val="24"/>
          <w:szCs w:val="24"/>
          <w:lang w:val="en"/>
          <w14:ligatures w14:val="standardContextual"/>
        </w:rPr>
        <w:t xml:space="preserve"> is planned to open with two receiving and departure tracks with a useful length of 1,050 meters and a prospective track of 1,050 meters. Siding</w:t>
      </w:r>
      <w:r w:rsidRPr="00A846C7">
        <w:rPr>
          <w:rFonts w:ascii="Arial" w:eastAsia="Calibri" w:hAnsi="Arial" w:cs="Arial"/>
          <w:bCs/>
          <w:iCs/>
          <w:kern w:val="2"/>
          <w:sz w:val="24"/>
          <w:szCs w:val="24"/>
          <w14:ligatures w14:val="standardContextual"/>
        </w:rPr>
        <w:t xml:space="preserve"> 4 (</w:t>
      </w:r>
      <w:r w:rsidRPr="00A846C7">
        <w:rPr>
          <w:rFonts w:ascii="Arial" w:eastAsia="Calibri" w:hAnsi="Arial" w:cs="Arial"/>
          <w:bCs/>
          <w:iCs/>
          <w:kern w:val="2"/>
          <w:sz w:val="24"/>
          <w:szCs w:val="24"/>
          <w:lang w:val="en"/>
          <w14:ligatures w14:val="standardContextual"/>
        </w:rPr>
        <w:t>Intermediate</w:t>
      </w:r>
      <w:r w:rsidRPr="00A846C7">
        <w:rPr>
          <w:rFonts w:ascii="Arial" w:eastAsia="Calibri" w:hAnsi="Arial" w:cs="Arial"/>
          <w:bCs/>
          <w:iCs/>
          <w:kern w:val="2"/>
          <w:sz w:val="24"/>
          <w:szCs w:val="24"/>
          <w14:ligatures w14:val="standardContextual"/>
        </w:rPr>
        <w:t>)</w:t>
      </w:r>
    </w:p>
    <w:p w14:paraId="66151681" w14:textId="77777777" w:rsidR="00C52BF1" w:rsidRPr="002B3F36" w:rsidRDefault="00C52BF1" w:rsidP="00C52BF1">
      <w:pPr>
        <w:pStyle w:val="ReportParagraph"/>
      </w:pPr>
    </w:p>
    <w:p w14:paraId="520D3ADD"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The opening of Passage 4 is planned with three receiving and departure tracks with a useful length of 1,050 meters, and a 100-meter siding.</w:t>
      </w:r>
    </w:p>
    <w:p w14:paraId="60980E9E" w14:textId="77777777" w:rsidR="00C52BF1" w:rsidRPr="00A846C7" w:rsidRDefault="00C52BF1" w:rsidP="00C52BF1">
      <w:pPr>
        <w:jc w:val="both"/>
        <w:rPr>
          <w:rFonts w:ascii="Arial" w:eastAsia="Calibri" w:hAnsi="Arial" w:cs="Arial"/>
          <w:kern w:val="2"/>
          <w:sz w:val="24"/>
          <w:szCs w:val="24"/>
          <w14:ligatures w14:val="standardContextual"/>
        </w:rPr>
      </w:pPr>
    </w:p>
    <w:p w14:paraId="4475B78A"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Passage 5</w:t>
      </w:r>
    </w:p>
    <w:p w14:paraId="730EF170"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Passage 5 is planned with two receiving and departure tracks with a useful length of 1,050 meters, and a prospective track of 1,050 meters.</w:t>
      </w:r>
    </w:p>
    <w:p w14:paraId="1F513A65" w14:textId="77777777" w:rsidR="00C52BF1" w:rsidRPr="00A846C7" w:rsidRDefault="00C52BF1" w:rsidP="00C52BF1">
      <w:pPr>
        <w:jc w:val="both"/>
        <w:rPr>
          <w:rFonts w:ascii="Arial" w:eastAsia="Calibri" w:hAnsi="Arial" w:cs="Arial"/>
          <w:kern w:val="2"/>
          <w:sz w:val="24"/>
          <w:szCs w:val="24"/>
          <w14:ligatures w14:val="standardContextual"/>
        </w:rPr>
      </w:pPr>
    </w:p>
    <w:p w14:paraId="0A39ECF7"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Passage 6</w:t>
      </w:r>
    </w:p>
    <w:p w14:paraId="6B448304"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Passage 6 is planned with two receiving and departure tracks with a useful length of 1,050 meters, and a prospective track of 1,050 meters.</w:t>
      </w:r>
    </w:p>
    <w:p w14:paraId="3E630EA3" w14:textId="77777777" w:rsidR="00C52BF1" w:rsidRPr="00A846C7" w:rsidRDefault="00C52BF1" w:rsidP="00C52BF1">
      <w:pPr>
        <w:jc w:val="both"/>
        <w:rPr>
          <w:rFonts w:ascii="Arial" w:eastAsia="Calibri" w:hAnsi="Arial" w:cs="Arial"/>
          <w:kern w:val="2"/>
          <w:sz w:val="24"/>
          <w:szCs w:val="24"/>
          <w14:ligatures w14:val="standardContextual"/>
        </w:rPr>
      </w:pPr>
    </w:p>
    <w:p w14:paraId="7935697D" w14:textId="77777777" w:rsidR="00C52BF1" w:rsidRPr="00A846C7" w:rsidRDefault="00C52BF1" w:rsidP="00C52BF1">
      <w:pPr>
        <w:jc w:val="both"/>
        <w:rPr>
          <w:rFonts w:ascii="Arial" w:eastAsia="Calibri" w:hAnsi="Arial" w:cs="Arial"/>
          <w:b/>
          <w:bCs/>
          <w:kern w:val="2"/>
          <w:sz w:val="24"/>
          <w:szCs w:val="24"/>
          <w14:ligatures w14:val="standardContextual"/>
        </w:rPr>
      </w:pPr>
      <w:r w:rsidRPr="00A846C7">
        <w:rPr>
          <w:rFonts w:ascii="Arial" w:eastAsia="Calibri" w:hAnsi="Arial" w:cs="Arial"/>
          <w:b/>
          <w:bCs/>
          <w:kern w:val="2"/>
          <w:sz w:val="24"/>
          <w:szCs w:val="24"/>
          <w14:ligatures w14:val="standardContextual"/>
        </w:rPr>
        <w:t xml:space="preserve">Karazhal Station. </w:t>
      </w:r>
    </w:p>
    <w:p w14:paraId="111CDE4B" w14:textId="77777777" w:rsidR="00C52BF1" w:rsidRPr="00A846C7" w:rsidRDefault="00C52BF1" w:rsidP="00C52BF1">
      <w:pPr>
        <w:jc w:val="both"/>
        <w:rPr>
          <w:rFonts w:ascii="Arial" w:eastAsia="Calibri" w:hAnsi="Arial" w:cs="Arial"/>
          <w:b/>
          <w:bCs/>
          <w:kern w:val="2"/>
          <w:sz w:val="24"/>
          <w:szCs w:val="24"/>
          <w14:ligatures w14:val="standardContextual"/>
        </w:rPr>
      </w:pPr>
    </w:p>
    <w:p w14:paraId="1B889CB8" w14:textId="02FB4F5F"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 xml:space="preserve">Karazhal railway station is located in Kazakhstan, on the </w:t>
      </w:r>
      <w:r w:rsidR="003A184C">
        <w:rPr>
          <w:rFonts w:ascii="Arial" w:eastAsia="Calibri" w:hAnsi="Arial" w:cs="Arial"/>
          <w:kern w:val="2"/>
          <w:sz w:val="24"/>
          <w:szCs w:val="24"/>
          <w14:ligatures w14:val="standardContextual"/>
        </w:rPr>
        <w:t>Karagandy</w:t>
      </w:r>
      <w:r w:rsidRPr="00A846C7">
        <w:rPr>
          <w:rFonts w:ascii="Arial" w:eastAsia="Calibri" w:hAnsi="Arial" w:cs="Arial"/>
          <w:kern w:val="2"/>
          <w:sz w:val="24"/>
          <w:szCs w:val="24"/>
          <w14:ligatures w14:val="standardContextual"/>
        </w:rPr>
        <w:t xml:space="preserve"> branch of Kazakhstan Railways.</w:t>
      </w:r>
    </w:p>
    <w:p w14:paraId="62F0FE88"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lastRenderedPageBreak/>
        <w:t>Coordinates: 48.036372 N, 70.856516 E. d..</w:t>
      </w:r>
    </w:p>
    <w:p w14:paraId="52619061"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Station Code: 676401.</w:t>
      </w:r>
    </w:p>
    <w:p w14:paraId="03ECC570"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Station Type: Internal Station</w:t>
      </w:r>
    </w:p>
    <w:p w14:paraId="2D5F1841"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Station Type: Internal Station</w:t>
      </w:r>
    </w:p>
    <w:p w14:paraId="343242CA" w14:textId="77777777" w:rsidR="00C52BF1" w:rsidRPr="00A846C7" w:rsidRDefault="00C52BF1" w:rsidP="00C52BF1">
      <w:pPr>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Station Operations:</w:t>
      </w:r>
    </w:p>
    <w:p w14:paraId="07391CAC" w14:textId="77777777" w:rsidR="00C52BF1" w:rsidRPr="00A846C7" w:rsidRDefault="00C52BF1" w:rsidP="00F82096">
      <w:pPr>
        <w:ind w:left="1080" w:hanging="360"/>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(1) Receipt and release of carloads of freight permitted for storage in open station areas</w:t>
      </w:r>
    </w:p>
    <w:p w14:paraId="350DAB6E" w14:textId="77777777" w:rsidR="00C52BF1" w:rsidRPr="00A846C7" w:rsidRDefault="00C52BF1" w:rsidP="00F82096">
      <w:pPr>
        <w:ind w:left="1080" w:hanging="360"/>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(2) Receipt and release of carloads and small freight loaded in whole cars only on sidings and non-public areas</w:t>
      </w:r>
    </w:p>
    <w:p w14:paraId="68767699" w14:textId="77777777" w:rsidR="00C52BF1" w:rsidRPr="00A846C7" w:rsidRDefault="00C52BF1" w:rsidP="00F82096">
      <w:pPr>
        <w:ind w:left="1080" w:hanging="360"/>
        <w:jc w:val="both"/>
        <w:rPr>
          <w:rFonts w:ascii="Arial" w:eastAsia="Calibri" w:hAnsi="Arial" w:cs="Arial"/>
          <w:kern w:val="2"/>
          <w:sz w:val="24"/>
          <w:szCs w:val="24"/>
          <w14:ligatures w14:val="standardContextual"/>
        </w:rPr>
      </w:pPr>
      <w:r w:rsidRPr="00A846C7">
        <w:rPr>
          <w:rFonts w:ascii="Arial" w:eastAsia="Calibri" w:hAnsi="Arial" w:cs="Arial"/>
          <w:kern w:val="2"/>
          <w:sz w:val="24"/>
          <w:szCs w:val="24"/>
          <w14:ligatures w14:val="standardContextual"/>
        </w:rPr>
        <w:t>(3) Ticket sales for all passenger trains, baggage acceptance and release.</w:t>
      </w:r>
    </w:p>
    <w:p w14:paraId="23B0AB0B" w14:textId="77777777" w:rsidR="00C52BF1" w:rsidRPr="00A846C7" w:rsidRDefault="00C52BF1" w:rsidP="00C52BF1">
      <w:pPr>
        <w:jc w:val="both"/>
        <w:rPr>
          <w:rFonts w:ascii="Arial" w:eastAsia="Calibri" w:hAnsi="Arial" w:cs="Arial"/>
          <w:kern w:val="2"/>
          <w:sz w:val="24"/>
          <w:szCs w:val="24"/>
          <w14:ligatures w14:val="standardContextual"/>
        </w:rPr>
      </w:pPr>
    </w:p>
    <w:p w14:paraId="4B9E8835" w14:textId="77777777" w:rsidR="00C52BF1" w:rsidRPr="00A846C7" w:rsidRDefault="00C52BF1" w:rsidP="00C52BF1">
      <w:pPr>
        <w:jc w:val="both"/>
        <w:rPr>
          <w:rFonts w:ascii="Arial" w:eastAsia="Calibri" w:hAnsi="Arial" w:cs="Arial"/>
          <w:b/>
          <w:bCs/>
          <w:kern w:val="2"/>
          <w:sz w:val="24"/>
          <w:szCs w:val="24"/>
          <w14:ligatures w14:val="standardContextual"/>
        </w:rPr>
      </w:pPr>
      <w:r w:rsidRPr="00A846C7">
        <w:rPr>
          <w:rFonts w:ascii="Arial" w:eastAsia="Calibri" w:hAnsi="Arial" w:cs="Arial"/>
          <w:b/>
          <w:bCs/>
          <w:kern w:val="2"/>
          <w:sz w:val="24"/>
          <w:szCs w:val="24"/>
          <w14:ligatures w14:val="standardContextual"/>
        </w:rPr>
        <w:t>Karazhal-2 Station</w:t>
      </w:r>
    </w:p>
    <w:p w14:paraId="1BDC3079" w14:textId="77777777" w:rsidR="00C52BF1" w:rsidRPr="00A846C7" w:rsidRDefault="00C52BF1" w:rsidP="00C52BF1">
      <w:pPr>
        <w:jc w:val="both"/>
        <w:rPr>
          <w:rFonts w:ascii="Arial" w:eastAsia="Calibri" w:hAnsi="Arial" w:cs="Arial"/>
          <w:b/>
          <w:bCs/>
          <w:kern w:val="2"/>
          <w:sz w:val="24"/>
          <w:szCs w:val="24"/>
          <w14:ligatures w14:val="standardContextual"/>
        </w:rPr>
      </w:pPr>
    </w:p>
    <w:p w14:paraId="693C55EA" w14:textId="313AC336" w:rsidR="00C52BF1" w:rsidRPr="002B3F36" w:rsidRDefault="00C52BF1" w:rsidP="00F82096">
      <w:pPr>
        <w:pStyle w:val="ReportBodyPar"/>
      </w:pPr>
      <w:r w:rsidRPr="002B3F36">
        <w:rPr>
          <w:noProof/>
          <w:sz w:val="20"/>
          <w:szCs w:val="20"/>
          <w:lang w:val="ru-RU" w:eastAsia="ru-RU"/>
        </w:rPr>
        <w:drawing>
          <wp:anchor distT="0" distB="0" distL="114300" distR="114300" simplePos="0" relativeHeight="251658244" behindDoc="0" locked="0" layoutInCell="1" allowOverlap="1" wp14:anchorId="219580F1" wp14:editId="5A7964FA">
            <wp:simplePos x="0" y="0"/>
            <wp:positionH relativeFrom="margin">
              <wp:align>left</wp:align>
            </wp:positionH>
            <wp:positionV relativeFrom="paragraph">
              <wp:posOffset>637540</wp:posOffset>
            </wp:positionV>
            <wp:extent cx="6495415" cy="2924810"/>
            <wp:effectExtent l="0" t="0" r="635" b="889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rotWithShape="1">
                    <a:blip r:embed="rId31">
                      <a:extLst>
                        <a:ext uri="{28A0092B-C50C-407E-A947-70E740481C1C}">
                          <a14:useLocalDpi xmlns:a14="http://schemas.microsoft.com/office/drawing/2010/main" val="0"/>
                        </a:ext>
                      </a:extLst>
                    </a:blip>
                    <a:srcRect b="7284"/>
                    <a:stretch/>
                  </pic:blipFill>
                  <pic:spPr bwMode="auto">
                    <a:xfrm>
                      <a:off x="0" y="0"/>
                      <a:ext cx="6495415" cy="2924908"/>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A846C7">
        <w:t>Karazhal-2 Station is planned to open with four receiving and departure tracks with a useful length of 1,050 meters, two additional tracks of 1,050 meters each; a 550-meter extension track; and a 100-meter dead-end track for special equipment</w:t>
      </w:r>
    </w:p>
    <w:p w14:paraId="4AB8E88B" w14:textId="05196898" w:rsidR="00C52BF1" w:rsidRPr="002B3F36" w:rsidRDefault="00C52BF1" w:rsidP="00C52BF1">
      <w:pPr>
        <w:jc w:val="both"/>
        <w:rPr>
          <w:rFonts w:ascii="Arial" w:eastAsia="Calibri" w:hAnsi="Arial" w:cs="Arial"/>
          <w:kern w:val="2"/>
          <w:sz w:val="24"/>
          <w:szCs w:val="24"/>
          <w14:ligatures w14:val="standardContextual"/>
        </w:rPr>
      </w:pPr>
    </w:p>
    <w:p w14:paraId="32BE03F9" w14:textId="3212F98C" w:rsidR="00C52BF1" w:rsidRPr="002B3F36" w:rsidRDefault="00C52BF1" w:rsidP="00C52BF1">
      <w:pPr>
        <w:jc w:val="both"/>
        <w:rPr>
          <w:rFonts w:ascii="Arial" w:eastAsia="Calibri" w:hAnsi="Arial" w:cs="Arial"/>
          <w:kern w:val="2"/>
          <w:sz w:val="20"/>
          <w:szCs w:val="20"/>
          <w14:ligatures w14:val="standardContextual"/>
        </w:rPr>
      </w:pPr>
    </w:p>
    <w:p w14:paraId="3EAB3B61" w14:textId="3027DE43" w:rsidR="00C52BF1" w:rsidRPr="002B3F36" w:rsidRDefault="00C52BF1" w:rsidP="00C52BF1">
      <w:pPr>
        <w:jc w:val="both"/>
        <w:rPr>
          <w:rFonts w:ascii="Arial" w:eastAsia="Calibri" w:hAnsi="Arial" w:cs="Arial"/>
          <w:kern w:val="2"/>
          <w:sz w:val="20"/>
          <w:szCs w:val="20"/>
          <w14:ligatures w14:val="standardContextual"/>
        </w:rPr>
      </w:pPr>
    </w:p>
    <w:p w14:paraId="4A11BC7F" w14:textId="093FBE56" w:rsidR="00C52BF1" w:rsidRPr="002B3F36" w:rsidRDefault="00C52BF1" w:rsidP="00C52BF1">
      <w:pPr>
        <w:jc w:val="both"/>
        <w:rPr>
          <w:rFonts w:ascii="Arial" w:eastAsia="Calibri" w:hAnsi="Arial" w:cs="Arial"/>
          <w:kern w:val="2"/>
          <w:sz w:val="20"/>
          <w:szCs w:val="20"/>
          <w:lang w:val="ru-RU"/>
          <w14:ligatures w14:val="standardContextual"/>
        </w:rPr>
      </w:pPr>
      <w:r w:rsidRPr="002B3F36">
        <w:rPr>
          <w:rFonts w:ascii="Arial" w:eastAsia="Calibri" w:hAnsi="Arial" w:cs="Arial"/>
          <w:noProof/>
          <w:kern w:val="2"/>
          <w:sz w:val="20"/>
          <w:szCs w:val="20"/>
          <w:lang w:val="ru-RU" w:eastAsia="ru-RU"/>
        </w:rPr>
        <w:lastRenderedPageBreak/>
        <w:drawing>
          <wp:inline distT="0" distB="0" distL="0" distR="0" wp14:anchorId="7F805452" wp14:editId="23ED44E3">
            <wp:extent cx="6202680" cy="38134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25124" cy="3827211"/>
                    </a:xfrm>
                    <a:prstGeom prst="rect">
                      <a:avLst/>
                    </a:prstGeom>
                    <a:noFill/>
                    <a:ln>
                      <a:noFill/>
                    </a:ln>
                  </pic:spPr>
                </pic:pic>
              </a:graphicData>
            </a:graphic>
          </wp:inline>
        </w:drawing>
      </w:r>
    </w:p>
    <w:p w14:paraId="67C00438" w14:textId="7E209845" w:rsidR="00424D73" w:rsidRPr="002B3F36" w:rsidRDefault="00424D73" w:rsidP="00E02069">
      <w:pPr>
        <w:pStyle w:val="FigureCaption"/>
        <w:rPr>
          <w:rFonts w:cs="Arial"/>
        </w:rPr>
      </w:pPr>
      <w:bookmarkStart w:id="517" w:name="_Toc210589595"/>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6</w:t>
      </w:r>
      <w:r w:rsidRPr="002B3F36">
        <w:rPr>
          <w:rFonts w:cs="Arial"/>
        </w:rPr>
        <w:fldChar w:fldCharType="end"/>
      </w:r>
      <w:r w:rsidRPr="002B3F36">
        <w:rPr>
          <w:rFonts w:cs="Arial"/>
        </w:rPr>
        <w:t>: Development Data for Karazhal Station</w:t>
      </w:r>
      <w:bookmarkEnd w:id="517"/>
    </w:p>
    <w:p w14:paraId="1547BB99" w14:textId="77777777" w:rsidR="00C52BF1" w:rsidRPr="00A846C7" w:rsidRDefault="00C52BF1" w:rsidP="00F82096">
      <w:pPr>
        <w:pStyle w:val="ReportBodyPar"/>
      </w:pPr>
    </w:p>
    <w:p w14:paraId="7BF492C0" w14:textId="77777777" w:rsidR="00C52BF1" w:rsidRPr="00A846C7" w:rsidRDefault="00C52BF1" w:rsidP="00C52BF1">
      <w:pPr>
        <w:rPr>
          <w:rFonts w:ascii="Arial" w:eastAsia="Times New Roman" w:hAnsi="Arial" w:cs="Arial"/>
          <w:color w:val="222222"/>
          <w:sz w:val="24"/>
          <w:szCs w:val="24"/>
          <w:lang w:val="en" w:eastAsia="en-PH"/>
        </w:rPr>
      </w:pPr>
      <w:r w:rsidRPr="00A846C7">
        <w:rPr>
          <w:rFonts w:ascii="Arial" w:eastAsia="Times New Roman" w:hAnsi="Arial" w:cs="Arial"/>
          <w:color w:val="222222"/>
          <w:sz w:val="24"/>
          <w:szCs w:val="24"/>
          <w:lang w:val="en" w:eastAsia="en-PH"/>
        </w:rPr>
        <w:t xml:space="preserve">Passing Line 7 </w:t>
      </w:r>
    </w:p>
    <w:p w14:paraId="70AEDC76" w14:textId="77777777" w:rsidR="00C52BF1" w:rsidRPr="00A846C7" w:rsidRDefault="00C52BF1" w:rsidP="00F82096">
      <w:pPr>
        <w:pStyle w:val="ReportBodyPar"/>
        <w:rPr>
          <w:lang w:val="en"/>
        </w:rPr>
      </w:pPr>
      <w:r w:rsidRPr="00A846C7">
        <w:rPr>
          <w:lang w:val="en"/>
        </w:rPr>
        <w:t xml:space="preserve">Planned opening of Passing Line 7 with two receiving and departure tracks with a useful length of 1,050 meters, and a prospective track of 1,050 meters. </w:t>
      </w:r>
    </w:p>
    <w:p w14:paraId="7F4C9FDD" w14:textId="77777777" w:rsidR="00C52BF1" w:rsidRPr="00A846C7" w:rsidRDefault="00C52BF1" w:rsidP="00F82096">
      <w:pPr>
        <w:pStyle w:val="ReportBodyPar"/>
        <w:rPr>
          <w:lang w:val="en"/>
        </w:rPr>
      </w:pPr>
    </w:p>
    <w:p w14:paraId="399DCB02" w14:textId="77777777" w:rsidR="00C52BF1" w:rsidRPr="00A846C7" w:rsidRDefault="00C52BF1" w:rsidP="00F82096">
      <w:pPr>
        <w:pStyle w:val="ReportBodyPar"/>
        <w:rPr>
          <w:lang w:val="en"/>
        </w:rPr>
      </w:pPr>
      <w:r w:rsidRPr="00A846C7">
        <w:rPr>
          <w:lang w:val="en"/>
        </w:rPr>
        <w:t xml:space="preserve">Planned opening of Passing Line 8 with two receiving and departure tracks with a useful length of 1,050 meters, and a prospective track of 1,050 meters. </w:t>
      </w:r>
    </w:p>
    <w:p w14:paraId="7581F0F4" w14:textId="77777777" w:rsidR="00C52BF1" w:rsidRPr="00A846C7" w:rsidRDefault="00C52BF1" w:rsidP="00F82096">
      <w:pPr>
        <w:pStyle w:val="ReportBodyPar"/>
        <w:rPr>
          <w:lang w:val="en"/>
        </w:rPr>
      </w:pPr>
    </w:p>
    <w:p w14:paraId="1505A9B1" w14:textId="77777777" w:rsidR="00C52BF1" w:rsidRPr="00A846C7" w:rsidRDefault="00C52BF1" w:rsidP="00F82096">
      <w:pPr>
        <w:pStyle w:val="ReportBodyPar"/>
        <w:rPr>
          <w:lang w:val="en"/>
        </w:rPr>
      </w:pPr>
      <w:r w:rsidRPr="00A846C7">
        <w:rPr>
          <w:lang w:val="en"/>
        </w:rPr>
        <w:t xml:space="preserve">Planned opening of Passing Line 9 with two receiving and departure tracks with a useful length of 1,050 meters, and a prospective track of 1,050 meters. </w:t>
      </w:r>
    </w:p>
    <w:p w14:paraId="154BB841" w14:textId="77777777" w:rsidR="00C52BF1" w:rsidRPr="00A846C7" w:rsidRDefault="00C52BF1" w:rsidP="00C52BF1">
      <w:pPr>
        <w:rPr>
          <w:rFonts w:ascii="Arial" w:eastAsia="Times New Roman" w:hAnsi="Arial" w:cs="Arial"/>
          <w:color w:val="222222"/>
          <w:sz w:val="24"/>
          <w:szCs w:val="24"/>
          <w:lang w:val="en" w:eastAsia="en-PH"/>
        </w:rPr>
      </w:pPr>
    </w:p>
    <w:p w14:paraId="14E85DFF" w14:textId="77777777" w:rsidR="00C52BF1" w:rsidRPr="00A846C7" w:rsidRDefault="00C52BF1" w:rsidP="044F26F8">
      <w:pPr>
        <w:rPr>
          <w:rFonts w:ascii="Arial" w:eastAsia="Times New Roman" w:hAnsi="Arial" w:cs="Arial"/>
          <w:b/>
          <w:bCs/>
          <w:i/>
          <w:iCs/>
          <w:color w:val="222222"/>
          <w:sz w:val="24"/>
          <w:szCs w:val="24"/>
          <w:lang w:val="en" w:eastAsia="en-PH"/>
        </w:rPr>
      </w:pPr>
      <w:r w:rsidRPr="00A846C7">
        <w:rPr>
          <w:rFonts w:ascii="Arial" w:eastAsia="Times New Roman" w:hAnsi="Arial" w:cs="Arial"/>
          <w:b/>
          <w:bCs/>
          <w:i/>
          <w:iCs/>
          <w:color w:val="222222"/>
          <w:sz w:val="24"/>
          <w:szCs w:val="24"/>
          <w:lang w:val="en" w:eastAsia="en-PH"/>
        </w:rPr>
        <w:t xml:space="preserve">Aktau Station </w:t>
      </w:r>
    </w:p>
    <w:p w14:paraId="4ABDEE6C" w14:textId="77777777" w:rsidR="00C52BF1" w:rsidRPr="00A846C7" w:rsidRDefault="00C52BF1" w:rsidP="00F82096">
      <w:pPr>
        <w:pStyle w:val="ReportBodyPar"/>
        <w:rPr>
          <w:lang w:val="en"/>
        </w:rPr>
      </w:pPr>
      <w:r w:rsidRPr="00A846C7">
        <w:rPr>
          <w:lang w:val="en"/>
        </w:rPr>
        <w:t>Planned opening of Aktau Station with seven receiving and departure tracks with a useful length of 1,050 meters, and two prospective tracks of 1,050 meters each. The extension track is 1050 meters, the railway track for the fire train is 250 meters, the access track for the fire engine is 300 meters, the access track for the electric fire engine is 150 meters, the railway dead-end is 100 meters.</w:t>
      </w:r>
    </w:p>
    <w:p w14:paraId="6812526D" w14:textId="77777777" w:rsidR="00C52BF1" w:rsidRPr="00A846C7" w:rsidRDefault="00C52BF1" w:rsidP="00C52BF1">
      <w:pPr>
        <w:rPr>
          <w:rFonts w:ascii="Arial" w:eastAsia="Times New Roman" w:hAnsi="Arial" w:cs="Arial"/>
          <w:color w:val="222222"/>
          <w:sz w:val="24"/>
          <w:szCs w:val="24"/>
          <w:lang w:val="en" w:eastAsia="en-PH"/>
        </w:rPr>
      </w:pPr>
    </w:p>
    <w:p w14:paraId="21F109A0" w14:textId="2EFC94AE" w:rsidR="00C52BF1" w:rsidRPr="00A846C7" w:rsidRDefault="00C52BF1" w:rsidP="00C52BF1">
      <w:pPr>
        <w:rPr>
          <w:rFonts w:ascii="Arial" w:eastAsia="Times New Roman" w:hAnsi="Arial" w:cs="Arial"/>
          <w:color w:val="222222"/>
          <w:sz w:val="20"/>
          <w:szCs w:val="20"/>
          <w:lang w:val="en" w:eastAsia="en-PH"/>
        </w:rPr>
      </w:pPr>
      <w:r w:rsidRPr="002B3F36">
        <w:rPr>
          <w:rFonts w:ascii="Arial" w:eastAsia="Calibri" w:hAnsi="Arial" w:cs="Arial"/>
          <w:noProof/>
          <w:sz w:val="20"/>
          <w:szCs w:val="20"/>
          <w:lang w:val="ru-RU" w:eastAsia="ru-RU"/>
        </w:rPr>
        <w:lastRenderedPageBreak/>
        <w:drawing>
          <wp:inline distT="0" distB="0" distL="0" distR="0" wp14:anchorId="792FC585" wp14:editId="33F1B7D0">
            <wp:extent cx="6278880" cy="3390595"/>
            <wp:effectExtent l="0" t="0" r="7620" b="635"/>
            <wp:docPr id="8" name="Picture 8" descr="Дорога Акта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Дорога Актау"/>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5275" cy="3404848"/>
                    </a:xfrm>
                    <a:prstGeom prst="rect">
                      <a:avLst/>
                    </a:prstGeom>
                    <a:noFill/>
                    <a:ln>
                      <a:noFill/>
                    </a:ln>
                  </pic:spPr>
                </pic:pic>
              </a:graphicData>
            </a:graphic>
          </wp:inline>
        </w:drawing>
      </w:r>
    </w:p>
    <w:p w14:paraId="7420EE28" w14:textId="7BF2EFF0" w:rsidR="00424D73" w:rsidRPr="002B3F36" w:rsidRDefault="00424D73" w:rsidP="00424D73">
      <w:pPr>
        <w:pStyle w:val="FigureCaption"/>
        <w:rPr>
          <w:rFonts w:cs="Arial"/>
        </w:rPr>
      </w:pPr>
      <w:bookmarkStart w:id="518" w:name="_Toc210589596"/>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7</w:t>
      </w:r>
      <w:r w:rsidRPr="002B3F36">
        <w:rPr>
          <w:rFonts w:cs="Arial"/>
        </w:rPr>
        <w:fldChar w:fldCharType="end"/>
      </w:r>
      <w:r w:rsidRPr="002B3F36">
        <w:rPr>
          <w:rFonts w:cs="Arial"/>
        </w:rPr>
        <w:t>: Development Data for Aktau Station</w:t>
      </w:r>
      <w:bookmarkEnd w:id="518"/>
    </w:p>
    <w:p w14:paraId="370AF36D" w14:textId="77777777" w:rsidR="00C52BF1" w:rsidRPr="00A846C7" w:rsidRDefault="00C52BF1" w:rsidP="00C52BF1">
      <w:pPr>
        <w:rPr>
          <w:rFonts w:ascii="Arial" w:eastAsia="Times New Roman" w:hAnsi="Arial" w:cs="Arial"/>
          <w:color w:val="222222"/>
          <w:sz w:val="20"/>
          <w:szCs w:val="20"/>
          <w:lang w:val="en" w:eastAsia="en-PH"/>
        </w:rPr>
      </w:pPr>
    </w:p>
    <w:p w14:paraId="3A296E32" w14:textId="77777777" w:rsidR="00C52BF1" w:rsidRPr="00A846C7" w:rsidRDefault="00C52BF1" w:rsidP="00C52BF1">
      <w:pPr>
        <w:rPr>
          <w:rFonts w:ascii="Arial" w:eastAsia="Times New Roman" w:hAnsi="Arial" w:cs="Arial"/>
          <w:color w:val="222222"/>
          <w:sz w:val="20"/>
          <w:szCs w:val="20"/>
          <w:lang w:eastAsia="en-PH"/>
        </w:rPr>
      </w:pPr>
    </w:p>
    <w:p w14:paraId="380E1E6B" w14:textId="30CFDB71" w:rsidR="00C52BF1" w:rsidRPr="00A846C7" w:rsidRDefault="00C52BF1" w:rsidP="00C52BF1">
      <w:pPr>
        <w:jc w:val="both"/>
        <w:rPr>
          <w:rFonts w:ascii="Arial" w:eastAsia="Calibri" w:hAnsi="Arial" w:cs="Arial"/>
          <w:i/>
          <w:kern w:val="2"/>
          <w:sz w:val="24"/>
          <w:szCs w:val="24"/>
          <w:lang w:val="en"/>
          <w14:ligatures w14:val="standardContextual"/>
        </w:rPr>
      </w:pPr>
    </w:p>
    <w:p w14:paraId="0F9BBDB9" w14:textId="312259D7" w:rsidR="00C52BF1" w:rsidRPr="00A846C7" w:rsidRDefault="00C52BF1" w:rsidP="00C52BF1">
      <w:pPr>
        <w:rPr>
          <w:rFonts w:ascii="Arial" w:eastAsia="Calibri" w:hAnsi="Arial" w:cs="Arial"/>
          <w:b/>
          <w:i/>
          <w:kern w:val="2"/>
          <w:sz w:val="24"/>
          <w:szCs w:val="24"/>
          <w:lang w:val="en"/>
          <w14:ligatures w14:val="standardContextual"/>
        </w:rPr>
      </w:pPr>
      <w:r w:rsidRPr="00A846C7">
        <w:rPr>
          <w:rFonts w:ascii="Arial" w:eastAsia="Calibri" w:hAnsi="Arial" w:cs="Arial"/>
          <w:b/>
          <w:i/>
          <w:kern w:val="2"/>
          <w:sz w:val="24"/>
          <w:szCs w:val="24"/>
          <w:lang w:val="en"/>
          <w14:ligatures w14:val="standardContextual"/>
        </w:rPr>
        <w:t xml:space="preserve">Mointy Station </w:t>
      </w:r>
    </w:p>
    <w:p w14:paraId="64CA2005" w14:textId="62092126" w:rsidR="00C52BF1" w:rsidRPr="00A846C7" w:rsidRDefault="00C52BF1" w:rsidP="00F82096">
      <w:pPr>
        <w:pStyle w:val="ReportBodyPar"/>
      </w:pPr>
      <w:r w:rsidRPr="00A846C7">
        <w:t>Mointy (Kazakh: Мойинты) is a railway station in the Shetsky</w:t>
      </w:r>
      <w:r w:rsidRPr="002B3F36">
        <w:t xml:space="preserve"> </w:t>
      </w:r>
      <w:r w:rsidRPr="00A846C7">
        <w:t xml:space="preserve">District of the </w:t>
      </w:r>
      <w:r w:rsidR="003A184C">
        <w:t>Karagandy</w:t>
      </w:r>
      <w:r w:rsidRPr="00A846C7">
        <w:t xml:space="preserve"> Region of Kazakhstan. </w:t>
      </w:r>
    </w:p>
    <w:p w14:paraId="393B5A66" w14:textId="77777777" w:rsidR="00C52BF1" w:rsidRPr="00A846C7" w:rsidRDefault="00C52BF1" w:rsidP="00C52BF1">
      <w:pPr>
        <w:rPr>
          <w:rFonts w:ascii="Arial" w:eastAsia="Calibri" w:hAnsi="Arial" w:cs="Arial"/>
          <w:bCs/>
          <w:iCs/>
          <w:kern w:val="2"/>
          <w:sz w:val="24"/>
          <w:szCs w:val="24"/>
          <w:lang w:val="en"/>
          <w14:ligatures w14:val="standardContextual"/>
        </w:rPr>
      </w:pPr>
      <w:r w:rsidRPr="00A846C7">
        <w:rPr>
          <w:rFonts w:ascii="Arial" w:eastAsia="Calibri" w:hAnsi="Arial" w:cs="Arial"/>
          <w:bCs/>
          <w:iCs/>
          <w:kern w:val="2"/>
          <w:sz w:val="24"/>
          <w:szCs w:val="24"/>
          <w:lang w:val="en"/>
          <w14:ligatures w14:val="standardContextual"/>
        </w:rPr>
        <w:t xml:space="preserve">Coordinates: Latitude: 47.218649 Longitude: 73.361130 </w:t>
      </w:r>
    </w:p>
    <w:p w14:paraId="3507DB30" w14:textId="77777777" w:rsidR="00C52BF1" w:rsidRPr="00A846C7" w:rsidRDefault="00C52BF1" w:rsidP="00C52BF1">
      <w:pPr>
        <w:rPr>
          <w:rFonts w:ascii="Arial" w:eastAsia="Calibri" w:hAnsi="Arial" w:cs="Arial"/>
          <w:bCs/>
          <w:iCs/>
          <w:kern w:val="2"/>
          <w:sz w:val="24"/>
          <w:szCs w:val="24"/>
          <w:lang w:val="en"/>
          <w14:ligatures w14:val="standardContextual"/>
        </w:rPr>
      </w:pPr>
      <w:r w:rsidRPr="00A846C7">
        <w:rPr>
          <w:rFonts w:ascii="Arial" w:eastAsia="Calibri" w:hAnsi="Arial" w:cs="Arial"/>
          <w:bCs/>
          <w:iCs/>
          <w:kern w:val="2"/>
          <w:sz w:val="24"/>
          <w:szCs w:val="24"/>
          <w:lang w:val="en"/>
          <w14:ligatures w14:val="standardContextual"/>
        </w:rPr>
        <w:t xml:space="preserve">Station Code: 677309 </w:t>
      </w:r>
    </w:p>
    <w:p w14:paraId="09709C01" w14:textId="7EF1A40B" w:rsidR="00C52BF1" w:rsidRPr="00A846C7" w:rsidRDefault="00C52BF1" w:rsidP="00EB4816">
      <w:pPr>
        <w:pStyle w:val="ReportBodyPar"/>
        <w:rPr>
          <w:bCs/>
          <w:iCs/>
          <w:kern w:val="2"/>
          <w:lang w:val="en"/>
          <w14:ligatures w14:val="standardContextual"/>
        </w:rPr>
      </w:pPr>
      <w:r w:rsidRPr="00A846C7">
        <w:rPr>
          <w:bCs/>
          <w:iCs/>
          <w:kern w:val="2"/>
          <w:lang w:val="en"/>
          <w14:ligatures w14:val="standardContextual"/>
        </w:rPr>
        <w:t xml:space="preserve">The station opened in 1939 </w:t>
      </w:r>
      <w:r w:rsidRPr="00A846C7">
        <w:rPr>
          <w:rStyle w:val="ReportBodyParChar"/>
        </w:rPr>
        <w:t>under the name Mointy. It has had its current name since 2002. By 2025, the railway between</w:t>
      </w:r>
      <w:r w:rsidRPr="00A846C7">
        <w:rPr>
          <w:bCs/>
          <w:iCs/>
          <w:kern w:val="2"/>
          <w:lang w:val="en"/>
          <w14:ligatures w14:val="standardContextual"/>
        </w:rPr>
        <w:t xml:space="preserve"> </w:t>
      </w:r>
      <w:r w:rsidR="008D5118" w:rsidRPr="00A846C7">
        <w:rPr>
          <w:bCs/>
          <w:iCs/>
          <w:kern w:val="2"/>
          <w:lang w:val="en"/>
          <w14:ligatures w14:val="standardContextual"/>
        </w:rPr>
        <w:t>Mointy</w:t>
      </w:r>
      <w:r w:rsidRPr="00A846C7">
        <w:rPr>
          <w:bCs/>
          <w:iCs/>
          <w:kern w:val="2"/>
          <w:lang w:val="en"/>
          <w14:ligatures w14:val="standardContextual"/>
        </w:rPr>
        <w:t xml:space="preserve"> and Aktogay will be electrified. </w:t>
      </w:r>
    </w:p>
    <w:p w14:paraId="401D847E" w14:textId="406287AC" w:rsidR="00C52BF1" w:rsidRPr="00A846C7" w:rsidRDefault="00C52BF1" w:rsidP="00C52BF1">
      <w:pPr>
        <w:rPr>
          <w:rFonts w:ascii="Arial" w:eastAsia="Calibri" w:hAnsi="Arial" w:cs="Arial"/>
          <w:bCs/>
          <w:iCs/>
          <w:kern w:val="2"/>
          <w:sz w:val="24"/>
          <w:szCs w:val="24"/>
          <w:lang w:val="en"/>
          <w14:ligatures w14:val="standardContextual"/>
        </w:rPr>
      </w:pPr>
      <w:r w:rsidRPr="00A846C7">
        <w:rPr>
          <w:rFonts w:ascii="Arial" w:eastAsia="Calibri" w:hAnsi="Arial" w:cs="Arial"/>
          <w:bCs/>
          <w:iCs/>
          <w:kern w:val="2"/>
          <w:sz w:val="24"/>
          <w:szCs w:val="24"/>
          <w:lang w:val="en"/>
          <w14:ligatures w14:val="standardContextual"/>
        </w:rPr>
        <w:t xml:space="preserve">Station Type: Intra-station </w:t>
      </w:r>
    </w:p>
    <w:p w14:paraId="1F7BAA88" w14:textId="172F3854" w:rsidR="00424D73" w:rsidRPr="00A846C7" w:rsidRDefault="00C52BF1" w:rsidP="00424D73">
      <w:pPr>
        <w:pStyle w:val="ReportBodyPar"/>
        <w:rPr>
          <w:lang w:val="en"/>
        </w:rPr>
      </w:pPr>
      <w:r w:rsidRPr="00A846C7">
        <w:rPr>
          <w:lang w:val="en"/>
        </w:rPr>
        <w:t xml:space="preserve">Operations: </w:t>
      </w:r>
    </w:p>
    <w:p w14:paraId="3B2CBD9C" w14:textId="375B862F" w:rsidR="00424D73" w:rsidRPr="00A846C7" w:rsidRDefault="00C52BF1" w:rsidP="00F82096">
      <w:pPr>
        <w:pStyle w:val="ReportBodyPar"/>
        <w:ind w:left="1170" w:hanging="450"/>
      </w:pPr>
      <w:r w:rsidRPr="00A846C7">
        <w:t>(1) Receipt and delivery of carloads of freight permitted for storage in open station areas.</w:t>
      </w:r>
    </w:p>
    <w:p w14:paraId="5608275C" w14:textId="4588FCC4" w:rsidR="00424D73" w:rsidRPr="00A846C7" w:rsidRDefault="00424D73" w:rsidP="00F82096">
      <w:pPr>
        <w:pStyle w:val="ReportBodyPar"/>
        <w:ind w:left="1170" w:hanging="450"/>
        <w:rPr>
          <w:lang w:val="en"/>
        </w:rPr>
      </w:pPr>
      <w:r w:rsidRPr="00A846C7">
        <w:rPr>
          <w:lang w:val="en"/>
        </w:rPr>
        <w:t>(</w:t>
      </w:r>
      <w:r w:rsidR="00C52BF1" w:rsidRPr="00A846C7">
        <w:rPr>
          <w:lang w:val="en"/>
        </w:rPr>
        <w:t xml:space="preserve">2) Receipt and delivery of carloads and small freight loaded in whole cars, only on sidings and in non-public areas. </w:t>
      </w:r>
    </w:p>
    <w:p w14:paraId="47709D1B" w14:textId="0D4F6823" w:rsidR="00C52BF1" w:rsidRPr="00A846C7" w:rsidRDefault="00C52BF1" w:rsidP="00F82096">
      <w:pPr>
        <w:pStyle w:val="ReportBodyPar"/>
        <w:ind w:left="720"/>
        <w:rPr>
          <w:lang w:val="en"/>
        </w:rPr>
      </w:pPr>
      <w:r w:rsidRPr="00A846C7">
        <w:rPr>
          <w:lang w:val="en"/>
        </w:rPr>
        <w:t>(3) Ticket sales for all passenger trains, baggage</w:t>
      </w:r>
      <w:r w:rsidRPr="00A846C7">
        <w:rPr>
          <w:b/>
          <w:i/>
          <w:lang w:val="en"/>
        </w:rPr>
        <w:t xml:space="preserve"> </w:t>
      </w:r>
      <w:r w:rsidRPr="00A846C7">
        <w:rPr>
          <w:lang w:val="en"/>
        </w:rPr>
        <w:t>acceptance and delivery.</w:t>
      </w:r>
    </w:p>
    <w:p w14:paraId="3A5AB971" w14:textId="77777777" w:rsidR="00424D73" w:rsidRPr="002B3F36" w:rsidRDefault="00424D73" w:rsidP="00F82096">
      <w:pPr>
        <w:pStyle w:val="ReportBodyPar"/>
        <w:rPr>
          <w:rFonts w:eastAsia="Times New Roman"/>
          <w:color w:val="222222"/>
          <w:lang w:eastAsia="en-PH"/>
        </w:rPr>
      </w:pPr>
    </w:p>
    <w:p w14:paraId="4647EBA7" w14:textId="0B92C890" w:rsidR="00C52BF1" w:rsidRPr="002B3F36" w:rsidRDefault="00424D73" w:rsidP="00C52BF1">
      <w:pPr>
        <w:rPr>
          <w:rFonts w:ascii="Arial" w:eastAsia="Times New Roman" w:hAnsi="Arial" w:cs="Arial"/>
          <w:bCs/>
          <w:iCs/>
          <w:color w:val="222222"/>
          <w:sz w:val="24"/>
          <w:szCs w:val="24"/>
          <w:lang w:eastAsia="en-PH"/>
        </w:rPr>
      </w:pPr>
      <w:r w:rsidRPr="002B3F36">
        <w:rPr>
          <w:rFonts w:ascii="Arial" w:eastAsia="Times New Roman" w:hAnsi="Arial" w:cs="Arial"/>
          <w:noProof/>
          <w:color w:val="222222"/>
          <w:sz w:val="20"/>
          <w:szCs w:val="20"/>
          <w:lang w:val="ru-RU" w:eastAsia="ru-RU"/>
        </w:rPr>
        <w:lastRenderedPageBreak/>
        <w:drawing>
          <wp:inline distT="0" distB="0" distL="0" distR="0" wp14:anchorId="1924FA0E" wp14:editId="5E499A2A">
            <wp:extent cx="6213475" cy="33432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13475" cy="3343233"/>
                    </a:xfrm>
                    <a:prstGeom prst="rect">
                      <a:avLst/>
                    </a:prstGeom>
                    <a:noFill/>
                    <a:ln>
                      <a:noFill/>
                    </a:ln>
                  </pic:spPr>
                </pic:pic>
              </a:graphicData>
            </a:graphic>
          </wp:inline>
        </w:drawing>
      </w:r>
    </w:p>
    <w:p w14:paraId="50282D26" w14:textId="2808A977" w:rsidR="00C52BF1" w:rsidRPr="002B3F36" w:rsidRDefault="00C52BF1" w:rsidP="00C52BF1">
      <w:pPr>
        <w:rPr>
          <w:rFonts w:ascii="Arial" w:eastAsia="Times New Roman" w:hAnsi="Arial" w:cs="Arial"/>
          <w:color w:val="222222"/>
          <w:sz w:val="24"/>
          <w:szCs w:val="24"/>
          <w:lang w:eastAsia="en-PH"/>
        </w:rPr>
      </w:pPr>
    </w:p>
    <w:p w14:paraId="3058EF96" w14:textId="47375035" w:rsidR="00C52BF1" w:rsidRPr="002B3F36" w:rsidRDefault="00C52BF1" w:rsidP="00C52BF1">
      <w:pPr>
        <w:rPr>
          <w:rFonts w:ascii="Arial" w:eastAsia="Times New Roman" w:hAnsi="Arial" w:cs="Arial"/>
          <w:color w:val="222222"/>
          <w:sz w:val="20"/>
          <w:szCs w:val="20"/>
          <w:lang w:eastAsia="en-PH"/>
        </w:rPr>
      </w:pPr>
      <w:r w:rsidRPr="002B3F36">
        <w:rPr>
          <w:rFonts w:ascii="Arial" w:eastAsia="Times New Roman" w:hAnsi="Arial" w:cs="Arial"/>
          <w:noProof/>
          <w:color w:val="222222"/>
          <w:sz w:val="20"/>
          <w:szCs w:val="20"/>
          <w:lang w:val="ru-RU" w:eastAsia="ru-RU"/>
        </w:rPr>
        <w:drawing>
          <wp:inline distT="0" distB="0" distL="0" distR="0" wp14:anchorId="40E4D17A" wp14:editId="781FE467">
            <wp:extent cx="6126480" cy="32232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6480" cy="3223260"/>
                    </a:xfrm>
                    <a:prstGeom prst="rect">
                      <a:avLst/>
                    </a:prstGeom>
                    <a:noFill/>
                    <a:ln>
                      <a:noFill/>
                    </a:ln>
                  </pic:spPr>
                </pic:pic>
              </a:graphicData>
            </a:graphic>
          </wp:inline>
        </w:drawing>
      </w:r>
    </w:p>
    <w:p w14:paraId="03C03048" w14:textId="7A8A4484" w:rsidR="00C52BF1" w:rsidRPr="002B3F36" w:rsidRDefault="00C52BF1" w:rsidP="00C52BF1">
      <w:pPr>
        <w:rPr>
          <w:rFonts w:ascii="Arial" w:eastAsia="Times New Roman" w:hAnsi="Arial" w:cs="Arial"/>
          <w:color w:val="222222"/>
          <w:sz w:val="20"/>
          <w:szCs w:val="20"/>
          <w:lang w:val="ru-RU" w:eastAsia="en-PH"/>
        </w:rPr>
      </w:pPr>
    </w:p>
    <w:p w14:paraId="5291169E" w14:textId="71212B08" w:rsidR="00C52BF1" w:rsidRPr="00A846C7" w:rsidRDefault="00C52BF1" w:rsidP="00C52BF1">
      <w:pPr>
        <w:rPr>
          <w:rFonts w:ascii="Arial" w:eastAsia="Calibri" w:hAnsi="Arial" w:cs="Arial"/>
          <w:bCs/>
          <w:kern w:val="2"/>
          <w:sz w:val="24"/>
          <w:szCs w:val="24"/>
          <w:lang w:val="en"/>
          <w14:ligatures w14:val="standardContextual"/>
        </w:rPr>
      </w:pPr>
      <w:r w:rsidRPr="002B3F36">
        <w:rPr>
          <w:rFonts w:ascii="Arial" w:eastAsia="Times New Roman" w:hAnsi="Arial" w:cs="Arial"/>
          <w:noProof/>
          <w:color w:val="222222"/>
          <w:sz w:val="20"/>
          <w:szCs w:val="20"/>
          <w:lang w:val="ru-RU" w:eastAsia="ru-RU"/>
        </w:rPr>
        <w:lastRenderedPageBreak/>
        <w:drawing>
          <wp:anchor distT="0" distB="0" distL="114300" distR="114300" simplePos="0" relativeHeight="251658245" behindDoc="0" locked="0" layoutInCell="1" allowOverlap="1" wp14:anchorId="2544FE4D" wp14:editId="207CBAE2">
            <wp:simplePos x="0" y="0"/>
            <wp:positionH relativeFrom="margin">
              <wp:align>left</wp:align>
            </wp:positionH>
            <wp:positionV relativeFrom="paragraph">
              <wp:posOffset>205740</wp:posOffset>
            </wp:positionV>
            <wp:extent cx="6111240" cy="3454179"/>
            <wp:effectExtent l="0" t="0" r="381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1240" cy="34541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14B7C6" w14:textId="77777777" w:rsidR="00C52BF1" w:rsidRPr="00A846C7" w:rsidRDefault="00C52BF1" w:rsidP="00C52BF1">
      <w:pPr>
        <w:rPr>
          <w:rFonts w:ascii="Arial" w:eastAsia="Times New Roman" w:hAnsi="Arial" w:cs="Arial"/>
          <w:color w:val="222222"/>
          <w:sz w:val="20"/>
          <w:szCs w:val="20"/>
          <w:lang w:eastAsia="en-PH"/>
        </w:rPr>
      </w:pPr>
    </w:p>
    <w:p w14:paraId="5EDB0317" w14:textId="39A1591F" w:rsidR="00C52BF1" w:rsidRPr="002B3F36" w:rsidRDefault="00C52BF1" w:rsidP="00C52BF1">
      <w:pPr>
        <w:pStyle w:val="ReportParagraph"/>
      </w:pPr>
      <w:r w:rsidRPr="002B3F36">
        <w:rPr>
          <w:rFonts w:eastAsia="Calibri"/>
          <w:noProof/>
          <w:lang w:val="ru-RU"/>
        </w:rPr>
        <w:drawing>
          <wp:inline distT="0" distB="0" distL="0" distR="0" wp14:anchorId="62DCA6AA" wp14:editId="443A2439">
            <wp:extent cx="6470715" cy="2392680"/>
            <wp:effectExtent l="0" t="0" r="6350" b="7620"/>
            <wp:docPr id="3" name="Picture 3" descr="дорог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орога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87235" cy="2398789"/>
                    </a:xfrm>
                    <a:prstGeom prst="rect">
                      <a:avLst/>
                    </a:prstGeom>
                    <a:noFill/>
                    <a:ln>
                      <a:noFill/>
                    </a:ln>
                  </pic:spPr>
                </pic:pic>
              </a:graphicData>
            </a:graphic>
          </wp:inline>
        </w:drawing>
      </w:r>
    </w:p>
    <w:p w14:paraId="1312733B" w14:textId="77777777" w:rsidR="00C52BF1" w:rsidRPr="002B3F36" w:rsidRDefault="00C52BF1" w:rsidP="00C52BF1">
      <w:pPr>
        <w:pStyle w:val="ReportParagraph"/>
      </w:pPr>
    </w:p>
    <w:p w14:paraId="45DB6B29" w14:textId="34023933" w:rsidR="00C52BF1" w:rsidRPr="002B3F36" w:rsidRDefault="00C52BF1" w:rsidP="00C52BF1">
      <w:pPr>
        <w:pStyle w:val="ReportParagraph"/>
      </w:pPr>
      <w:r w:rsidRPr="002B3F36">
        <w:rPr>
          <w:rFonts w:eastAsia="Calibri"/>
          <w:noProof/>
          <w:lang w:val="ru-RU"/>
        </w:rPr>
        <w:lastRenderedPageBreak/>
        <w:drawing>
          <wp:inline distT="0" distB="0" distL="0" distR="0" wp14:anchorId="45F2A7AA" wp14:editId="544382AE">
            <wp:extent cx="6461810" cy="4030980"/>
            <wp:effectExtent l="0" t="0" r="0" b="7620"/>
            <wp:docPr id="2" name="Picture 2" descr="Доро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Дорога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67762" cy="4034693"/>
                    </a:xfrm>
                    <a:prstGeom prst="rect">
                      <a:avLst/>
                    </a:prstGeom>
                    <a:noFill/>
                    <a:ln>
                      <a:noFill/>
                    </a:ln>
                  </pic:spPr>
                </pic:pic>
              </a:graphicData>
            </a:graphic>
          </wp:inline>
        </w:drawing>
      </w:r>
    </w:p>
    <w:p w14:paraId="44D258D0" w14:textId="77777777" w:rsidR="004779F4" w:rsidRPr="00A846C7" w:rsidRDefault="004779F4" w:rsidP="00424D73">
      <w:pPr>
        <w:rPr>
          <w:rFonts w:ascii="Arial" w:eastAsia="Calibri" w:hAnsi="Arial" w:cs="Arial"/>
          <w:b/>
          <w:kern w:val="2"/>
          <w:sz w:val="24"/>
          <w:szCs w:val="24"/>
          <w:lang w:val="en"/>
          <w14:ligatures w14:val="standardContextual"/>
        </w:rPr>
      </w:pPr>
    </w:p>
    <w:p w14:paraId="0AAC125C" w14:textId="13498AAB" w:rsidR="007E1FE8" w:rsidRPr="002B3F36" w:rsidRDefault="007E1FE8" w:rsidP="007E1FE8">
      <w:pPr>
        <w:pStyle w:val="FigureCaption"/>
        <w:rPr>
          <w:rFonts w:cs="Arial"/>
        </w:rPr>
      </w:pPr>
      <w:bookmarkStart w:id="519" w:name="_Toc210589597"/>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8</w:t>
      </w:r>
      <w:r w:rsidRPr="002B3F36">
        <w:rPr>
          <w:rFonts w:cs="Arial"/>
        </w:rPr>
        <w:fldChar w:fldCharType="end"/>
      </w:r>
      <w:r w:rsidRPr="002B3F36">
        <w:rPr>
          <w:rFonts w:cs="Arial"/>
        </w:rPr>
        <w:t>: Development Data for Mointy Station</w:t>
      </w:r>
      <w:bookmarkEnd w:id="519"/>
    </w:p>
    <w:p w14:paraId="06490FF8" w14:textId="77777777" w:rsidR="007E1FE8" w:rsidRPr="00A846C7" w:rsidRDefault="007E1FE8" w:rsidP="007E1FE8">
      <w:pPr>
        <w:rPr>
          <w:rFonts w:ascii="Arial" w:eastAsia="Calibri" w:hAnsi="Arial" w:cs="Arial"/>
          <w:b/>
          <w:kern w:val="2"/>
          <w:sz w:val="24"/>
          <w:szCs w:val="24"/>
          <w:lang w:val="en"/>
          <w14:ligatures w14:val="standardContextual"/>
        </w:rPr>
      </w:pPr>
    </w:p>
    <w:p w14:paraId="3BF64794" w14:textId="7AD22392" w:rsidR="007E1FE8" w:rsidRPr="00A846C7" w:rsidRDefault="007E1FE8" w:rsidP="007E1FE8">
      <w:pPr>
        <w:rPr>
          <w:rFonts w:ascii="Arial" w:eastAsia="Calibri" w:hAnsi="Arial" w:cs="Arial"/>
          <w:b/>
          <w:kern w:val="2"/>
          <w:sz w:val="24"/>
          <w:szCs w:val="24"/>
          <w14:ligatures w14:val="standardContextual"/>
        </w:rPr>
      </w:pPr>
      <w:r w:rsidRPr="00A846C7">
        <w:rPr>
          <w:rFonts w:ascii="Arial" w:eastAsia="Calibri" w:hAnsi="Arial" w:cs="Arial"/>
          <w:b/>
          <w:sz w:val="24"/>
          <w:szCs w:val="24"/>
        </w:rPr>
        <w:t>R</w:t>
      </w:r>
      <w:r w:rsidR="00761FE4" w:rsidRPr="00A846C7">
        <w:rPr>
          <w:rFonts w:ascii="Arial" w:eastAsia="Calibri" w:hAnsi="Arial" w:cs="Arial"/>
          <w:b/>
          <w:sz w:val="24"/>
          <w:szCs w:val="24"/>
        </w:rPr>
        <w:t>efurb</w:t>
      </w:r>
      <w:r w:rsidR="00EB4816">
        <w:rPr>
          <w:rFonts w:ascii="Arial" w:eastAsia="Calibri" w:hAnsi="Arial" w:cs="Arial"/>
          <w:b/>
          <w:sz w:val="24"/>
          <w:szCs w:val="24"/>
        </w:rPr>
        <w:t>i</w:t>
      </w:r>
      <w:r w:rsidR="00761FE4" w:rsidRPr="00A846C7">
        <w:rPr>
          <w:rFonts w:ascii="Arial" w:eastAsia="Calibri" w:hAnsi="Arial" w:cs="Arial"/>
          <w:b/>
          <w:sz w:val="24"/>
          <w:szCs w:val="24"/>
        </w:rPr>
        <w:t>shment</w:t>
      </w:r>
      <w:r w:rsidRPr="00A846C7">
        <w:rPr>
          <w:rFonts w:ascii="Arial" w:eastAsia="Calibri" w:hAnsi="Arial" w:cs="Arial"/>
          <w:b/>
          <w:sz w:val="24"/>
          <w:szCs w:val="24"/>
        </w:rPr>
        <w:t xml:space="preserve"> of Mointy Station. </w:t>
      </w:r>
    </w:p>
    <w:p w14:paraId="7224D23A" w14:textId="47ACCB9C" w:rsidR="007E1FE8" w:rsidRPr="002B3F36" w:rsidRDefault="007E1FE8" w:rsidP="00EB4816">
      <w:pPr>
        <w:pStyle w:val="ReportBodyTextNogap"/>
      </w:pPr>
      <w:r w:rsidRPr="00A846C7">
        <w:t xml:space="preserve">The </w:t>
      </w:r>
      <w:r w:rsidR="00761FE4" w:rsidRPr="002B3F36">
        <w:t>refurb</w:t>
      </w:r>
      <w:r w:rsidR="00EB75DC" w:rsidRPr="002B3F36">
        <w:t>i</w:t>
      </w:r>
      <w:r w:rsidR="00761FE4" w:rsidRPr="002B3F36">
        <w:t xml:space="preserve">shment </w:t>
      </w:r>
      <w:r w:rsidRPr="00A846C7">
        <w:t xml:space="preserve">of Mointy Station is planned to include the construction of three receiving and departure tracks with a useful length of 1,050 meters, a marshalling yard with three additional tracks, an extension of the extension track to a useful length of 1,050 meters, the extension of seven tracks to a useful length of 1,050 meters, and two sidings of 100 meters </w:t>
      </w:r>
    </w:p>
    <w:p w14:paraId="0CB0BDCC" w14:textId="77777777" w:rsidR="00F61F8E" w:rsidRPr="002B3F36" w:rsidRDefault="00CA6D71">
      <w:pPr>
        <w:pStyle w:val="ReportParagraph"/>
      </w:pPr>
      <w:r w:rsidRPr="002B3F36">
        <w:rPr>
          <w:noProof/>
        </w:rPr>
        <w:lastRenderedPageBreak/>
        <w:drawing>
          <wp:anchor distT="0" distB="0" distL="114300" distR="114300" simplePos="0" relativeHeight="251658246" behindDoc="0" locked="0" layoutInCell="1" allowOverlap="1" wp14:anchorId="548C9BCB" wp14:editId="7F9D5B6C">
            <wp:simplePos x="0" y="0"/>
            <wp:positionH relativeFrom="margin">
              <wp:align>left</wp:align>
            </wp:positionH>
            <wp:positionV relativeFrom="paragraph">
              <wp:posOffset>0</wp:posOffset>
            </wp:positionV>
            <wp:extent cx="6164580" cy="4503420"/>
            <wp:effectExtent l="0" t="0" r="7620" b="0"/>
            <wp:wrapSquare wrapText="bothSides"/>
            <wp:docPr id="16" name="Рисунок 16" descr="C:\Users\Tamara\Desktop\Железная дорога\дорога 3.png"/>
            <wp:cNvGraphicFramePr/>
            <a:graphic xmlns:a="http://schemas.openxmlformats.org/drawingml/2006/main">
              <a:graphicData uri="http://schemas.openxmlformats.org/drawingml/2006/picture">
                <pic:pic xmlns:pic="http://schemas.openxmlformats.org/drawingml/2006/picture">
                  <pic:nvPicPr>
                    <pic:cNvPr id="16" name="Рисунок 16" descr="C:\Users\Tamara\Desktop\Железная дорога\дорога 3.png"/>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64580" cy="4503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6DE571" w14:textId="77777777" w:rsidR="00F61F8E" w:rsidRPr="002B3F36" w:rsidRDefault="000F264B" w:rsidP="000E123E">
      <w:pPr>
        <w:pStyle w:val="31"/>
        <w:ind w:left="720"/>
      </w:pPr>
      <w:bookmarkStart w:id="520" w:name="_Toc208973726"/>
      <w:bookmarkStart w:id="521" w:name="_Toc208973926"/>
      <w:bookmarkStart w:id="522" w:name="_Toc208974126"/>
      <w:bookmarkStart w:id="523" w:name="_Toc208974328"/>
      <w:bookmarkStart w:id="524" w:name="_Toc208974536"/>
      <w:bookmarkStart w:id="525" w:name="_Toc210589401"/>
      <w:r w:rsidRPr="002B3F36">
        <w:t>Railway Construction Process</w:t>
      </w:r>
      <w:bookmarkEnd w:id="520"/>
      <w:bookmarkEnd w:id="521"/>
      <w:bookmarkEnd w:id="522"/>
      <w:bookmarkEnd w:id="523"/>
      <w:bookmarkEnd w:id="524"/>
      <w:bookmarkEnd w:id="525"/>
    </w:p>
    <w:p w14:paraId="5A0811F1" w14:textId="77777777" w:rsidR="00F61F8E" w:rsidRPr="002B3F36" w:rsidRDefault="00F61F8E">
      <w:pPr>
        <w:pStyle w:val="ReportParagraph"/>
      </w:pPr>
    </w:p>
    <w:p w14:paraId="02A527FE" w14:textId="0184FF96" w:rsidR="00F61F8E" w:rsidRPr="002B3F36" w:rsidRDefault="000F264B" w:rsidP="000E123E">
      <w:pPr>
        <w:pStyle w:val="ReportBodyPar"/>
      </w:pPr>
      <w:bookmarkStart w:id="526" w:name="_Hlk210532261"/>
      <w:r w:rsidRPr="002B3F36">
        <w:t>Construction of the 32</w:t>
      </w:r>
      <w:r w:rsidR="005C152A">
        <w:t>2.2</w:t>
      </w:r>
      <w:r w:rsidRPr="002B3F36">
        <w:t xml:space="preserve">-kilometer </w:t>
      </w:r>
      <w:r w:rsidR="003650DB" w:rsidRPr="002B3F36">
        <w:t xml:space="preserve">Mointy – Kyzylzhar </w:t>
      </w:r>
      <w:r w:rsidRPr="002B3F36">
        <w:t xml:space="preserve">Greenfield railway will begin with site preparation and access </w:t>
      </w:r>
      <w:r w:rsidR="00C63AAF" w:rsidRPr="002B3F36">
        <w:t>rail</w:t>
      </w:r>
      <w:r w:rsidRPr="002B3F36">
        <w:t xml:space="preserve">road development, ensuring controlled entry points and minimizing disturbance to surrounding habitats in line with </w:t>
      </w:r>
      <w:r w:rsidR="00163238" w:rsidRPr="002B3F36">
        <w:t>WB PS</w:t>
      </w:r>
      <w:r w:rsidRPr="002B3F36">
        <w:t>1 (Risk and Impact Assessment) and PS6 (Biodiversity Conservation). The alignment avoids densely populated areas. Prior to earthworks, vegetation clearing will be restricted to the construction corridor, and erosion control measures such as temporary drainage ditches and silt fences will be installed at watercourse crossings</w:t>
      </w:r>
      <w:bookmarkEnd w:id="526"/>
      <w:r w:rsidRPr="002B3F36">
        <w:t>.</w:t>
      </w:r>
      <w:r w:rsidR="00CA6480" w:rsidRPr="002B3F36">
        <w:t xml:space="preserve"> Some of the construction activities have already commenced, and currently ongoing.</w:t>
      </w:r>
    </w:p>
    <w:p w14:paraId="14FBDBCC" w14:textId="77777777" w:rsidR="00F61F8E" w:rsidRPr="002B3F36" w:rsidRDefault="00F61F8E" w:rsidP="000E123E">
      <w:pPr>
        <w:pStyle w:val="ReportBodyPar"/>
      </w:pPr>
    </w:p>
    <w:p w14:paraId="1D2BCE25" w14:textId="2BF4CAF9" w:rsidR="00F61F8E" w:rsidRPr="002B3F36" w:rsidRDefault="000F264B" w:rsidP="000E123E">
      <w:pPr>
        <w:pStyle w:val="ReportBodyPar"/>
      </w:pPr>
      <w:r w:rsidRPr="002B3F36">
        <w:t xml:space="preserve">Embankments, cut slopes, and berms will be constructed to railway engineering standards, maintaining a controlling gradient of 8.18% and a minimum curve radius of 1,000 meters for operational efficiency. Temporary spoil areas will be managed to prevent sediment runoff into seasonal streams, consistent with </w:t>
      </w:r>
      <w:r w:rsidR="00163238" w:rsidRPr="002B3F36">
        <w:t>WB PS</w:t>
      </w:r>
      <w:r w:rsidRPr="002B3F36">
        <w:t>3 (Resource Efficiency and Pollution Prevention).</w:t>
      </w:r>
    </w:p>
    <w:p w14:paraId="3490324A" w14:textId="77777777" w:rsidR="00F61F8E" w:rsidRPr="002B3F36" w:rsidRDefault="00F61F8E" w:rsidP="000E123E">
      <w:pPr>
        <w:pStyle w:val="ReportBodyPar"/>
      </w:pPr>
    </w:p>
    <w:p w14:paraId="1AE61A5A" w14:textId="36F9129E" w:rsidR="00F61F8E" w:rsidRPr="002B3F36" w:rsidRDefault="000F264B" w:rsidP="000E123E">
      <w:pPr>
        <w:pStyle w:val="ReportBodyPar"/>
      </w:pPr>
      <w:r w:rsidRPr="002B3F36">
        <w:t>Following earthworks, tracklaying operations will commence, installing R65 heat-strengthened rails on reinforced concrete sleepers with standardized spacing and ballast layers of 35–65 mm crushed stone. Continuous welded rail (CWR) technology using alumino-thermite welding will be employed</w:t>
      </w:r>
      <w:r w:rsidR="008668C3" w:rsidRPr="002B3F36">
        <w:t>.</w:t>
      </w:r>
      <w:r w:rsidRPr="002B3F36">
        <w:t xml:space="preserve"> </w:t>
      </w:r>
    </w:p>
    <w:p w14:paraId="088D9D87" w14:textId="77777777" w:rsidR="00F61F8E" w:rsidRPr="002B3F36" w:rsidRDefault="00F61F8E" w:rsidP="000E123E">
      <w:pPr>
        <w:pStyle w:val="ReportBodyPar"/>
      </w:pPr>
    </w:p>
    <w:p w14:paraId="4389B833" w14:textId="484C7800" w:rsidR="00F61F8E" w:rsidRDefault="000F264B" w:rsidP="000E123E">
      <w:pPr>
        <w:pStyle w:val="ReportBodyPar"/>
      </w:pPr>
      <w:r w:rsidRPr="002B3F36">
        <w:t xml:space="preserve">Simultaneously, bridge and culvert installations will be completed at 117 culvert locations and 19 bridge sites, ensuring hydraulic continuity in ephemeral streams and seasonal water </w:t>
      </w:r>
      <w:r w:rsidRPr="002B3F36">
        <w:lastRenderedPageBreak/>
        <w:t>bodies. Designs will integrate wildlife underpasses in biodiversity-sensitive areas to maintain ecological connectivity. Construction sequencing will limit in-stream works to low-flow periods, minimizing aquatic habitat disturbance.</w:t>
      </w:r>
      <w:r w:rsidR="00CA6D71" w:rsidRPr="002B3F36">
        <w:t xml:space="preserve"> </w:t>
      </w:r>
    </w:p>
    <w:p w14:paraId="5186D084" w14:textId="77777777" w:rsidR="00EB4816" w:rsidRPr="002B3F36" w:rsidRDefault="00EB4816" w:rsidP="000E123E">
      <w:pPr>
        <w:pStyle w:val="ReportBodyPar"/>
      </w:pPr>
    </w:p>
    <w:p w14:paraId="156C59E4" w14:textId="006E8ED7" w:rsidR="00F61F8E" w:rsidRPr="002B3F36" w:rsidRDefault="000F264B" w:rsidP="000E123E">
      <w:pPr>
        <w:pStyle w:val="ReportBodyPar"/>
      </w:pPr>
      <w:r w:rsidRPr="002B3F36">
        <w:t>Finally, signaling, power supply, and telecommunication systems will be installed across the corridor, followed by the commissioning of station buildings, sidings, and maintenance facilities at key nodes such as Kyzylzhar, Karazhal-2, Aktau, and Mointy. Site restoration will include revegetation of disturbed slopes using native grasses and removal of temporary worksites.</w:t>
      </w:r>
    </w:p>
    <w:p w14:paraId="78C13FBD" w14:textId="77777777" w:rsidR="00F61F8E" w:rsidRPr="002B3F36" w:rsidRDefault="00F61F8E" w:rsidP="000E123E">
      <w:pPr>
        <w:pStyle w:val="ReportBodyPar"/>
      </w:pPr>
    </w:p>
    <w:p w14:paraId="011DF4B9" w14:textId="34686BB3" w:rsidR="00CA6D71" w:rsidRPr="002B3F36" w:rsidRDefault="00CA6D71" w:rsidP="00F82096">
      <w:pPr>
        <w:pStyle w:val="31"/>
        <w:ind w:left="720"/>
        <w:rPr>
          <w:b w:val="0"/>
        </w:rPr>
      </w:pPr>
      <w:bookmarkStart w:id="527" w:name="_Toc210589402"/>
      <w:bookmarkStart w:id="528" w:name="_Toc210338919"/>
      <w:bookmarkStart w:id="529" w:name="_bookmark25"/>
      <w:bookmarkStart w:id="530" w:name="_bookmark26"/>
      <w:bookmarkStart w:id="531" w:name="_Toc210338920"/>
      <w:bookmarkStart w:id="532" w:name="_Toc210338921"/>
      <w:bookmarkStart w:id="533" w:name="_Toc210338922"/>
      <w:bookmarkStart w:id="534" w:name="_Toc210338923"/>
      <w:bookmarkStart w:id="535" w:name="_Toc210338924"/>
      <w:bookmarkStart w:id="536" w:name="_bookmark33"/>
      <w:bookmarkStart w:id="537" w:name="_bookmark43"/>
      <w:bookmarkStart w:id="538" w:name="_Toc209706860"/>
      <w:bookmarkStart w:id="539" w:name="_Toc208973727"/>
      <w:bookmarkStart w:id="540" w:name="_Toc208973927"/>
      <w:bookmarkStart w:id="541" w:name="_Toc208974127"/>
      <w:bookmarkStart w:id="542" w:name="_Toc208974329"/>
      <w:bookmarkStart w:id="543" w:name="_Toc208974537"/>
      <w:bookmarkEnd w:id="528"/>
      <w:bookmarkEnd w:id="529"/>
      <w:bookmarkEnd w:id="530"/>
      <w:bookmarkEnd w:id="531"/>
      <w:bookmarkEnd w:id="532"/>
      <w:bookmarkEnd w:id="533"/>
      <w:bookmarkEnd w:id="534"/>
      <w:bookmarkEnd w:id="535"/>
      <w:bookmarkEnd w:id="536"/>
      <w:bookmarkEnd w:id="537"/>
      <w:r w:rsidRPr="002B3F36">
        <w:t xml:space="preserve">Design Solutions </w:t>
      </w:r>
      <w:r w:rsidR="007E1FE8" w:rsidRPr="002B3F36">
        <w:t>and Work Stages</w:t>
      </w:r>
      <w:bookmarkEnd w:id="527"/>
    </w:p>
    <w:p w14:paraId="14185923" w14:textId="77777777" w:rsidR="00CA6D71" w:rsidRPr="00A846C7" w:rsidRDefault="00CA6D71" w:rsidP="00CA6D71">
      <w:pPr>
        <w:rPr>
          <w:rFonts w:ascii="Arial" w:eastAsia="Times New Roman" w:hAnsi="Arial" w:cs="Arial"/>
          <w:bCs/>
          <w:iCs/>
          <w:color w:val="222222"/>
          <w:sz w:val="24"/>
          <w:szCs w:val="24"/>
          <w:lang w:val="en" w:eastAsia="en-PH"/>
        </w:rPr>
      </w:pPr>
    </w:p>
    <w:p w14:paraId="0520579B" w14:textId="77777777" w:rsidR="00CA6D71" w:rsidRPr="00A846C7" w:rsidRDefault="00CA6D71" w:rsidP="00EB4816">
      <w:pPr>
        <w:pStyle w:val="ReportBodyPar"/>
        <w:rPr>
          <w:lang w:val="en"/>
        </w:rPr>
      </w:pPr>
      <w:r w:rsidRPr="00A846C7">
        <w:rPr>
          <w:lang w:val="en"/>
        </w:rPr>
        <w:t>Railway construction involves several stages requiring careful planning, engineering expertise, and coordination between various teams. The main stages are listed below:</w:t>
      </w:r>
    </w:p>
    <w:p w14:paraId="44CD7826" w14:textId="77777777" w:rsidR="00CA6D71" w:rsidRPr="00A846C7" w:rsidRDefault="00CA6D71" w:rsidP="00CA6D71">
      <w:pPr>
        <w:rPr>
          <w:rFonts w:ascii="Arial" w:eastAsia="Times New Roman" w:hAnsi="Arial" w:cs="Arial"/>
          <w:bCs/>
          <w:iCs/>
          <w:color w:val="222222"/>
          <w:sz w:val="24"/>
          <w:szCs w:val="24"/>
          <w:lang w:val="en" w:eastAsia="en-PH"/>
        </w:rPr>
      </w:pPr>
    </w:p>
    <w:p w14:paraId="19873568" w14:textId="2C6A71EC"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Cs/>
          <w:color w:val="222222"/>
          <w:sz w:val="24"/>
          <w:szCs w:val="24"/>
          <w:lang w:eastAsia="en-PH"/>
        </w:rPr>
        <w:t>1</w:t>
      </w:r>
      <w:r w:rsidR="0095647E" w:rsidRPr="0095647E">
        <w:rPr>
          <w:rFonts w:ascii="Arial" w:eastAsia="Times New Roman" w:hAnsi="Arial" w:cs="Arial"/>
          <w:bCs/>
          <w:color w:val="222222"/>
          <w:sz w:val="24"/>
          <w:szCs w:val="24"/>
          <w:lang w:eastAsia="en-PH"/>
        </w:rPr>
        <w:t>.</w:t>
      </w:r>
      <w:r w:rsidRPr="00A846C7">
        <w:rPr>
          <w:rFonts w:ascii="Arial" w:eastAsia="Times New Roman" w:hAnsi="Arial" w:cs="Arial"/>
          <w:b/>
          <w:bCs/>
          <w:color w:val="222222"/>
          <w:sz w:val="24"/>
          <w:szCs w:val="24"/>
          <w:lang w:eastAsia="en-PH"/>
        </w:rPr>
        <w:t xml:space="preserve"> </w:t>
      </w:r>
      <w:r w:rsidRPr="00A846C7">
        <w:rPr>
          <w:rFonts w:ascii="Arial" w:eastAsia="Times New Roman" w:hAnsi="Arial" w:cs="Arial"/>
          <w:b/>
          <w:bCs/>
          <w:color w:val="222222"/>
          <w:sz w:val="24"/>
          <w:szCs w:val="24"/>
          <w:lang w:val="en" w:eastAsia="en-PH"/>
        </w:rPr>
        <w:t>Feasibility Study and Planning</w:t>
      </w:r>
    </w:p>
    <w:p w14:paraId="731883F6" w14:textId="77777777" w:rsidR="00CA6D71" w:rsidRPr="00A846C7" w:rsidRDefault="00CA6D71" w:rsidP="00CA6D71">
      <w:pPr>
        <w:rPr>
          <w:rFonts w:ascii="Arial" w:eastAsia="Times New Roman" w:hAnsi="Arial" w:cs="Arial"/>
          <w:b/>
          <w:bCs/>
          <w:color w:val="222222"/>
          <w:sz w:val="24"/>
          <w:szCs w:val="24"/>
          <w:lang w:val="en" w:eastAsia="en-PH"/>
        </w:rPr>
      </w:pPr>
    </w:p>
    <w:p w14:paraId="0E8B6284" w14:textId="77777777"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i/>
          <w:color w:val="222222"/>
          <w:sz w:val="24"/>
          <w:szCs w:val="24"/>
          <w:lang w:eastAsia="en-PH"/>
        </w:rPr>
        <w:t>Preliminary Assessment</w:t>
      </w:r>
      <w:r w:rsidRPr="00A846C7">
        <w:rPr>
          <w:rFonts w:ascii="Arial" w:eastAsia="Times New Roman" w:hAnsi="Arial" w:cs="Arial"/>
          <w:color w:val="222222"/>
          <w:sz w:val="24"/>
          <w:szCs w:val="24"/>
          <w:lang w:eastAsia="en-PH"/>
        </w:rPr>
        <w:t xml:space="preserve"> of the need for a railway, taking into account factors such as economic benefits, transport demand, and possible routes. </w:t>
      </w:r>
    </w:p>
    <w:p w14:paraId="144F1608" w14:textId="77777777" w:rsidR="00CA6D71" w:rsidRPr="00A846C7" w:rsidRDefault="00CA6D71" w:rsidP="00F82096">
      <w:pPr>
        <w:ind w:left="1080" w:hanging="360"/>
        <w:rPr>
          <w:rFonts w:ascii="Arial" w:eastAsia="Times New Roman" w:hAnsi="Arial" w:cs="Arial"/>
          <w:color w:val="222222"/>
          <w:sz w:val="24"/>
          <w:szCs w:val="24"/>
          <w:lang w:val="en" w:eastAsia="en-PH"/>
        </w:rPr>
      </w:pPr>
    </w:p>
    <w:p w14:paraId="390CED99" w14:textId="77777777" w:rsidR="00CA6D71" w:rsidRPr="00A846C7" w:rsidRDefault="00CA6D71" w:rsidP="00F82096">
      <w:pPr>
        <w:ind w:left="1080" w:hanging="360"/>
        <w:rPr>
          <w:rFonts w:ascii="Arial" w:eastAsia="Times New Roman" w:hAnsi="Arial" w:cs="Arial"/>
          <w:i/>
          <w:iCs/>
          <w:color w:val="222222"/>
          <w:sz w:val="24"/>
          <w:szCs w:val="24"/>
          <w:lang w:val="en" w:eastAsia="en-PH"/>
        </w:rPr>
      </w:pPr>
      <w:r w:rsidRPr="00A846C7">
        <w:rPr>
          <w:rFonts w:ascii="Arial" w:eastAsia="Times New Roman" w:hAnsi="Arial" w:cs="Arial"/>
          <w:i/>
          <w:iCs/>
          <w:color w:val="222222"/>
          <w:sz w:val="24"/>
          <w:szCs w:val="24"/>
          <w:lang w:val="en" w:eastAsia="en-PH"/>
        </w:rPr>
        <w:t xml:space="preserve">Route Selection </w:t>
      </w:r>
    </w:p>
    <w:p w14:paraId="4003E55E" w14:textId="77777777"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color w:val="222222"/>
          <w:sz w:val="24"/>
          <w:szCs w:val="24"/>
          <w:lang w:eastAsia="en-PH"/>
        </w:rPr>
        <w:t xml:space="preserve">Identification of potential routes, taking into account factors such as terrain, land ownership, existing infrastructure, and environmental impact. </w:t>
      </w:r>
    </w:p>
    <w:p w14:paraId="7083185E" w14:textId="77777777" w:rsidR="00CA6D71" w:rsidRPr="00A846C7" w:rsidRDefault="00CA6D71" w:rsidP="00F82096">
      <w:pPr>
        <w:ind w:left="1080" w:hanging="360"/>
        <w:rPr>
          <w:rFonts w:ascii="Arial" w:eastAsia="Times New Roman" w:hAnsi="Arial" w:cs="Arial"/>
          <w:color w:val="222222"/>
          <w:sz w:val="24"/>
          <w:szCs w:val="24"/>
          <w:lang w:val="en" w:eastAsia="en-PH"/>
        </w:rPr>
      </w:pPr>
    </w:p>
    <w:p w14:paraId="704ACA74" w14:textId="77777777" w:rsidR="00CA6D71" w:rsidRPr="00A846C7" w:rsidRDefault="00CA6D71" w:rsidP="00F82096">
      <w:pPr>
        <w:ind w:left="1080" w:hanging="360"/>
        <w:rPr>
          <w:rFonts w:ascii="Arial" w:eastAsia="Times New Roman" w:hAnsi="Arial" w:cs="Arial"/>
          <w:i/>
          <w:iCs/>
          <w:color w:val="222222"/>
          <w:sz w:val="24"/>
          <w:szCs w:val="24"/>
          <w:lang w:val="en" w:eastAsia="en-PH"/>
        </w:rPr>
      </w:pPr>
      <w:r w:rsidRPr="00A846C7">
        <w:rPr>
          <w:rFonts w:ascii="Arial" w:eastAsia="Times New Roman" w:hAnsi="Arial" w:cs="Arial"/>
          <w:i/>
          <w:iCs/>
          <w:color w:val="222222"/>
          <w:sz w:val="24"/>
          <w:szCs w:val="24"/>
          <w:lang w:val="en" w:eastAsia="en-PH"/>
        </w:rPr>
        <w:t xml:space="preserve">Feasibility Study </w:t>
      </w:r>
    </w:p>
    <w:p w14:paraId="0045AB2C" w14:textId="77777777" w:rsidR="00CA6D71" w:rsidRPr="00A846C7" w:rsidRDefault="00CA6D71" w:rsidP="00F82096">
      <w:pPr>
        <w:ind w:left="1080" w:hanging="360"/>
        <w:rPr>
          <w:rFonts w:ascii="Arial" w:eastAsia="Times New Roman" w:hAnsi="Arial" w:cs="Arial"/>
          <w:color w:val="222222"/>
          <w:sz w:val="24"/>
          <w:szCs w:val="24"/>
          <w:u w:val="single"/>
          <w:lang w:val="en" w:eastAsia="en-PH"/>
        </w:rPr>
      </w:pPr>
      <w:r w:rsidRPr="00A846C7">
        <w:rPr>
          <w:rFonts w:ascii="Arial" w:eastAsia="Times New Roman" w:hAnsi="Arial" w:cs="Arial"/>
          <w:color w:val="222222"/>
          <w:sz w:val="24"/>
          <w:szCs w:val="24"/>
          <w:lang w:val="en" w:eastAsia="en-PH"/>
        </w:rPr>
        <w:t xml:space="preserve">Conduct a detailed analysis of the technical, financial, and environmental feasibility of the selected route. </w:t>
      </w:r>
      <w:r w:rsidRPr="00A846C7">
        <w:rPr>
          <w:rFonts w:ascii="Arial" w:eastAsia="Times New Roman" w:hAnsi="Arial" w:cs="Arial"/>
          <w:color w:val="222222"/>
          <w:sz w:val="24"/>
          <w:szCs w:val="24"/>
          <w:u w:val="single"/>
          <w:lang w:val="en" w:eastAsia="en-PH"/>
        </w:rPr>
        <w:t xml:space="preserve">This work is currently ongoing. </w:t>
      </w:r>
    </w:p>
    <w:p w14:paraId="0BC4612C" w14:textId="77777777" w:rsidR="00CA6D71" w:rsidRPr="00A846C7" w:rsidRDefault="00CA6D71" w:rsidP="00F82096">
      <w:pPr>
        <w:ind w:left="1080" w:hanging="360"/>
        <w:rPr>
          <w:rFonts w:ascii="Arial" w:eastAsia="Times New Roman" w:hAnsi="Arial" w:cs="Arial"/>
          <w:color w:val="222222"/>
          <w:sz w:val="24"/>
          <w:szCs w:val="24"/>
          <w:u w:val="single"/>
          <w:lang w:val="en" w:eastAsia="en-PH"/>
        </w:rPr>
      </w:pPr>
    </w:p>
    <w:p w14:paraId="07D09295"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Cs/>
          <w:color w:val="222222"/>
          <w:sz w:val="24"/>
          <w:szCs w:val="24"/>
          <w:lang w:eastAsia="en-PH"/>
        </w:rPr>
        <w:t>2.</w:t>
      </w:r>
      <w:r w:rsidRPr="00A846C7">
        <w:rPr>
          <w:rFonts w:ascii="Arial" w:eastAsia="Times New Roman" w:hAnsi="Arial" w:cs="Arial"/>
          <w:b/>
          <w:bCs/>
          <w:color w:val="222222"/>
          <w:sz w:val="24"/>
          <w:szCs w:val="24"/>
          <w:lang w:val="en" w:eastAsia="en-PH"/>
        </w:rPr>
        <w:t xml:space="preserve"> Survey and Design Route Survey </w:t>
      </w:r>
    </w:p>
    <w:p w14:paraId="67940574" w14:textId="77777777" w:rsidR="00CA6D71" w:rsidRPr="00A846C7" w:rsidRDefault="00CA6D71" w:rsidP="00CA6D71">
      <w:pPr>
        <w:rPr>
          <w:rFonts w:ascii="Arial" w:eastAsia="Times New Roman" w:hAnsi="Arial" w:cs="Arial"/>
          <w:color w:val="222222"/>
          <w:sz w:val="24"/>
          <w:szCs w:val="24"/>
          <w:lang w:val="en" w:eastAsia="en-PH"/>
        </w:rPr>
      </w:pPr>
    </w:p>
    <w:p w14:paraId="34A231F3" w14:textId="77777777" w:rsidR="00CA6D71" w:rsidRPr="00A846C7" w:rsidRDefault="00CA6D71" w:rsidP="00F82096">
      <w:pPr>
        <w:ind w:left="1080" w:hanging="360"/>
        <w:rPr>
          <w:rFonts w:ascii="Arial" w:eastAsia="Times New Roman" w:hAnsi="Arial" w:cs="Arial"/>
          <w:color w:val="222222"/>
          <w:sz w:val="24"/>
          <w:szCs w:val="24"/>
          <w:lang w:val="en" w:eastAsia="en-PH"/>
        </w:rPr>
      </w:pPr>
      <w:r w:rsidRPr="00A846C7">
        <w:rPr>
          <w:rFonts w:ascii="Arial" w:eastAsia="Times New Roman" w:hAnsi="Arial" w:cs="Arial"/>
          <w:color w:val="222222"/>
          <w:sz w:val="24"/>
          <w:szCs w:val="24"/>
          <w:lang w:val="en" w:eastAsia="en-PH"/>
        </w:rPr>
        <w:t xml:space="preserve">Conduct a detailed topographic survey to determine the terrain, water bodies, existing infrastructure, and potential obstacles. </w:t>
      </w:r>
    </w:p>
    <w:p w14:paraId="4D62FF0F" w14:textId="77777777" w:rsidR="00CA6D71" w:rsidRPr="00A846C7" w:rsidRDefault="00CA6D71" w:rsidP="00F82096">
      <w:pPr>
        <w:ind w:left="1080" w:hanging="360"/>
        <w:rPr>
          <w:rFonts w:ascii="Arial" w:eastAsia="Times New Roman" w:hAnsi="Arial" w:cs="Arial"/>
          <w:color w:val="222222"/>
          <w:sz w:val="24"/>
          <w:szCs w:val="24"/>
          <w:lang w:val="en" w:eastAsia="en-PH"/>
        </w:rPr>
      </w:pPr>
    </w:p>
    <w:p w14:paraId="275E8052" w14:textId="035CCFDD" w:rsidR="00CA6D71" w:rsidRPr="00A846C7" w:rsidRDefault="00CA6D71" w:rsidP="00F82096">
      <w:pPr>
        <w:ind w:left="1080" w:hanging="360"/>
        <w:rPr>
          <w:rFonts w:ascii="Arial" w:eastAsia="Times New Roman" w:hAnsi="Arial" w:cs="Arial"/>
          <w:color w:val="222222"/>
          <w:sz w:val="24"/>
          <w:szCs w:val="24"/>
          <w:lang w:val="en" w:eastAsia="en-PH"/>
        </w:rPr>
      </w:pPr>
      <w:r w:rsidRPr="00A846C7">
        <w:rPr>
          <w:rFonts w:ascii="Arial" w:eastAsia="Times New Roman" w:hAnsi="Arial" w:cs="Arial"/>
          <w:color w:val="222222"/>
          <w:sz w:val="24"/>
          <w:szCs w:val="24"/>
          <w:lang w:val="en" w:eastAsia="en-PH"/>
        </w:rPr>
        <w:t>R</w:t>
      </w:r>
      <w:r w:rsidRPr="00A846C7">
        <w:rPr>
          <w:rFonts w:ascii="Arial" w:eastAsia="Times New Roman" w:hAnsi="Arial" w:cs="Arial"/>
          <w:i/>
          <w:iCs/>
          <w:color w:val="222222"/>
          <w:sz w:val="24"/>
          <w:szCs w:val="24"/>
          <w:lang w:val="en" w:eastAsia="en-PH"/>
        </w:rPr>
        <w:t>oute Design</w:t>
      </w:r>
      <w:r w:rsidR="007E1FE8" w:rsidRPr="00A846C7">
        <w:rPr>
          <w:rFonts w:ascii="Arial" w:eastAsia="Times New Roman" w:hAnsi="Arial" w:cs="Arial"/>
          <w:i/>
          <w:iCs/>
          <w:color w:val="222222"/>
          <w:sz w:val="24"/>
          <w:szCs w:val="24"/>
          <w:lang w:val="en" w:eastAsia="en-PH"/>
        </w:rPr>
        <w:t xml:space="preserve">- </w:t>
      </w:r>
      <w:r w:rsidRPr="00A846C7">
        <w:rPr>
          <w:rFonts w:ascii="Arial" w:eastAsia="Times New Roman" w:hAnsi="Arial" w:cs="Arial"/>
          <w:color w:val="222222"/>
          <w:sz w:val="24"/>
          <w:szCs w:val="24"/>
          <w:lang w:val="en" w:eastAsia="en-PH"/>
        </w:rPr>
        <w:t xml:space="preserve">Determine the exact location of tracks, including curves, slopes, and straight sections. </w:t>
      </w:r>
    </w:p>
    <w:p w14:paraId="6F6D9A42" w14:textId="77777777" w:rsidR="00CA6D71" w:rsidRPr="00A846C7" w:rsidRDefault="00CA6D71" w:rsidP="00F82096">
      <w:pPr>
        <w:ind w:left="1080" w:hanging="360"/>
        <w:rPr>
          <w:rFonts w:ascii="Arial" w:eastAsia="Times New Roman" w:hAnsi="Arial" w:cs="Arial"/>
          <w:color w:val="222222"/>
          <w:sz w:val="24"/>
          <w:szCs w:val="24"/>
          <w:lang w:val="en" w:eastAsia="en-PH"/>
        </w:rPr>
      </w:pPr>
    </w:p>
    <w:p w14:paraId="7899EC44" w14:textId="61304264" w:rsidR="00CA6D71" w:rsidRPr="00A846C7" w:rsidRDefault="00CA6D71" w:rsidP="00F82096">
      <w:pPr>
        <w:ind w:left="1080" w:hanging="360"/>
        <w:rPr>
          <w:rFonts w:ascii="Arial" w:eastAsia="Times New Roman" w:hAnsi="Arial" w:cs="Arial"/>
          <w:color w:val="222222"/>
          <w:sz w:val="24"/>
          <w:szCs w:val="24"/>
          <w:u w:val="single"/>
          <w:lang w:eastAsia="en-PH"/>
        </w:rPr>
      </w:pPr>
      <w:r w:rsidRPr="00A846C7">
        <w:rPr>
          <w:rFonts w:ascii="Arial" w:eastAsia="Times New Roman" w:hAnsi="Arial" w:cs="Arial"/>
          <w:i/>
          <w:iCs/>
          <w:color w:val="222222"/>
          <w:sz w:val="24"/>
          <w:szCs w:val="24"/>
          <w:lang w:val="en" w:eastAsia="en-PH"/>
        </w:rPr>
        <w:t xml:space="preserve">Engineering Design </w:t>
      </w:r>
      <w:r w:rsidR="007E1FE8" w:rsidRPr="00A846C7">
        <w:rPr>
          <w:rFonts w:ascii="Arial" w:eastAsia="Times New Roman" w:hAnsi="Arial" w:cs="Arial"/>
          <w:i/>
          <w:iCs/>
          <w:color w:val="222222"/>
          <w:sz w:val="24"/>
          <w:szCs w:val="24"/>
          <w:lang w:val="en" w:eastAsia="en-PH"/>
        </w:rPr>
        <w:t xml:space="preserve">- </w:t>
      </w:r>
      <w:r w:rsidRPr="00A846C7">
        <w:rPr>
          <w:rFonts w:ascii="Arial" w:eastAsia="Times New Roman" w:hAnsi="Arial" w:cs="Arial"/>
          <w:color w:val="222222"/>
          <w:sz w:val="24"/>
          <w:szCs w:val="24"/>
          <w:lang w:eastAsia="en-PH"/>
        </w:rPr>
        <w:t xml:space="preserve">Development of detailed engineering plans for the location of tracks, structures (bridges, tunnels, etc.), drainage systems, and other infrastructure elements. </w:t>
      </w:r>
      <w:r w:rsidRPr="00A846C7">
        <w:rPr>
          <w:rFonts w:ascii="Arial" w:eastAsia="Times New Roman" w:hAnsi="Arial" w:cs="Arial"/>
          <w:color w:val="222222"/>
          <w:sz w:val="24"/>
          <w:szCs w:val="24"/>
          <w:u w:val="single"/>
          <w:lang w:eastAsia="en-PH"/>
        </w:rPr>
        <w:t>At the moment, these works have begun.</w:t>
      </w:r>
    </w:p>
    <w:p w14:paraId="4409ECE8" w14:textId="77777777" w:rsidR="00CA6D71" w:rsidRPr="00A846C7" w:rsidRDefault="00CA6D71" w:rsidP="00CA6D71">
      <w:pPr>
        <w:rPr>
          <w:rFonts w:ascii="Arial" w:eastAsia="Times New Roman" w:hAnsi="Arial" w:cs="Arial"/>
          <w:color w:val="222222"/>
          <w:sz w:val="24"/>
          <w:szCs w:val="24"/>
          <w:lang w:eastAsia="en-PH"/>
        </w:rPr>
      </w:pPr>
    </w:p>
    <w:p w14:paraId="4BD25207" w14:textId="77777777" w:rsidR="00CA6D71" w:rsidRPr="00A846C7" w:rsidRDefault="00CA6D71" w:rsidP="00CA6D71">
      <w:pPr>
        <w:rPr>
          <w:rFonts w:ascii="Arial" w:eastAsia="Times New Roman" w:hAnsi="Arial" w:cs="Arial"/>
          <w:b/>
          <w:bCs/>
          <w:color w:val="222222"/>
          <w:sz w:val="24"/>
          <w:szCs w:val="24"/>
          <w:lang w:eastAsia="en-PH"/>
        </w:rPr>
      </w:pPr>
      <w:r w:rsidRPr="00A846C7">
        <w:rPr>
          <w:rFonts w:ascii="Arial" w:eastAsia="Times New Roman" w:hAnsi="Arial" w:cs="Arial"/>
          <w:bCs/>
          <w:color w:val="222222"/>
          <w:sz w:val="24"/>
          <w:szCs w:val="24"/>
          <w:lang w:eastAsia="en-PH"/>
        </w:rPr>
        <w:t>3.</w:t>
      </w:r>
      <w:r w:rsidRPr="00A846C7">
        <w:rPr>
          <w:rFonts w:ascii="Arial" w:eastAsia="Times New Roman" w:hAnsi="Arial" w:cs="Arial"/>
          <w:b/>
          <w:bCs/>
          <w:color w:val="222222"/>
          <w:sz w:val="24"/>
          <w:szCs w:val="24"/>
          <w:lang w:eastAsia="en-PH"/>
        </w:rPr>
        <w:t xml:space="preserve"> Land Acquisition and Environmental Assessment</w:t>
      </w:r>
    </w:p>
    <w:p w14:paraId="5EA1B6E6" w14:textId="77777777" w:rsidR="00CA6D71" w:rsidRPr="00A846C7" w:rsidRDefault="00CA6D71" w:rsidP="00CA6D71">
      <w:pPr>
        <w:rPr>
          <w:rFonts w:ascii="Arial" w:eastAsia="Times New Roman" w:hAnsi="Arial" w:cs="Arial"/>
          <w:b/>
          <w:bCs/>
          <w:color w:val="222222"/>
          <w:sz w:val="24"/>
          <w:szCs w:val="24"/>
          <w:lang w:eastAsia="en-PH"/>
        </w:rPr>
      </w:pPr>
    </w:p>
    <w:p w14:paraId="7F0C604E" w14:textId="136FD843"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i/>
          <w:iCs/>
          <w:color w:val="222222"/>
          <w:sz w:val="24"/>
          <w:szCs w:val="24"/>
          <w:lang w:eastAsia="en-PH"/>
        </w:rPr>
        <w:t>Land Acquisition.</w:t>
      </w:r>
      <w:r w:rsidR="007E1FE8" w:rsidRPr="00A846C7">
        <w:rPr>
          <w:rFonts w:ascii="Arial" w:eastAsia="Times New Roman" w:hAnsi="Arial" w:cs="Arial"/>
          <w:i/>
          <w:iCs/>
          <w:color w:val="222222"/>
          <w:sz w:val="24"/>
          <w:szCs w:val="24"/>
          <w:lang w:eastAsia="en-PH"/>
        </w:rPr>
        <w:t xml:space="preserve"> </w:t>
      </w:r>
      <w:r w:rsidRPr="00A846C7">
        <w:rPr>
          <w:rFonts w:ascii="Arial" w:eastAsia="Times New Roman" w:hAnsi="Arial" w:cs="Arial"/>
          <w:color w:val="222222"/>
          <w:sz w:val="24"/>
          <w:szCs w:val="24"/>
          <w:lang w:eastAsia="en-PH"/>
        </w:rPr>
        <w:t>Obtaining necessary land rights and permits from landowners, government agencies, and stakeholders along the route.</w:t>
      </w:r>
    </w:p>
    <w:p w14:paraId="18D77F28" w14:textId="77777777" w:rsidR="00CA6D71" w:rsidRPr="00A846C7" w:rsidRDefault="00CA6D71" w:rsidP="00F82096">
      <w:pPr>
        <w:ind w:left="1080" w:hanging="360"/>
        <w:rPr>
          <w:rFonts w:ascii="Arial" w:eastAsia="Times New Roman" w:hAnsi="Arial" w:cs="Arial"/>
          <w:color w:val="222222"/>
          <w:sz w:val="24"/>
          <w:szCs w:val="24"/>
          <w:lang w:eastAsia="en-PH"/>
        </w:rPr>
      </w:pPr>
    </w:p>
    <w:p w14:paraId="15F3D477" w14:textId="44C84553"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i/>
          <w:iCs/>
          <w:color w:val="222222"/>
          <w:sz w:val="24"/>
          <w:szCs w:val="24"/>
          <w:lang w:eastAsia="en-PH"/>
        </w:rPr>
        <w:t>Environmental Assessment.</w:t>
      </w:r>
      <w:r w:rsidR="007E1FE8" w:rsidRPr="00A846C7">
        <w:rPr>
          <w:rFonts w:ascii="Arial" w:eastAsia="Times New Roman" w:hAnsi="Arial" w:cs="Arial"/>
          <w:i/>
          <w:iCs/>
          <w:color w:val="222222"/>
          <w:sz w:val="24"/>
          <w:szCs w:val="24"/>
          <w:lang w:eastAsia="en-PH"/>
        </w:rPr>
        <w:t xml:space="preserve"> </w:t>
      </w:r>
      <w:r w:rsidRPr="00A846C7">
        <w:rPr>
          <w:rFonts w:ascii="Arial" w:eastAsia="Times New Roman" w:hAnsi="Arial" w:cs="Arial"/>
          <w:color w:val="222222"/>
          <w:sz w:val="24"/>
          <w:szCs w:val="24"/>
          <w:lang w:eastAsia="en-PH"/>
        </w:rPr>
        <w:t>Conducting an environmental impact assessment and obtaining necessary permits from regulatory authorities.</w:t>
      </w:r>
    </w:p>
    <w:p w14:paraId="462A9925" w14:textId="77777777" w:rsidR="00CA6D71" w:rsidRPr="00A846C7" w:rsidRDefault="00CA6D71" w:rsidP="00CA6D71">
      <w:pPr>
        <w:rPr>
          <w:rFonts w:ascii="Arial" w:eastAsia="Times New Roman" w:hAnsi="Arial" w:cs="Arial"/>
          <w:color w:val="222222"/>
          <w:sz w:val="24"/>
          <w:szCs w:val="24"/>
          <w:lang w:eastAsia="en-PH"/>
        </w:rPr>
      </w:pPr>
    </w:p>
    <w:p w14:paraId="6B41F7F5" w14:textId="77777777" w:rsidR="00CA6D71" w:rsidRPr="00A846C7" w:rsidRDefault="00CA6D71" w:rsidP="00CA6D71">
      <w:pPr>
        <w:rPr>
          <w:rFonts w:ascii="Arial" w:eastAsia="Times New Roman" w:hAnsi="Arial" w:cs="Arial"/>
          <w:b/>
          <w:bCs/>
          <w:color w:val="222222"/>
          <w:sz w:val="24"/>
          <w:szCs w:val="24"/>
          <w:lang w:eastAsia="en-PH"/>
        </w:rPr>
      </w:pPr>
      <w:r w:rsidRPr="00A846C7">
        <w:rPr>
          <w:rFonts w:ascii="Arial" w:eastAsia="Times New Roman" w:hAnsi="Arial" w:cs="Arial"/>
          <w:bCs/>
          <w:color w:val="222222"/>
          <w:sz w:val="24"/>
          <w:szCs w:val="24"/>
          <w:lang w:eastAsia="en-PH"/>
        </w:rPr>
        <w:t>4.</w:t>
      </w:r>
      <w:r w:rsidRPr="00A846C7">
        <w:rPr>
          <w:rFonts w:ascii="Arial" w:eastAsia="Times New Roman" w:hAnsi="Arial" w:cs="Arial"/>
          <w:b/>
          <w:bCs/>
          <w:color w:val="222222"/>
          <w:sz w:val="24"/>
          <w:szCs w:val="24"/>
          <w:lang w:eastAsia="en-PH"/>
        </w:rPr>
        <w:t xml:space="preserve"> Earthworks and Grading</w:t>
      </w:r>
    </w:p>
    <w:p w14:paraId="5CD251D6" w14:textId="77777777" w:rsidR="00CA6D71" w:rsidRPr="00A846C7" w:rsidRDefault="00CA6D71" w:rsidP="00CA6D71">
      <w:pPr>
        <w:rPr>
          <w:rFonts w:ascii="Arial" w:eastAsia="Times New Roman" w:hAnsi="Arial" w:cs="Arial"/>
          <w:color w:val="222222"/>
          <w:sz w:val="24"/>
          <w:szCs w:val="24"/>
          <w:lang w:eastAsia="en-PH"/>
        </w:rPr>
      </w:pPr>
    </w:p>
    <w:p w14:paraId="3D1C8898" w14:textId="521869D4"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i/>
          <w:iCs/>
          <w:color w:val="222222"/>
          <w:sz w:val="24"/>
          <w:szCs w:val="24"/>
          <w:lang w:eastAsia="en-PH"/>
        </w:rPr>
        <w:lastRenderedPageBreak/>
        <w:t>Site Clearing and De-cluttering</w:t>
      </w:r>
      <w:r w:rsidRPr="00A846C7">
        <w:rPr>
          <w:rFonts w:ascii="Arial" w:eastAsia="Times New Roman" w:hAnsi="Arial" w:cs="Arial"/>
          <w:color w:val="222222"/>
          <w:sz w:val="24"/>
          <w:szCs w:val="24"/>
          <w:lang w:eastAsia="en-PH"/>
        </w:rPr>
        <w:t>.</w:t>
      </w:r>
      <w:r w:rsidR="007E1FE8" w:rsidRPr="00A846C7">
        <w:rPr>
          <w:rFonts w:ascii="Arial" w:eastAsia="Times New Roman" w:hAnsi="Arial" w:cs="Arial"/>
          <w:color w:val="222222"/>
          <w:sz w:val="24"/>
          <w:szCs w:val="24"/>
          <w:lang w:eastAsia="en-PH"/>
        </w:rPr>
        <w:t xml:space="preserve"> </w:t>
      </w:r>
      <w:r w:rsidRPr="00A846C7">
        <w:rPr>
          <w:rFonts w:ascii="Arial" w:eastAsia="Times New Roman" w:hAnsi="Arial" w:cs="Arial"/>
          <w:color w:val="222222"/>
          <w:sz w:val="24"/>
          <w:szCs w:val="24"/>
          <w:lang w:eastAsia="en-PH"/>
        </w:rPr>
        <w:t>Clearing the site of vegetation, trees, and obstacles.</w:t>
      </w:r>
    </w:p>
    <w:p w14:paraId="0AB0F0EF" w14:textId="77777777" w:rsidR="00CA6D71" w:rsidRPr="00A846C7" w:rsidRDefault="00CA6D71" w:rsidP="00F82096">
      <w:pPr>
        <w:ind w:left="1080" w:hanging="360"/>
        <w:rPr>
          <w:rFonts w:ascii="Arial" w:eastAsia="Times New Roman" w:hAnsi="Arial" w:cs="Arial"/>
          <w:color w:val="222222"/>
          <w:sz w:val="24"/>
          <w:szCs w:val="24"/>
          <w:lang w:eastAsia="en-PH"/>
        </w:rPr>
      </w:pPr>
    </w:p>
    <w:p w14:paraId="47248BDC" w14:textId="0DA0BA58"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i/>
          <w:iCs/>
          <w:color w:val="222222"/>
          <w:sz w:val="24"/>
          <w:szCs w:val="24"/>
          <w:lang w:eastAsia="en-PH"/>
        </w:rPr>
        <w:t>Earthworks.</w:t>
      </w:r>
      <w:r w:rsidR="007E1FE8" w:rsidRPr="00A846C7">
        <w:rPr>
          <w:rFonts w:ascii="Arial" w:eastAsia="Times New Roman" w:hAnsi="Arial" w:cs="Arial"/>
          <w:i/>
          <w:iCs/>
          <w:color w:val="222222"/>
          <w:sz w:val="24"/>
          <w:szCs w:val="24"/>
          <w:lang w:eastAsia="en-PH"/>
        </w:rPr>
        <w:t xml:space="preserve"> </w:t>
      </w:r>
      <w:r w:rsidRPr="00A846C7">
        <w:rPr>
          <w:rFonts w:ascii="Arial" w:eastAsia="Times New Roman" w:hAnsi="Arial" w:cs="Arial"/>
          <w:color w:val="222222"/>
          <w:sz w:val="24"/>
          <w:szCs w:val="24"/>
          <w:lang w:eastAsia="en-PH"/>
        </w:rPr>
        <w:t>Excavation, backfilling, and grading of the terrain to create a suitable base for the tracks.</w:t>
      </w:r>
    </w:p>
    <w:p w14:paraId="139CE8D4" w14:textId="77777777" w:rsidR="007E1FE8" w:rsidRPr="00A846C7" w:rsidRDefault="007E1FE8" w:rsidP="00F82096">
      <w:pPr>
        <w:ind w:left="1080" w:hanging="360"/>
        <w:rPr>
          <w:rFonts w:ascii="Arial" w:eastAsia="Times New Roman" w:hAnsi="Arial" w:cs="Arial"/>
          <w:color w:val="222222"/>
          <w:sz w:val="24"/>
          <w:szCs w:val="24"/>
          <w:lang w:eastAsia="en-PH"/>
        </w:rPr>
      </w:pPr>
    </w:p>
    <w:p w14:paraId="60163F9A" w14:textId="77777777" w:rsidR="00CA6D71" w:rsidRPr="00A846C7" w:rsidRDefault="00CA6D71" w:rsidP="00F82096">
      <w:pPr>
        <w:ind w:left="1080" w:hanging="360"/>
        <w:rPr>
          <w:rFonts w:ascii="Arial" w:eastAsia="Times New Roman" w:hAnsi="Arial" w:cs="Arial"/>
          <w:color w:val="222222"/>
          <w:sz w:val="24"/>
          <w:szCs w:val="24"/>
          <w:lang w:eastAsia="en-PH"/>
        </w:rPr>
      </w:pPr>
      <w:r w:rsidRPr="00A846C7">
        <w:rPr>
          <w:rFonts w:ascii="Arial" w:eastAsia="Times New Roman" w:hAnsi="Arial" w:cs="Arial"/>
          <w:color w:val="222222"/>
          <w:sz w:val="24"/>
          <w:szCs w:val="24"/>
          <w:lang w:eastAsia="en-PH"/>
        </w:rPr>
        <w:t>Total volume of natural vegetation layer removal, 0.20 m – 1,177,198.29 m</w:t>
      </w:r>
      <w:r w:rsidRPr="00A846C7">
        <w:rPr>
          <w:rFonts w:ascii="Arial" w:eastAsia="Times New Roman" w:hAnsi="Arial" w:cs="Arial"/>
          <w:color w:val="222222"/>
          <w:sz w:val="24"/>
          <w:szCs w:val="24"/>
          <w:vertAlign w:val="superscript"/>
          <w:lang w:eastAsia="en-PH"/>
        </w:rPr>
        <w:t>3</w:t>
      </w:r>
    </w:p>
    <w:bookmarkEnd w:id="538"/>
    <w:p w14:paraId="5092D820" w14:textId="77777777" w:rsidR="00CA6D71" w:rsidRPr="002B3F36" w:rsidRDefault="00CA6D71" w:rsidP="00CA6D71">
      <w:pPr>
        <w:pStyle w:val="ReportBodyTextNogap"/>
      </w:pPr>
    </w:p>
    <w:tbl>
      <w:tblPr>
        <w:tblW w:w="0" w:type="auto"/>
        <w:tblLayout w:type="fixed"/>
        <w:tblLook w:val="04A0" w:firstRow="1" w:lastRow="0" w:firstColumn="1" w:lastColumn="0" w:noHBand="0" w:noVBand="1"/>
      </w:tblPr>
      <w:tblGrid>
        <w:gridCol w:w="4672"/>
        <w:gridCol w:w="4673"/>
      </w:tblGrid>
      <w:tr w:rsidR="00CA6D71" w:rsidRPr="002B3F36" w14:paraId="610A0B65" w14:textId="77777777" w:rsidTr="00CA6D71">
        <w:tc>
          <w:tcPr>
            <w:tcW w:w="4672" w:type="dxa"/>
            <w:hideMark/>
          </w:tcPr>
          <w:p w14:paraId="2C7A3405" w14:textId="04DAFDC0" w:rsidR="00CA6D71" w:rsidRPr="00A846C7" w:rsidRDefault="00CA6D71">
            <w:pPr>
              <w:rPr>
                <w:rFonts w:ascii="Arial" w:eastAsia="Times New Roman" w:hAnsi="Arial" w:cs="Arial"/>
                <w:color w:val="222222"/>
                <w:sz w:val="24"/>
                <w:szCs w:val="24"/>
                <w:lang w:val="ru-RU" w:eastAsia="en-PH"/>
              </w:rPr>
            </w:pPr>
            <w:r w:rsidRPr="002B3F36">
              <w:rPr>
                <w:rFonts w:ascii="Arial" w:eastAsia="Times New Roman" w:hAnsi="Arial" w:cs="Arial"/>
                <w:noProof/>
                <w:color w:val="222222"/>
                <w:sz w:val="24"/>
                <w:szCs w:val="24"/>
                <w:lang w:val="ru-RU" w:eastAsia="en-PH"/>
              </w:rPr>
              <w:drawing>
                <wp:inline distT="0" distB="0" distL="0" distR="0" wp14:anchorId="25673606" wp14:editId="487D2AAD">
                  <wp:extent cx="2727960" cy="16992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27960" cy="1699260"/>
                          </a:xfrm>
                          <a:prstGeom prst="rect">
                            <a:avLst/>
                          </a:prstGeom>
                          <a:noFill/>
                          <a:ln>
                            <a:noFill/>
                          </a:ln>
                        </pic:spPr>
                      </pic:pic>
                    </a:graphicData>
                  </a:graphic>
                </wp:inline>
              </w:drawing>
            </w:r>
          </w:p>
        </w:tc>
        <w:tc>
          <w:tcPr>
            <w:tcW w:w="4673" w:type="dxa"/>
            <w:hideMark/>
          </w:tcPr>
          <w:p w14:paraId="672A68F9" w14:textId="32EDF589" w:rsidR="00CA6D71" w:rsidRPr="00A846C7" w:rsidRDefault="00CA6D71">
            <w:pPr>
              <w:rPr>
                <w:rFonts w:ascii="Arial" w:eastAsia="Times New Roman" w:hAnsi="Arial" w:cs="Arial"/>
                <w:color w:val="222222"/>
                <w:sz w:val="24"/>
                <w:szCs w:val="24"/>
                <w:lang w:val="ru-RU" w:eastAsia="en-PH"/>
              </w:rPr>
            </w:pPr>
            <w:r w:rsidRPr="002B3F36">
              <w:rPr>
                <w:rFonts w:ascii="Arial" w:eastAsia="Times New Roman" w:hAnsi="Arial" w:cs="Arial"/>
                <w:noProof/>
                <w:color w:val="222222"/>
                <w:sz w:val="24"/>
                <w:szCs w:val="24"/>
                <w:lang w:val="ru-RU" w:eastAsia="en-PH"/>
              </w:rPr>
              <w:drawing>
                <wp:inline distT="0" distB="0" distL="0" distR="0" wp14:anchorId="039038B5" wp14:editId="15492A71">
                  <wp:extent cx="2674620" cy="1722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4620" cy="1722120"/>
                          </a:xfrm>
                          <a:prstGeom prst="rect">
                            <a:avLst/>
                          </a:prstGeom>
                          <a:noFill/>
                          <a:ln>
                            <a:noFill/>
                          </a:ln>
                        </pic:spPr>
                      </pic:pic>
                    </a:graphicData>
                  </a:graphic>
                </wp:inline>
              </w:drawing>
            </w:r>
          </w:p>
        </w:tc>
      </w:tr>
      <w:tr w:rsidR="00CA6D71" w:rsidRPr="002B3F36" w14:paraId="162B4B04" w14:textId="77777777" w:rsidTr="00CA6D71">
        <w:tc>
          <w:tcPr>
            <w:tcW w:w="4672" w:type="dxa"/>
            <w:hideMark/>
          </w:tcPr>
          <w:p w14:paraId="596413F5" w14:textId="77777777" w:rsidR="00CA6D71" w:rsidRPr="00A846C7" w:rsidRDefault="00CA6D71">
            <w:pPr>
              <w:rPr>
                <w:rFonts w:ascii="Arial" w:eastAsia="Times New Roman" w:hAnsi="Arial" w:cs="Arial"/>
                <w:i/>
                <w:iCs/>
                <w:color w:val="222222"/>
                <w:sz w:val="24"/>
                <w:szCs w:val="24"/>
                <w:lang w:val="ru-RU" w:eastAsia="en-PH"/>
              </w:rPr>
            </w:pPr>
            <w:r w:rsidRPr="00A846C7">
              <w:rPr>
                <w:rFonts w:ascii="Arial" w:eastAsia="Times New Roman" w:hAnsi="Arial" w:cs="Arial"/>
                <w:i/>
                <w:iCs/>
                <w:color w:val="222222"/>
                <w:sz w:val="24"/>
                <w:szCs w:val="24"/>
                <w:lang w:eastAsia="en-PH"/>
              </w:rPr>
              <w:t>Earthworks and Grading</w:t>
            </w:r>
          </w:p>
        </w:tc>
        <w:tc>
          <w:tcPr>
            <w:tcW w:w="4673" w:type="dxa"/>
            <w:hideMark/>
          </w:tcPr>
          <w:p w14:paraId="6F5E77EA" w14:textId="77777777" w:rsidR="00CA6D71" w:rsidRPr="00A846C7" w:rsidRDefault="00CA6D71">
            <w:pPr>
              <w:rPr>
                <w:rFonts w:ascii="Arial" w:eastAsia="Times New Roman" w:hAnsi="Arial" w:cs="Arial"/>
                <w:i/>
                <w:iCs/>
                <w:color w:val="222222"/>
                <w:sz w:val="24"/>
                <w:szCs w:val="24"/>
                <w:lang w:eastAsia="en-PH"/>
              </w:rPr>
            </w:pPr>
            <w:r w:rsidRPr="00A846C7">
              <w:rPr>
                <w:rFonts w:ascii="Arial" w:eastAsia="Times New Roman" w:hAnsi="Arial" w:cs="Arial"/>
                <w:i/>
                <w:iCs/>
                <w:color w:val="222222"/>
                <w:sz w:val="24"/>
                <w:szCs w:val="24"/>
                <w:lang w:eastAsia="en-PH"/>
              </w:rPr>
              <w:t>Creating base for the tracks</w:t>
            </w:r>
          </w:p>
        </w:tc>
      </w:tr>
    </w:tbl>
    <w:p w14:paraId="2E3437FF" w14:textId="1F3F721A" w:rsidR="007E1FE8" w:rsidRPr="002B3F36" w:rsidRDefault="007E1FE8" w:rsidP="007E1FE8">
      <w:pPr>
        <w:pStyle w:val="FigureCaption"/>
        <w:rPr>
          <w:rFonts w:cs="Arial"/>
        </w:rPr>
      </w:pPr>
      <w:bookmarkStart w:id="544" w:name="_Toc210589598"/>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9</w:t>
      </w:r>
      <w:r w:rsidRPr="002B3F36">
        <w:rPr>
          <w:rFonts w:cs="Arial"/>
        </w:rPr>
        <w:fldChar w:fldCharType="end"/>
      </w:r>
      <w:r w:rsidRPr="002B3F36">
        <w:rPr>
          <w:rFonts w:cs="Arial"/>
        </w:rPr>
        <w:t>: Earthwork and Grading Activities</w:t>
      </w:r>
      <w:bookmarkEnd w:id="544"/>
    </w:p>
    <w:p w14:paraId="15E98770" w14:textId="77777777" w:rsidR="00CA6D71" w:rsidRPr="002B3F36" w:rsidRDefault="00CA6D71" w:rsidP="00CA6D71">
      <w:pPr>
        <w:pStyle w:val="ReportBodyTextNogap"/>
      </w:pPr>
    </w:p>
    <w:p w14:paraId="3AFD82E5"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
          <w:bCs/>
          <w:color w:val="222222"/>
          <w:sz w:val="24"/>
          <w:szCs w:val="24"/>
          <w:lang w:val="en" w:eastAsia="en-PH"/>
        </w:rPr>
        <w:t xml:space="preserve">5. Track Preparation </w:t>
      </w:r>
    </w:p>
    <w:p w14:paraId="2A934F4E" w14:textId="77777777" w:rsidR="00CA6D71" w:rsidRPr="00A846C7" w:rsidRDefault="00CA6D71" w:rsidP="00CA6D71">
      <w:pPr>
        <w:rPr>
          <w:rFonts w:ascii="Arial" w:eastAsia="Times New Roman" w:hAnsi="Arial" w:cs="Arial"/>
          <w:color w:val="222222"/>
          <w:sz w:val="24"/>
          <w:szCs w:val="24"/>
          <w:lang w:val="en" w:eastAsia="en-PH"/>
        </w:rPr>
      </w:pPr>
    </w:p>
    <w:p w14:paraId="70561B14" w14:textId="77777777" w:rsidR="00CA6D71" w:rsidRPr="00A846C7" w:rsidRDefault="00CA6D71" w:rsidP="00F82096">
      <w:pPr>
        <w:pStyle w:val="ReportBodyPar"/>
        <w:rPr>
          <w:lang w:val="en"/>
        </w:rPr>
      </w:pPr>
      <w:r w:rsidRPr="00A846C7">
        <w:rPr>
          <w:lang w:val="en"/>
        </w:rPr>
        <w:t xml:space="preserve">Laying ballast, crushed rock, or gravel, to ensure stability, drainage, and load distribution. Sub-ballast and base to further improve track stability and drainage. The total volume of soil (embankment) is 13,165,360.32 m³. </w:t>
      </w:r>
    </w:p>
    <w:p w14:paraId="3259D3DD" w14:textId="77777777" w:rsidR="00CA6D71" w:rsidRPr="00A846C7" w:rsidRDefault="00CA6D71" w:rsidP="00CA6D71">
      <w:pPr>
        <w:rPr>
          <w:rFonts w:ascii="Arial" w:eastAsia="Times New Roman" w:hAnsi="Arial" w:cs="Arial"/>
          <w:color w:val="222222"/>
          <w:sz w:val="24"/>
          <w:szCs w:val="24"/>
          <w:lang w:val="en" w:eastAsia="en-PH"/>
        </w:rPr>
      </w:pPr>
    </w:p>
    <w:p w14:paraId="3B219A08"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
          <w:bCs/>
          <w:color w:val="222222"/>
          <w:sz w:val="24"/>
          <w:szCs w:val="24"/>
          <w:lang w:val="en" w:eastAsia="en-PH"/>
        </w:rPr>
        <w:t xml:space="preserve">6. Track Construction </w:t>
      </w:r>
    </w:p>
    <w:p w14:paraId="131EE918" w14:textId="77777777" w:rsidR="00CA6D71" w:rsidRPr="00A846C7" w:rsidRDefault="00CA6D71" w:rsidP="00CA6D71">
      <w:pPr>
        <w:rPr>
          <w:rFonts w:ascii="Arial" w:eastAsia="Times New Roman" w:hAnsi="Arial" w:cs="Arial"/>
          <w:color w:val="222222"/>
          <w:sz w:val="24"/>
          <w:szCs w:val="24"/>
          <w:lang w:val="en" w:eastAsia="en-PH"/>
        </w:rPr>
      </w:pPr>
    </w:p>
    <w:p w14:paraId="23E0FC70" w14:textId="77777777" w:rsidR="00CA6D71" w:rsidRPr="00A846C7" w:rsidRDefault="00CA6D71" w:rsidP="00F82096">
      <w:pPr>
        <w:pStyle w:val="ReportBodyTextNogap"/>
      </w:pPr>
      <w:r w:rsidRPr="00A846C7">
        <w:rPr>
          <w:lang w:val="en"/>
        </w:rPr>
        <w:t>Laying sleepers at regular intervals along the track, which can be facilitated by using track pads. Installing rails on sleepers, correctly aligning them and maintaining the track gauge. Securing rails with spikes, bolts, clamps, or other fastening systems.</w:t>
      </w:r>
    </w:p>
    <w:p w14:paraId="09410971" w14:textId="77777777" w:rsidR="00CA6D71" w:rsidRPr="00A846C7" w:rsidRDefault="00CA6D71" w:rsidP="00CA6D71">
      <w:pPr>
        <w:rPr>
          <w:rFonts w:ascii="Arial" w:eastAsia="Times New Roman" w:hAnsi="Arial" w:cs="Arial"/>
          <w:color w:val="222222"/>
          <w:sz w:val="24"/>
          <w:szCs w:val="24"/>
          <w:lang w:eastAsia="en-PH"/>
        </w:rPr>
      </w:pPr>
    </w:p>
    <w:tbl>
      <w:tblPr>
        <w:tblW w:w="0" w:type="auto"/>
        <w:tblLayout w:type="fixed"/>
        <w:tblLook w:val="04A0" w:firstRow="1" w:lastRow="0" w:firstColumn="1" w:lastColumn="0" w:noHBand="0" w:noVBand="1"/>
      </w:tblPr>
      <w:tblGrid>
        <w:gridCol w:w="4591"/>
        <w:gridCol w:w="4754"/>
      </w:tblGrid>
      <w:tr w:rsidR="00CA6D71" w:rsidRPr="002B3F36" w14:paraId="53A32C42" w14:textId="77777777" w:rsidTr="00CA6D71">
        <w:tc>
          <w:tcPr>
            <w:tcW w:w="4591" w:type="dxa"/>
            <w:hideMark/>
          </w:tcPr>
          <w:p w14:paraId="1F13E2BC" w14:textId="4B6C8782" w:rsidR="00CA6D71" w:rsidRPr="00A846C7" w:rsidRDefault="00CA6D71">
            <w:pPr>
              <w:rPr>
                <w:rFonts w:ascii="Arial" w:eastAsia="Times New Roman" w:hAnsi="Arial" w:cs="Arial"/>
                <w:color w:val="222222"/>
                <w:sz w:val="24"/>
                <w:szCs w:val="24"/>
                <w:lang w:val="ru-RU" w:eastAsia="en-PH"/>
              </w:rPr>
            </w:pPr>
            <w:r w:rsidRPr="002B3F36">
              <w:rPr>
                <w:rFonts w:ascii="Arial" w:eastAsia="Times New Roman" w:hAnsi="Arial" w:cs="Arial"/>
                <w:noProof/>
                <w:color w:val="222222"/>
                <w:sz w:val="24"/>
                <w:szCs w:val="24"/>
                <w:lang w:val="ru-RU" w:eastAsia="en-PH"/>
              </w:rPr>
              <w:drawing>
                <wp:inline distT="0" distB="0" distL="0" distR="0" wp14:anchorId="4EDC37E4" wp14:editId="30D3E107">
                  <wp:extent cx="2880360" cy="23012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0360" cy="2301240"/>
                          </a:xfrm>
                          <a:prstGeom prst="rect">
                            <a:avLst/>
                          </a:prstGeom>
                          <a:noFill/>
                          <a:ln>
                            <a:noFill/>
                          </a:ln>
                        </pic:spPr>
                      </pic:pic>
                    </a:graphicData>
                  </a:graphic>
                </wp:inline>
              </w:drawing>
            </w:r>
          </w:p>
        </w:tc>
        <w:tc>
          <w:tcPr>
            <w:tcW w:w="4754" w:type="dxa"/>
          </w:tcPr>
          <w:p w14:paraId="58EDFFFE" w14:textId="4ED4DFEC" w:rsidR="00CA6D71" w:rsidRPr="00A846C7" w:rsidRDefault="00CA6D71">
            <w:pPr>
              <w:rPr>
                <w:rFonts w:ascii="Arial" w:eastAsia="Times New Roman" w:hAnsi="Arial" w:cs="Arial"/>
                <w:color w:val="222222"/>
                <w:sz w:val="24"/>
                <w:szCs w:val="24"/>
                <w:lang w:val="ru-RU" w:eastAsia="en-PH"/>
              </w:rPr>
            </w:pPr>
            <w:r w:rsidRPr="002B3F36">
              <w:rPr>
                <w:rFonts w:ascii="Arial" w:eastAsia="Times New Roman" w:hAnsi="Arial" w:cs="Arial"/>
                <w:noProof/>
                <w:color w:val="222222"/>
                <w:sz w:val="24"/>
                <w:szCs w:val="24"/>
                <w:lang w:val="ru-RU" w:eastAsia="en-PH"/>
              </w:rPr>
              <w:drawing>
                <wp:inline distT="0" distB="0" distL="0" distR="0" wp14:anchorId="7159123F" wp14:editId="5ABFD26E">
                  <wp:extent cx="2860431" cy="2246371"/>
                  <wp:effectExtent l="0" t="0" r="0" b="1905"/>
                  <wp:docPr id="14" name="Picture 14" descr="мос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мосты"/>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65781" cy="2250573"/>
                          </a:xfrm>
                          <a:prstGeom prst="rect">
                            <a:avLst/>
                          </a:prstGeom>
                          <a:noFill/>
                          <a:ln>
                            <a:noFill/>
                          </a:ln>
                        </pic:spPr>
                      </pic:pic>
                    </a:graphicData>
                  </a:graphic>
                </wp:inline>
              </w:drawing>
            </w:r>
          </w:p>
          <w:p w14:paraId="3D8287DE" w14:textId="77777777" w:rsidR="00CA6D71" w:rsidRPr="00A846C7" w:rsidRDefault="00CA6D71">
            <w:pPr>
              <w:rPr>
                <w:rFonts w:ascii="Arial" w:eastAsia="Times New Roman" w:hAnsi="Arial" w:cs="Arial"/>
                <w:color w:val="222222"/>
                <w:sz w:val="24"/>
                <w:szCs w:val="24"/>
                <w:lang w:val="ru-RU" w:eastAsia="en-PH"/>
              </w:rPr>
            </w:pPr>
          </w:p>
        </w:tc>
      </w:tr>
      <w:tr w:rsidR="00CA6D71" w:rsidRPr="002B3F36" w14:paraId="78D54A8A" w14:textId="77777777" w:rsidTr="00CA6D71">
        <w:tc>
          <w:tcPr>
            <w:tcW w:w="4591" w:type="dxa"/>
            <w:hideMark/>
          </w:tcPr>
          <w:p w14:paraId="35E5CD4C" w14:textId="77777777" w:rsidR="00CA6D71" w:rsidRPr="00A846C7" w:rsidRDefault="00CA6D71">
            <w:pPr>
              <w:rPr>
                <w:rFonts w:ascii="Arial" w:eastAsia="Times New Roman" w:hAnsi="Arial" w:cs="Arial"/>
                <w:i/>
                <w:iCs/>
                <w:color w:val="222222"/>
                <w:sz w:val="24"/>
                <w:szCs w:val="24"/>
                <w:lang w:eastAsia="en-PH"/>
              </w:rPr>
            </w:pPr>
            <w:r w:rsidRPr="00A846C7">
              <w:rPr>
                <w:rFonts w:ascii="Arial" w:eastAsia="Times New Roman" w:hAnsi="Arial" w:cs="Arial"/>
                <w:i/>
                <w:iCs/>
                <w:color w:val="222222"/>
                <w:sz w:val="24"/>
                <w:szCs w:val="24"/>
                <w:lang w:eastAsia="en-PH"/>
              </w:rPr>
              <w:t>Track construction</w:t>
            </w:r>
          </w:p>
        </w:tc>
        <w:tc>
          <w:tcPr>
            <w:tcW w:w="4754" w:type="dxa"/>
            <w:hideMark/>
          </w:tcPr>
          <w:p w14:paraId="4C01B6F9" w14:textId="77777777" w:rsidR="00CA6D71" w:rsidRPr="00A846C7" w:rsidRDefault="00CA6D71">
            <w:pPr>
              <w:rPr>
                <w:rFonts w:ascii="Arial" w:eastAsia="Times New Roman" w:hAnsi="Arial" w:cs="Arial"/>
                <w:i/>
                <w:iCs/>
                <w:color w:val="222222"/>
                <w:sz w:val="24"/>
                <w:szCs w:val="24"/>
                <w:lang w:eastAsia="en-PH"/>
              </w:rPr>
            </w:pPr>
            <w:r w:rsidRPr="00A846C7">
              <w:rPr>
                <w:rFonts w:ascii="Arial" w:eastAsia="Times New Roman" w:hAnsi="Arial" w:cs="Arial"/>
                <w:i/>
                <w:iCs/>
                <w:color w:val="222222"/>
                <w:sz w:val="24"/>
                <w:szCs w:val="24"/>
                <w:lang w:eastAsia="en-PH"/>
              </w:rPr>
              <w:t>Bridges</w:t>
            </w:r>
          </w:p>
        </w:tc>
      </w:tr>
    </w:tbl>
    <w:p w14:paraId="37F4BE54" w14:textId="60090A90" w:rsidR="00013133" w:rsidRPr="002B3F36" w:rsidRDefault="00013133" w:rsidP="00013133">
      <w:pPr>
        <w:pStyle w:val="FigureCaption"/>
        <w:rPr>
          <w:rFonts w:cs="Arial"/>
        </w:rPr>
      </w:pPr>
      <w:bookmarkStart w:id="545" w:name="_Toc210589599"/>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10</w:t>
      </w:r>
      <w:r w:rsidRPr="002B3F36">
        <w:rPr>
          <w:rFonts w:cs="Arial"/>
        </w:rPr>
        <w:fldChar w:fldCharType="end"/>
      </w:r>
      <w:r w:rsidRPr="002B3F36">
        <w:rPr>
          <w:rFonts w:cs="Arial"/>
        </w:rPr>
        <w:t>: T</w:t>
      </w:r>
      <w:r w:rsidR="00EB51FB">
        <w:rPr>
          <w:rFonts w:cs="Arial"/>
        </w:rPr>
        <w:t>r</w:t>
      </w:r>
      <w:r w:rsidRPr="002B3F36">
        <w:rPr>
          <w:rFonts w:cs="Arial"/>
        </w:rPr>
        <w:t>ack</w:t>
      </w:r>
      <w:r w:rsidR="00EB51FB">
        <w:rPr>
          <w:rFonts w:cs="Arial"/>
        </w:rPr>
        <w:t>-</w:t>
      </w:r>
      <w:r w:rsidRPr="002B3F36">
        <w:rPr>
          <w:rFonts w:cs="Arial"/>
        </w:rPr>
        <w:t>Laying Works</w:t>
      </w:r>
      <w:bookmarkEnd w:id="545"/>
      <w:r w:rsidRPr="002B3F36">
        <w:rPr>
          <w:rFonts w:cs="Arial"/>
        </w:rPr>
        <w:t xml:space="preserve"> </w:t>
      </w:r>
    </w:p>
    <w:p w14:paraId="29999967" w14:textId="77777777" w:rsidR="00CA6D71" w:rsidRPr="00A846C7" w:rsidRDefault="00CA6D71" w:rsidP="00CA6D71">
      <w:pPr>
        <w:rPr>
          <w:rFonts w:ascii="Arial" w:eastAsia="Times New Roman" w:hAnsi="Arial" w:cs="Arial"/>
          <w:color w:val="222222"/>
          <w:sz w:val="24"/>
          <w:szCs w:val="24"/>
          <w:lang w:eastAsia="en-PH"/>
        </w:rPr>
      </w:pPr>
    </w:p>
    <w:p w14:paraId="049ED545"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
          <w:bCs/>
          <w:color w:val="222222"/>
          <w:sz w:val="24"/>
          <w:szCs w:val="24"/>
          <w:lang w:val="en" w:eastAsia="en-PH"/>
        </w:rPr>
        <w:t xml:space="preserve">7. Bridge and Structure Construction </w:t>
      </w:r>
    </w:p>
    <w:p w14:paraId="5C686B2B" w14:textId="77777777" w:rsidR="00CA6D71" w:rsidRPr="00A846C7" w:rsidRDefault="00CA6D71" w:rsidP="00CA6D71">
      <w:pPr>
        <w:rPr>
          <w:rFonts w:ascii="Arial" w:eastAsia="Times New Roman" w:hAnsi="Arial" w:cs="Arial"/>
          <w:b/>
          <w:bCs/>
          <w:color w:val="222222"/>
          <w:sz w:val="24"/>
          <w:szCs w:val="24"/>
          <w:lang w:val="en" w:eastAsia="en-PH"/>
        </w:rPr>
      </w:pPr>
    </w:p>
    <w:p w14:paraId="2CE425D1" w14:textId="77777777" w:rsidR="00CA6D71" w:rsidRPr="00A846C7" w:rsidRDefault="00CA6D71" w:rsidP="00F82096">
      <w:pPr>
        <w:pStyle w:val="ReportBodyPar"/>
        <w:rPr>
          <w:lang w:val="en"/>
        </w:rPr>
      </w:pPr>
      <w:r w:rsidRPr="00A846C7">
        <w:rPr>
          <w:lang w:val="en"/>
        </w:rPr>
        <w:t xml:space="preserve">Construction of bridges and viaducts across bodies of water, valleys, and obstacles, as well as tunnels in mountains or under obstacles. Culverts and drainage for water management. </w:t>
      </w:r>
    </w:p>
    <w:p w14:paraId="478B8A8F" w14:textId="77777777" w:rsidR="00CA6D71" w:rsidRPr="00A846C7" w:rsidRDefault="00CA6D71" w:rsidP="00CA6D71">
      <w:pPr>
        <w:rPr>
          <w:rFonts w:ascii="Arial" w:eastAsia="Times New Roman" w:hAnsi="Arial" w:cs="Arial"/>
          <w:color w:val="222222"/>
          <w:sz w:val="24"/>
          <w:szCs w:val="24"/>
          <w:lang w:val="en" w:eastAsia="en-PH"/>
        </w:rPr>
      </w:pPr>
    </w:p>
    <w:p w14:paraId="4F4F5C4D"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color w:val="222222"/>
          <w:sz w:val="24"/>
          <w:szCs w:val="24"/>
          <w:lang w:val="en" w:eastAsia="en-PH"/>
        </w:rPr>
        <w:t>8</w:t>
      </w:r>
      <w:r w:rsidRPr="00A846C7">
        <w:rPr>
          <w:rFonts w:ascii="Arial" w:eastAsia="Times New Roman" w:hAnsi="Arial" w:cs="Arial"/>
          <w:b/>
          <w:bCs/>
          <w:color w:val="222222"/>
          <w:sz w:val="24"/>
          <w:szCs w:val="24"/>
          <w:lang w:val="en" w:eastAsia="en-PH"/>
        </w:rPr>
        <w:t xml:space="preserve">. Signaling and Electrification </w:t>
      </w:r>
    </w:p>
    <w:p w14:paraId="3294D356" w14:textId="77777777" w:rsidR="00CA6D71" w:rsidRPr="00A846C7" w:rsidRDefault="00CA6D71" w:rsidP="00CA6D71">
      <w:pPr>
        <w:rPr>
          <w:rFonts w:ascii="Arial" w:eastAsia="Times New Roman" w:hAnsi="Arial" w:cs="Arial"/>
          <w:b/>
          <w:bCs/>
          <w:color w:val="222222"/>
          <w:sz w:val="24"/>
          <w:szCs w:val="24"/>
          <w:lang w:val="en" w:eastAsia="en-PH"/>
        </w:rPr>
      </w:pPr>
    </w:p>
    <w:p w14:paraId="127C4A29" w14:textId="5C528271" w:rsidR="00CA6D71" w:rsidRPr="00A846C7" w:rsidRDefault="00CA6D71" w:rsidP="00F82096">
      <w:pPr>
        <w:pStyle w:val="ReportBodyPar"/>
        <w:rPr>
          <w:lang w:val="en"/>
        </w:rPr>
      </w:pPr>
      <w:r w:rsidRPr="00A846C7">
        <w:rPr>
          <w:lang w:val="en"/>
        </w:rPr>
        <w:t>Installation of signaling systems, switches, and turnouts to ensure safe train operation. Electrification (if applicable). Installation of overhead wires or third rails to provide power to electric locomotives.</w:t>
      </w:r>
      <w:r w:rsidR="00151D70" w:rsidRPr="00A846C7">
        <w:rPr>
          <w:lang w:val="en"/>
        </w:rPr>
        <w:t xml:space="preserve"> </w:t>
      </w:r>
      <w:r w:rsidR="00151D70" w:rsidRPr="002B3F36">
        <w:rPr>
          <w:lang w:val="en"/>
        </w:rPr>
        <w:t>Two 10 kV overhead lines will run parallel to the railroad: one for automatic block signaling (AB) and one for power supply (PE), both mounted on reinforced-concrete poles.</w:t>
      </w:r>
    </w:p>
    <w:p w14:paraId="38E28432" w14:textId="77777777" w:rsidR="00CA6D71" w:rsidRPr="00A846C7" w:rsidRDefault="00CA6D71" w:rsidP="00CA6D71">
      <w:pPr>
        <w:rPr>
          <w:rFonts w:ascii="Arial" w:eastAsia="Times New Roman" w:hAnsi="Arial" w:cs="Arial"/>
          <w:color w:val="222222"/>
          <w:sz w:val="24"/>
          <w:szCs w:val="24"/>
          <w:lang w:eastAsia="en-PH"/>
        </w:rPr>
      </w:pPr>
    </w:p>
    <w:p w14:paraId="64F631DA"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
          <w:bCs/>
          <w:color w:val="222222"/>
          <w:sz w:val="24"/>
          <w:szCs w:val="24"/>
          <w:lang w:val="en" w:eastAsia="en-PH"/>
        </w:rPr>
        <w:t xml:space="preserve">9. Testing and Commissioning </w:t>
      </w:r>
    </w:p>
    <w:p w14:paraId="53E3612B" w14:textId="77777777" w:rsidR="00CA6D71" w:rsidRPr="00A846C7" w:rsidRDefault="00CA6D71" w:rsidP="00CA6D71">
      <w:pPr>
        <w:rPr>
          <w:rFonts w:ascii="Arial" w:eastAsia="Times New Roman" w:hAnsi="Arial" w:cs="Arial"/>
          <w:color w:val="222222"/>
          <w:sz w:val="24"/>
          <w:szCs w:val="24"/>
          <w:lang w:val="en" w:eastAsia="en-PH"/>
        </w:rPr>
      </w:pPr>
    </w:p>
    <w:p w14:paraId="6C2728DA" w14:textId="6A196AA7" w:rsidR="00CA6D71" w:rsidRPr="00A846C7" w:rsidRDefault="00CA6D71" w:rsidP="00F82096">
      <w:pPr>
        <w:pStyle w:val="ReportBodyPar"/>
        <w:rPr>
          <w:lang w:val="en"/>
        </w:rPr>
      </w:pPr>
      <w:r w:rsidRPr="00A846C7">
        <w:rPr>
          <w:rFonts w:eastAsia="Times New Roman"/>
          <w:i/>
          <w:iCs/>
          <w:color w:val="222222"/>
          <w:lang w:val="en" w:eastAsia="en-PH"/>
        </w:rPr>
        <w:t xml:space="preserve">Track Alignment. </w:t>
      </w:r>
      <w:r w:rsidR="00013133" w:rsidRPr="00A846C7">
        <w:rPr>
          <w:rFonts w:eastAsia="Times New Roman"/>
          <w:i/>
          <w:iCs/>
          <w:color w:val="222222"/>
          <w:lang w:val="en" w:eastAsia="en-PH"/>
        </w:rPr>
        <w:t xml:space="preserve"> </w:t>
      </w:r>
      <w:r w:rsidRPr="00A846C7">
        <w:rPr>
          <w:lang w:val="en"/>
        </w:rPr>
        <w:t xml:space="preserve">Use high-precision equipment to ensure track alignment meets technical specifications. </w:t>
      </w:r>
    </w:p>
    <w:p w14:paraId="355726BC" w14:textId="77777777" w:rsidR="00CA6D71" w:rsidRPr="00A846C7" w:rsidRDefault="00CA6D71" w:rsidP="00CA6D71">
      <w:pPr>
        <w:rPr>
          <w:rFonts w:ascii="Arial" w:eastAsia="Times New Roman" w:hAnsi="Arial" w:cs="Arial"/>
          <w:color w:val="222222"/>
          <w:sz w:val="24"/>
          <w:szCs w:val="24"/>
          <w:lang w:val="en" w:eastAsia="en-PH"/>
        </w:rPr>
      </w:pPr>
    </w:p>
    <w:p w14:paraId="22E20E2E" w14:textId="6C1D7AB5" w:rsidR="00CA6D71" w:rsidRPr="00A846C7" w:rsidRDefault="00CA6D71" w:rsidP="00CA6D71">
      <w:pPr>
        <w:rPr>
          <w:rFonts w:ascii="Arial" w:eastAsia="Times New Roman" w:hAnsi="Arial" w:cs="Arial"/>
          <w:color w:val="222222"/>
          <w:sz w:val="24"/>
          <w:szCs w:val="24"/>
          <w:lang w:val="en" w:eastAsia="en-PH"/>
        </w:rPr>
      </w:pPr>
      <w:r w:rsidRPr="00A846C7">
        <w:rPr>
          <w:rFonts w:ascii="Arial" w:eastAsia="Times New Roman" w:hAnsi="Arial" w:cs="Arial"/>
          <w:i/>
          <w:iCs/>
          <w:color w:val="222222"/>
          <w:sz w:val="24"/>
          <w:szCs w:val="24"/>
          <w:lang w:val="en" w:eastAsia="en-PH"/>
        </w:rPr>
        <w:t xml:space="preserve">Load Testing. </w:t>
      </w:r>
      <w:r w:rsidRPr="00A846C7">
        <w:rPr>
          <w:rFonts w:ascii="Arial" w:eastAsia="Times New Roman" w:hAnsi="Arial" w:cs="Arial"/>
          <w:color w:val="222222"/>
          <w:sz w:val="24"/>
          <w:szCs w:val="24"/>
          <w:lang w:val="en" w:eastAsia="en-PH"/>
        </w:rPr>
        <w:t>Conduct load tests to assess track stability under the weight of passing trains.</w:t>
      </w:r>
    </w:p>
    <w:p w14:paraId="5546CE41" w14:textId="77777777" w:rsidR="00CA6D71" w:rsidRPr="00A846C7" w:rsidRDefault="00CA6D71" w:rsidP="00CA6D71">
      <w:pPr>
        <w:rPr>
          <w:rFonts w:ascii="Arial" w:eastAsia="Times New Roman" w:hAnsi="Arial" w:cs="Arial"/>
          <w:color w:val="222222"/>
          <w:sz w:val="24"/>
          <w:szCs w:val="24"/>
          <w:lang w:val="en" w:eastAsia="en-PH"/>
        </w:rPr>
      </w:pPr>
    </w:p>
    <w:p w14:paraId="3C75C9C4" w14:textId="41F95D20" w:rsidR="00CA6D71" w:rsidRPr="00A846C7" w:rsidRDefault="00CA6D71" w:rsidP="00F82096">
      <w:pPr>
        <w:pStyle w:val="ReportBodyPar"/>
        <w:rPr>
          <w:lang w:val="en"/>
        </w:rPr>
      </w:pPr>
      <w:r w:rsidRPr="00A846C7">
        <w:rPr>
          <w:rFonts w:eastAsia="Times New Roman"/>
          <w:i/>
          <w:iCs/>
          <w:color w:val="222222"/>
          <w:lang w:val="en" w:eastAsia="en-PH"/>
        </w:rPr>
        <w:t xml:space="preserve">System Testing. </w:t>
      </w:r>
      <w:r w:rsidRPr="00A846C7">
        <w:rPr>
          <w:lang w:val="en"/>
        </w:rPr>
        <w:t xml:space="preserve">Conduct performance testing of signaling, communication, and electrification systems. </w:t>
      </w:r>
    </w:p>
    <w:p w14:paraId="0DCA3953" w14:textId="77777777" w:rsidR="00CA6D71" w:rsidRPr="00A846C7" w:rsidRDefault="00CA6D71" w:rsidP="00CA6D71">
      <w:pPr>
        <w:rPr>
          <w:rFonts w:ascii="Arial" w:eastAsia="Times New Roman" w:hAnsi="Arial" w:cs="Arial"/>
          <w:color w:val="222222"/>
          <w:sz w:val="24"/>
          <w:szCs w:val="24"/>
          <w:lang w:val="en" w:eastAsia="en-PH"/>
        </w:rPr>
      </w:pPr>
    </w:p>
    <w:p w14:paraId="2205E5D1"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b/>
          <w:bCs/>
          <w:color w:val="222222"/>
          <w:sz w:val="24"/>
          <w:szCs w:val="24"/>
          <w:lang w:val="en" w:eastAsia="en-PH"/>
        </w:rPr>
        <w:t xml:space="preserve">10. Safety Certification and Regulatory Approvals </w:t>
      </w:r>
    </w:p>
    <w:p w14:paraId="574E5366" w14:textId="77777777" w:rsidR="00CA6D71" w:rsidRPr="00A846C7" w:rsidRDefault="00CA6D71" w:rsidP="00CA6D71">
      <w:pPr>
        <w:rPr>
          <w:rFonts w:ascii="Arial" w:eastAsia="Times New Roman" w:hAnsi="Arial" w:cs="Arial"/>
          <w:color w:val="222222"/>
          <w:sz w:val="24"/>
          <w:szCs w:val="24"/>
          <w:lang w:val="en" w:eastAsia="en-PH"/>
        </w:rPr>
      </w:pPr>
    </w:p>
    <w:p w14:paraId="72E24D0A" w14:textId="77777777" w:rsidR="00CA6D71" w:rsidRPr="00A846C7" w:rsidRDefault="00CA6D71" w:rsidP="00F82096">
      <w:pPr>
        <w:pStyle w:val="ReportBodyPar"/>
      </w:pPr>
      <w:r w:rsidRPr="00A846C7">
        <w:t xml:space="preserve">Obtain safety certificates and regulatory approvals to ensure the constructed railway complies with safety and operational standards. </w:t>
      </w:r>
    </w:p>
    <w:p w14:paraId="6EB2626E" w14:textId="77777777" w:rsidR="00CA6D71" w:rsidRPr="00A846C7" w:rsidRDefault="00CA6D71" w:rsidP="00CA6D71">
      <w:pPr>
        <w:rPr>
          <w:rFonts w:ascii="Arial" w:eastAsia="Times New Roman" w:hAnsi="Arial" w:cs="Arial"/>
          <w:color w:val="222222"/>
          <w:sz w:val="24"/>
          <w:szCs w:val="24"/>
          <w:lang w:val="en" w:eastAsia="en-PH"/>
        </w:rPr>
      </w:pPr>
    </w:p>
    <w:p w14:paraId="4C770215" w14:textId="77777777" w:rsidR="00CA6D71" w:rsidRPr="00A846C7" w:rsidRDefault="00CA6D71" w:rsidP="00CA6D71">
      <w:pPr>
        <w:rPr>
          <w:rFonts w:ascii="Arial" w:eastAsia="Times New Roman" w:hAnsi="Arial" w:cs="Arial"/>
          <w:color w:val="222222"/>
          <w:sz w:val="24"/>
          <w:szCs w:val="24"/>
          <w:lang w:val="en" w:eastAsia="en-PH"/>
        </w:rPr>
      </w:pPr>
      <w:r w:rsidRPr="00A846C7">
        <w:rPr>
          <w:rFonts w:ascii="Arial" w:eastAsia="Times New Roman" w:hAnsi="Arial" w:cs="Arial"/>
          <w:color w:val="222222"/>
          <w:sz w:val="24"/>
          <w:szCs w:val="24"/>
          <w:lang w:val="en" w:eastAsia="en-PH"/>
        </w:rPr>
        <w:t>1</w:t>
      </w:r>
      <w:r w:rsidRPr="00A846C7">
        <w:rPr>
          <w:rFonts w:ascii="Arial" w:eastAsia="Times New Roman" w:hAnsi="Arial" w:cs="Arial"/>
          <w:b/>
          <w:bCs/>
          <w:color w:val="222222"/>
          <w:sz w:val="24"/>
          <w:szCs w:val="24"/>
          <w:lang w:val="en" w:eastAsia="en-PH"/>
        </w:rPr>
        <w:t xml:space="preserve">1. Reclamation Work </w:t>
      </w:r>
    </w:p>
    <w:p w14:paraId="0C97BDAB" w14:textId="77777777" w:rsidR="00CA6D71" w:rsidRPr="00A846C7" w:rsidRDefault="00CA6D71" w:rsidP="00CA6D71">
      <w:pPr>
        <w:rPr>
          <w:rFonts w:ascii="Arial" w:eastAsia="Times New Roman" w:hAnsi="Arial" w:cs="Arial"/>
          <w:color w:val="222222"/>
          <w:sz w:val="24"/>
          <w:szCs w:val="24"/>
          <w:lang w:val="en" w:eastAsia="en-PH"/>
        </w:rPr>
      </w:pPr>
    </w:p>
    <w:p w14:paraId="3453FB06" w14:textId="77777777" w:rsidR="00CA6D71" w:rsidRPr="00A846C7" w:rsidRDefault="00CA6D71" w:rsidP="00F82096">
      <w:pPr>
        <w:pStyle w:val="ReportBodyPar"/>
        <w:rPr>
          <w:lang w:val="en"/>
        </w:rPr>
      </w:pPr>
      <w:r w:rsidRPr="00A846C7">
        <w:rPr>
          <w:lang w:val="en"/>
        </w:rPr>
        <w:t>After construction is completed, reclamation work is expected to be carried out at the sites of technical roads, quarries, and shift camps. Reclamation work will consist of technical (territory cleaning, etc.) and biological reclamation (if necessary).</w:t>
      </w:r>
    </w:p>
    <w:p w14:paraId="14D1EDF9" w14:textId="77777777" w:rsidR="00CA6D71" w:rsidRPr="00A846C7" w:rsidRDefault="00CA6D71" w:rsidP="00CA6D71">
      <w:pPr>
        <w:rPr>
          <w:rFonts w:ascii="Arial" w:eastAsia="Times New Roman" w:hAnsi="Arial" w:cs="Arial"/>
          <w:color w:val="222222"/>
          <w:sz w:val="24"/>
          <w:szCs w:val="24"/>
          <w:lang w:val="en" w:eastAsia="en-PH"/>
        </w:rPr>
      </w:pPr>
    </w:p>
    <w:p w14:paraId="54A3264C" w14:textId="77777777" w:rsidR="00CA6D71" w:rsidRPr="00A846C7" w:rsidRDefault="00CA6D71" w:rsidP="00CA6D71">
      <w:pPr>
        <w:rPr>
          <w:rFonts w:ascii="Arial" w:eastAsia="Times New Roman" w:hAnsi="Arial" w:cs="Arial"/>
          <w:b/>
          <w:bCs/>
          <w:color w:val="222222"/>
          <w:sz w:val="24"/>
          <w:szCs w:val="24"/>
          <w:lang w:val="en" w:eastAsia="en-PH"/>
        </w:rPr>
      </w:pPr>
      <w:r w:rsidRPr="00A846C7">
        <w:rPr>
          <w:rFonts w:ascii="Arial" w:eastAsia="Times New Roman" w:hAnsi="Arial" w:cs="Arial"/>
          <w:color w:val="222222"/>
          <w:sz w:val="24"/>
          <w:szCs w:val="24"/>
          <w:lang w:val="en" w:eastAsia="en-PH"/>
        </w:rPr>
        <w:t>1</w:t>
      </w:r>
      <w:r w:rsidRPr="00A846C7">
        <w:rPr>
          <w:rFonts w:ascii="Arial" w:eastAsia="Times New Roman" w:hAnsi="Arial" w:cs="Arial"/>
          <w:b/>
          <w:bCs/>
          <w:color w:val="222222"/>
          <w:sz w:val="24"/>
          <w:szCs w:val="24"/>
          <w:lang w:val="en" w:eastAsia="en-PH"/>
        </w:rPr>
        <w:t xml:space="preserve">2. Development of Exclusion Zones. </w:t>
      </w:r>
    </w:p>
    <w:p w14:paraId="12011E55" w14:textId="77777777" w:rsidR="00CA6D71" w:rsidRPr="00A846C7" w:rsidRDefault="00CA6D71" w:rsidP="00CA6D71">
      <w:pPr>
        <w:rPr>
          <w:rFonts w:ascii="Arial" w:eastAsia="Times New Roman" w:hAnsi="Arial" w:cs="Arial"/>
          <w:color w:val="222222"/>
          <w:sz w:val="24"/>
          <w:szCs w:val="24"/>
          <w:lang w:val="en" w:eastAsia="en-PH"/>
        </w:rPr>
      </w:pPr>
    </w:p>
    <w:p w14:paraId="4FF56BDC" w14:textId="792E8957" w:rsidR="00CA6D71" w:rsidRPr="00A846C7" w:rsidRDefault="00CA6D71" w:rsidP="00F82096">
      <w:pPr>
        <w:pStyle w:val="ReportBodyTextNogap"/>
        <w:rPr>
          <w:lang w:val="en"/>
        </w:rPr>
      </w:pPr>
      <w:r w:rsidRPr="00A846C7">
        <w:rPr>
          <w:lang w:val="en"/>
        </w:rPr>
        <w:t>According to SP RK 3.03-116-2014 "Land Allocation for Railways," to ensure the safety, stability, and durability of railway structures and the safety of rolling stock, local executive authorities establish controlled railway zones that are not included in the railway access lane</w:t>
      </w:r>
      <w:r w:rsidR="00013133" w:rsidRPr="00A846C7">
        <w:rPr>
          <w:lang w:val="en"/>
        </w:rPr>
        <w:t xml:space="preserve"> (minimum)</w:t>
      </w:r>
      <w:r w:rsidRPr="00A846C7">
        <w:rPr>
          <w:lang w:val="en"/>
        </w:rPr>
        <w:t xml:space="preserve">: </w:t>
      </w:r>
    </w:p>
    <w:p w14:paraId="1537AD9E" w14:textId="77777777" w:rsidR="00CA6D71" w:rsidRPr="00A846C7" w:rsidRDefault="00CA6D71" w:rsidP="00F82096">
      <w:pPr>
        <w:ind w:left="1080" w:hanging="360"/>
        <w:rPr>
          <w:rFonts w:ascii="Arial" w:eastAsia="Times New Roman" w:hAnsi="Arial" w:cs="Arial"/>
          <w:color w:val="222222"/>
          <w:sz w:val="24"/>
          <w:szCs w:val="24"/>
          <w:lang w:val="en" w:eastAsia="en-PH"/>
        </w:rPr>
      </w:pPr>
      <w:r w:rsidRPr="00A846C7">
        <w:rPr>
          <w:rFonts w:ascii="Arial" w:eastAsia="Times New Roman" w:hAnsi="Arial" w:cs="Arial"/>
          <w:color w:val="222222"/>
          <w:sz w:val="24"/>
          <w:szCs w:val="24"/>
          <w:lang w:val="en" w:eastAsia="en-PH"/>
        </w:rPr>
        <w:t xml:space="preserve">- outside populated areas – 50 meters from the railway access lane in both directions; </w:t>
      </w:r>
    </w:p>
    <w:p w14:paraId="27D07502" w14:textId="1CFA7088" w:rsidR="00CA6D71" w:rsidRPr="00A846C7" w:rsidRDefault="00CA6D71" w:rsidP="00F82096">
      <w:pPr>
        <w:pStyle w:val="ReportBodyTextNogap"/>
        <w:ind w:left="1080" w:hanging="360"/>
        <w:rPr>
          <w:rFonts w:eastAsia="Times New Roman"/>
          <w:color w:val="222222"/>
          <w:lang w:val="en" w:eastAsia="en-PH"/>
        </w:rPr>
      </w:pPr>
      <w:r w:rsidRPr="00A846C7">
        <w:rPr>
          <w:rFonts w:eastAsia="Times New Roman"/>
          <w:color w:val="222222"/>
          <w:lang w:val="en" w:eastAsia="en-PH"/>
        </w:rPr>
        <w:t>- within populated areas – 20 meters from the railway access lane in both directions.</w:t>
      </w:r>
    </w:p>
    <w:p w14:paraId="4EBBD06C" w14:textId="77777777" w:rsidR="00013133" w:rsidRPr="002B3F36" w:rsidRDefault="00013133" w:rsidP="00F82096">
      <w:pPr>
        <w:pStyle w:val="ReportBodyTextNogap"/>
      </w:pPr>
    </w:p>
    <w:p w14:paraId="0A915AE5" w14:textId="6609FA33" w:rsidR="00F61F8E" w:rsidRPr="002B3F36" w:rsidRDefault="0080772D">
      <w:pPr>
        <w:pStyle w:val="20"/>
      </w:pPr>
      <w:bookmarkStart w:id="546" w:name="_Toc210589403"/>
      <w:r w:rsidRPr="002B3F36">
        <w:t>Organizational</w:t>
      </w:r>
      <w:r w:rsidR="000F264B" w:rsidRPr="002B3F36">
        <w:t xml:space="preserve"> responsibilities</w:t>
      </w:r>
      <w:bookmarkEnd w:id="539"/>
      <w:bookmarkEnd w:id="540"/>
      <w:bookmarkEnd w:id="541"/>
      <w:bookmarkEnd w:id="542"/>
      <w:bookmarkEnd w:id="543"/>
      <w:bookmarkEnd w:id="546"/>
    </w:p>
    <w:p w14:paraId="0558B4CC" w14:textId="77777777" w:rsidR="00F61F8E" w:rsidRPr="002B3F36" w:rsidRDefault="00F61F8E">
      <w:pPr>
        <w:pStyle w:val="ReportBodyTextNogap"/>
      </w:pPr>
    </w:p>
    <w:p w14:paraId="371CB307" w14:textId="77777777" w:rsidR="00F61F8E" w:rsidRPr="002B3F36" w:rsidRDefault="000F264B">
      <w:pPr>
        <w:pStyle w:val="ReportParagraph"/>
      </w:pPr>
      <w:r w:rsidRPr="002B3F36">
        <w:t>For the period of Project implementation, in accordance with the legislation of the Republic of Kazakhstan and international investment requirements, several institutional mechanisms are envisaged, as described below. The institutional framework of the “Construction of the Mointy–Kyzylzhar Railway Line” Project is presented in the Table below.</w:t>
      </w:r>
    </w:p>
    <w:p w14:paraId="630CE0DE" w14:textId="77777777" w:rsidR="00F61F8E" w:rsidRPr="002B3F36" w:rsidRDefault="00F61F8E">
      <w:pPr>
        <w:pStyle w:val="ReportParagraph"/>
        <w:rPr>
          <w:b/>
        </w:rPr>
      </w:pPr>
    </w:p>
    <w:p w14:paraId="001B8FE0" w14:textId="42E7AC23" w:rsidR="00F61F8E" w:rsidRPr="002B3F36" w:rsidRDefault="00517A3E" w:rsidP="000E123E">
      <w:pPr>
        <w:pStyle w:val="CaptionTable"/>
      </w:pPr>
      <w:bookmarkStart w:id="547" w:name="_Toc210589548"/>
      <w:r w:rsidRPr="002B3F36">
        <w:t xml:space="preserve">Table </w:t>
      </w:r>
      <w:r w:rsidR="00F30C2C" w:rsidRPr="002B3F36">
        <w:fldChar w:fldCharType="begin"/>
      </w:r>
      <w:r w:rsidR="00F30C2C" w:rsidRPr="002B3F36">
        <w:rPr>
          <w:noProof/>
        </w:rPr>
        <w:instrText xml:space="preserve"> SEQ Table \* ARABIC </w:instrText>
      </w:r>
      <w:r w:rsidR="00F30C2C" w:rsidRPr="002B3F36">
        <w:fldChar w:fldCharType="separate"/>
      </w:r>
      <w:r w:rsidR="00A023DA">
        <w:rPr>
          <w:noProof/>
        </w:rPr>
        <w:t>4</w:t>
      </w:r>
      <w:r w:rsidR="00F30C2C" w:rsidRPr="002B3F36">
        <w:fldChar w:fldCharType="end"/>
      </w:r>
      <w:r w:rsidR="000F264B" w:rsidRPr="002B3F36">
        <w:t>: Institutional Framework for “Construction of the Mointy–Kyzylzhar Railway</w:t>
      </w:r>
      <w:bookmarkEnd w:id="547"/>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44"/>
        <w:gridCol w:w="2245"/>
        <w:gridCol w:w="2409"/>
        <w:gridCol w:w="2127"/>
        <w:gridCol w:w="2462"/>
      </w:tblGrid>
      <w:tr w:rsidR="00F61F8E" w:rsidRPr="002B3F36" w14:paraId="5C461D16" w14:textId="77777777" w:rsidTr="00F82096">
        <w:trPr>
          <w:tblHeader/>
          <w:jc w:val="center"/>
        </w:trPr>
        <w:tc>
          <w:tcPr>
            <w:tcW w:w="4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6B3514" w14:textId="77777777" w:rsidR="00F61F8E" w:rsidRPr="002B3F36" w:rsidRDefault="000F264B">
            <w:pPr>
              <w:jc w:val="center"/>
              <w:rPr>
                <w:rFonts w:ascii="Arial" w:hAnsi="Arial" w:cs="Arial"/>
                <w:sz w:val="20"/>
                <w:szCs w:val="20"/>
              </w:rPr>
            </w:pPr>
            <w:r w:rsidRPr="002B3F36">
              <w:rPr>
                <w:rFonts w:ascii="Arial" w:eastAsia="SimSun" w:hAnsi="Arial" w:cs="Arial"/>
                <w:b/>
                <w:bCs/>
                <w:sz w:val="20"/>
                <w:szCs w:val="20"/>
                <w:lang w:eastAsia="zh-CN"/>
              </w:rPr>
              <w:t>№</w:t>
            </w:r>
          </w:p>
        </w:tc>
        <w:tc>
          <w:tcPr>
            <w:tcW w:w="22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E01CA7" w14:textId="77777777" w:rsidR="00F61F8E" w:rsidRPr="002B3F36" w:rsidRDefault="000F264B">
            <w:pPr>
              <w:jc w:val="center"/>
              <w:rPr>
                <w:rFonts w:ascii="Arial" w:hAnsi="Arial" w:cs="Arial"/>
                <w:sz w:val="20"/>
                <w:szCs w:val="20"/>
              </w:rPr>
            </w:pPr>
            <w:r w:rsidRPr="002B3F36">
              <w:rPr>
                <w:rFonts w:ascii="Arial" w:eastAsia="SimSun" w:hAnsi="Arial" w:cs="Arial"/>
                <w:b/>
                <w:bCs/>
                <w:sz w:val="20"/>
                <w:szCs w:val="20"/>
                <w:lang w:eastAsia="zh-CN"/>
              </w:rPr>
              <w:t>Project Participant</w:t>
            </w:r>
          </w:p>
        </w:tc>
        <w:tc>
          <w:tcPr>
            <w:tcW w:w="2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B81978" w14:textId="77777777" w:rsidR="00F61F8E" w:rsidRPr="002B3F36" w:rsidRDefault="000F264B">
            <w:pPr>
              <w:jc w:val="center"/>
              <w:rPr>
                <w:rFonts w:ascii="Arial" w:hAnsi="Arial" w:cs="Arial"/>
                <w:sz w:val="20"/>
                <w:szCs w:val="20"/>
              </w:rPr>
            </w:pPr>
            <w:r w:rsidRPr="002B3F36">
              <w:rPr>
                <w:rFonts w:ascii="Arial" w:eastAsia="SimSun" w:hAnsi="Arial" w:cs="Arial"/>
                <w:b/>
                <w:bCs/>
                <w:sz w:val="20"/>
                <w:szCs w:val="20"/>
                <w:lang w:eastAsia="zh-CN"/>
              </w:rPr>
              <w:t>Information about the Participant</w:t>
            </w:r>
          </w:p>
        </w:tc>
        <w:tc>
          <w:tcPr>
            <w:tcW w:w="21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B5F287" w14:textId="77777777" w:rsidR="00F61F8E" w:rsidRPr="002B3F36" w:rsidRDefault="000F264B">
            <w:pPr>
              <w:jc w:val="center"/>
              <w:rPr>
                <w:rFonts w:ascii="Arial" w:hAnsi="Arial" w:cs="Arial"/>
                <w:sz w:val="20"/>
                <w:szCs w:val="20"/>
              </w:rPr>
            </w:pPr>
            <w:r w:rsidRPr="002B3F36">
              <w:rPr>
                <w:rFonts w:ascii="Arial" w:eastAsia="SimSun" w:hAnsi="Arial" w:cs="Arial"/>
                <w:b/>
                <w:bCs/>
                <w:sz w:val="20"/>
                <w:szCs w:val="20"/>
                <w:lang w:eastAsia="zh-CN"/>
              </w:rPr>
              <w:t>Functions of the Participant</w:t>
            </w:r>
          </w:p>
        </w:tc>
        <w:tc>
          <w:tcPr>
            <w:tcW w:w="24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25E81B" w14:textId="77777777" w:rsidR="00F61F8E" w:rsidRPr="002B3F36" w:rsidRDefault="000F264B">
            <w:pPr>
              <w:jc w:val="center"/>
              <w:rPr>
                <w:rFonts w:ascii="Arial" w:hAnsi="Arial" w:cs="Arial"/>
                <w:sz w:val="20"/>
                <w:szCs w:val="20"/>
              </w:rPr>
            </w:pPr>
            <w:r w:rsidRPr="002B3F36">
              <w:rPr>
                <w:rFonts w:ascii="Arial" w:eastAsia="SimSun" w:hAnsi="Arial" w:cs="Arial"/>
                <w:b/>
                <w:bCs/>
                <w:sz w:val="20"/>
                <w:szCs w:val="20"/>
                <w:lang w:eastAsia="zh-CN"/>
              </w:rPr>
              <w:t>Responsibility of the Participant</w:t>
            </w:r>
          </w:p>
        </w:tc>
      </w:tr>
      <w:tr w:rsidR="00F61F8E" w:rsidRPr="002B3F36" w14:paraId="72187B52"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08D6C790"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1</w:t>
            </w:r>
          </w:p>
        </w:tc>
        <w:tc>
          <w:tcPr>
            <w:tcW w:w="2245" w:type="dxa"/>
            <w:tcBorders>
              <w:top w:val="single" w:sz="4" w:space="0" w:color="auto"/>
              <w:left w:val="single" w:sz="4" w:space="0" w:color="auto"/>
              <w:bottom w:val="single" w:sz="4" w:space="0" w:color="auto"/>
              <w:right w:val="single" w:sz="4" w:space="0" w:color="auto"/>
            </w:tcBorders>
            <w:vAlign w:val="center"/>
          </w:tcPr>
          <w:p w14:paraId="32B28860"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Budget Program Administrator</w:t>
            </w:r>
          </w:p>
        </w:tc>
        <w:tc>
          <w:tcPr>
            <w:tcW w:w="2409" w:type="dxa"/>
            <w:tcBorders>
              <w:top w:val="single" w:sz="4" w:space="0" w:color="auto"/>
              <w:left w:val="single" w:sz="4" w:space="0" w:color="auto"/>
              <w:bottom w:val="single" w:sz="4" w:space="0" w:color="auto"/>
              <w:right w:val="single" w:sz="4" w:space="0" w:color="auto"/>
            </w:tcBorders>
            <w:vAlign w:val="center"/>
          </w:tcPr>
          <w:p w14:paraId="06269309"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Ministry of Transport of the Republic of Kazakhstan</w:t>
            </w:r>
          </w:p>
        </w:tc>
        <w:tc>
          <w:tcPr>
            <w:tcW w:w="2127" w:type="dxa"/>
            <w:tcBorders>
              <w:top w:val="single" w:sz="4" w:space="0" w:color="auto"/>
              <w:left w:val="single" w:sz="4" w:space="0" w:color="auto"/>
              <w:bottom w:val="single" w:sz="4" w:space="0" w:color="auto"/>
              <w:right w:val="single" w:sz="4" w:space="0" w:color="auto"/>
            </w:tcBorders>
            <w:vAlign w:val="center"/>
          </w:tcPr>
          <w:p w14:paraId="10E370AD"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Provides administrative support to the project</w:t>
            </w:r>
          </w:p>
        </w:tc>
        <w:tc>
          <w:tcPr>
            <w:tcW w:w="2462" w:type="dxa"/>
            <w:tcBorders>
              <w:top w:val="single" w:sz="4" w:space="0" w:color="auto"/>
              <w:left w:val="single" w:sz="4" w:space="0" w:color="auto"/>
              <w:bottom w:val="single" w:sz="4" w:space="0" w:color="auto"/>
              <w:right w:val="single" w:sz="4" w:space="0" w:color="auto"/>
            </w:tcBorders>
            <w:vAlign w:val="center"/>
          </w:tcPr>
          <w:p w14:paraId="00665D5D"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Responsible for compliance with the goals and objectives of state policy</w:t>
            </w:r>
          </w:p>
        </w:tc>
      </w:tr>
      <w:tr w:rsidR="00F61F8E" w:rsidRPr="002B3F36" w14:paraId="6D88480C"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303FDE05"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2</w:t>
            </w:r>
          </w:p>
        </w:tc>
        <w:tc>
          <w:tcPr>
            <w:tcW w:w="2245" w:type="dxa"/>
            <w:tcBorders>
              <w:top w:val="single" w:sz="4" w:space="0" w:color="auto"/>
              <w:left w:val="single" w:sz="4" w:space="0" w:color="auto"/>
              <w:bottom w:val="single" w:sz="4" w:space="0" w:color="auto"/>
              <w:right w:val="single" w:sz="4" w:space="0" w:color="auto"/>
            </w:tcBorders>
            <w:vAlign w:val="center"/>
          </w:tcPr>
          <w:p w14:paraId="1D3536F7"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Project Coordinator</w:t>
            </w:r>
          </w:p>
        </w:tc>
        <w:tc>
          <w:tcPr>
            <w:tcW w:w="2409" w:type="dxa"/>
            <w:tcBorders>
              <w:top w:val="single" w:sz="4" w:space="0" w:color="auto"/>
              <w:left w:val="single" w:sz="4" w:space="0" w:color="auto"/>
              <w:bottom w:val="single" w:sz="4" w:space="0" w:color="auto"/>
              <w:right w:val="single" w:sz="4" w:space="0" w:color="auto"/>
            </w:tcBorders>
            <w:vAlign w:val="center"/>
          </w:tcPr>
          <w:p w14:paraId="1D8A70B5"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Joint Stock Company “Samruk-Kazyna”</w:t>
            </w:r>
          </w:p>
        </w:tc>
        <w:tc>
          <w:tcPr>
            <w:tcW w:w="2127" w:type="dxa"/>
            <w:tcBorders>
              <w:top w:val="single" w:sz="4" w:space="0" w:color="auto"/>
              <w:left w:val="single" w:sz="4" w:space="0" w:color="auto"/>
              <w:bottom w:val="single" w:sz="4" w:space="0" w:color="auto"/>
              <w:right w:val="single" w:sz="4" w:space="0" w:color="auto"/>
            </w:tcBorders>
            <w:vAlign w:val="center"/>
          </w:tcPr>
          <w:p w14:paraId="63129476"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Control and monitoring of achievement of project objectives</w:t>
            </w:r>
          </w:p>
        </w:tc>
        <w:tc>
          <w:tcPr>
            <w:tcW w:w="2462" w:type="dxa"/>
            <w:tcBorders>
              <w:top w:val="single" w:sz="4" w:space="0" w:color="auto"/>
              <w:left w:val="single" w:sz="4" w:space="0" w:color="auto"/>
              <w:bottom w:val="single" w:sz="4" w:space="0" w:color="auto"/>
              <w:right w:val="single" w:sz="4" w:space="0" w:color="auto"/>
            </w:tcBorders>
            <w:vAlign w:val="center"/>
          </w:tcPr>
          <w:p w14:paraId="5AD6625C"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Supervision over project implementation</w:t>
            </w:r>
          </w:p>
        </w:tc>
      </w:tr>
      <w:tr w:rsidR="00F61F8E" w:rsidRPr="002B3F36" w14:paraId="6D310C8C"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2040F264"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3</w:t>
            </w:r>
          </w:p>
        </w:tc>
        <w:tc>
          <w:tcPr>
            <w:tcW w:w="2245" w:type="dxa"/>
            <w:tcBorders>
              <w:top w:val="single" w:sz="4" w:space="0" w:color="auto"/>
              <w:left w:val="single" w:sz="4" w:space="0" w:color="auto"/>
              <w:bottom w:val="single" w:sz="4" w:space="0" w:color="auto"/>
              <w:right w:val="single" w:sz="4" w:space="0" w:color="auto"/>
            </w:tcBorders>
            <w:vAlign w:val="center"/>
          </w:tcPr>
          <w:p w14:paraId="769FADE2"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Project Applicant</w:t>
            </w:r>
          </w:p>
        </w:tc>
        <w:tc>
          <w:tcPr>
            <w:tcW w:w="2409" w:type="dxa"/>
            <w:tcBorders>
              <w:top w:val="single" w:sz="4" w:space="0" w:color="auto"/>
              <w:left w:val="single" w:sz="4" w:space="0" w:color="auto"/>
              <w:bottom w:val="single" w:sz="4" w:space="0" w:color="auto"/>
              <w:right w:val="single" w:sz="4" w:space="0" w:color="auto"/>
            </w:tcBorders>
            <w:vAlign w:val="center"/>
          </w:tcPr>
          <w:p w14:paraId="66DEA2D9"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JSC “NC Kazakhstan Temir Zholy”</w:t>
            </w:r>
          </w:p>
        </w:tc>
        <w:tc>
          <w:tcPr>
            <w:tcW w:w="2127" w:type="dxa"/>
            <w:tcBorders>
              <w:top w:val="single" w:sz="4" w:space="0" w:color="auto"/>
              <w:left w:val="single" w:sz="4" w:space="0" w:color="auto"/>
              <w:bottom w:val="single" w:sz="4" w:space="0" w:color="auto"/>
              <w:right w:val="single" w:sz="4" w:space="0" w:color="auto"/>
            </w:tcBorders>
            <w:vAlign w:val="center"/>
          </w:tcPr>
          <w:p w14:paraId="061A4078"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Organization and implementation of the project. Execution of CIW, procurement of machinery and equipment</w:t>
            </w:r>
          </w:p>
        </w:tc>
        <w:tc>
          <w:tcPr>
            <w:tcW w:w="2462" w:type="dxa"/>
            <w:tcBorders>
              <w:top w:val="single" w:sz="4" w:space="0" w:color="auto"/>
              <w:left w:val="single" w:sz="4" w:space="0" w:color="auto"/>
              <w:bottom w:val="single" w:sz="4" w:space="0" w:color="auto"/>
              <w:right w:val="single" w:sz="4" w:space="0" w:color="auto"/>
            </w:tcBorders>
            <w:vAlign w:val="center"/>
          </w:tcPr>
          <w:p w14:paraId="3827E2B5"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Ensures project implementation</w:t>
            </w:r>
          </w:p>
        </w:tc>
      </w:tr>
      <w:tr w:rsidR="00F61F8E" w:rsidRPr="002B3F36" w14:paraId="51E2E392"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0DBB4C0D"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4</w:t>
            </w:r>
          </w:p>
        </w:tc>
        <w:tc>
          <w:tcPr>
            <w:tcW w:w="2245" w:type="dxa"/>
            <w:tcBorders>
              <w:top w:val="single" w:sz="4" w:space="0" w:color="auto"/>
              <w:left w:val="single" w:sz="4" w:space="0" w:color="auto"/>
              <w:bottom w:val="single" w:sz="4" w:space="0" w:color="auto"/>
              <w:right w:val="single" w:sz="4" w:space="0" w:color="auto"/>
            </w:tcBorders>
            <w:vAlign w:val="center"/>
          </w:tcPr>
          <w:p w14:paraId="6561457E"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Project Participant (Asset Holder in the Post-Investment Period)</w:t>
            </w:r>
          </w:p>
        </w:tc>
        <w:tc>
          <w:tcPr>
            <w:tcW w:w="2409" w:type="dxa"/>
            <w:tcBorders>
              <w:top w:val="single" w:sz="4" w:space="0" w:color="auto"/>
              <w:left w:val="single" w:sz="4" w:space="0" w:color="auto"/>
              <w:bottom w:val="single" w:sz="4" w:space="0" w:color="auto"/>
              <w:right w:val="single" w:sz="4" w:space="0" w:color="auto"/>
            </w:tcBorders>
            <w:vAlign w:val="center"/>
          </w:tcPr>
          <w:p w14:paraId="5FB3EA82"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JSC “NC Kazakhstan Temir Zholy”</w:t>
            </w:r>
          </w:p>
        </w:tc>
        <w:tc>
          <w:tcPr>
            <w:tcW w:w="2127" w:type="dxa"/>
            <w:tcBorders>
              <w:top w:val="single" w:sz="4" w:space="0" w:color="auto"/>
              <w:left w:val="single" w:sz="4" w:space="0" w:color="auto"/>
              <w:bottom w:val="single" w:sz="4" w:space="0" w:color="auto"/>
              <w:right w:val="single" w:sz="4" w:space="0" w:color="auto"/>
            </w:tcBorders>
            <w:vAlign w:val="center"/>
          </w:tcPr>
          <w:p w14:paraId="1438611C"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Asset holder</w:t>
            </w:r>
          </w:p>
        </w:tc>
        <w:tc>
          <w:tcPr>
            <w:tcW w:w="2462" w:type="dxa"/>
            <w:tcBorders>
              <w:top w:val="single" w:sz="4" w:space="0" w:color="auto"/>
              <w:left w:val="single" w:sz="4" w:space="0" w:color="auto"/>
              <w:bottom w:val="single" w:sz="4" w:space="0" w:color="auto"/>
              <w:right w:val="single" w:sz="4" w:space="0" w:color="auto"/>
            </w:tcBorders>
            <w:vAlign w:val="center"/>
          </w:tcPr>
          <w:p w14:paraId="51F22784"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Responsible for organization</w:t>
            </w:r>
          </w:p>
        </w:tc>
      </w:tr>
      <w:tr w:rsidR="00F61F8E" w:rsidRPr="002B3F36" w14:paraId="43792706"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0841321B"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5</w:t>
            </w:r>
          </w:p>
        </w:tc>
        <w:tc>
          <w:tcPr>
            <w:tcW w:w="2245" w:type="dxa"/>
            <w:tcBorders>
              <w:top w:val="single" w:sz="4" w:space="0" w:color="auto"/>
              <w:left w:val="single" w:sz="4" w:space="0" w:color="auto"/>
              <w:bottom w:val="single" w:sz="4" w:space="0" w:color="auto"/>
              <w:right w:val="single" w:sz="4" w:space="0" w:color="auto"/>
            </w:tcBorders>
            <w:vAlign w:val="center"/>
          </w:tcPr>
          <w:p w14:paraId="482BF606"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Project Participant (Operating Organization)</w:t>
            </w:r>
          </w:p>
        </w:tc>
        <w:tc>
          <w:tcPr>
            <w:tcW w:w="2409" w:type="dxa"/>
            <w:tcBorders>
              <w:top w:val="single" w:sz="4" w:space="0" w:color="auto"/>
              <w:left w:val="single" w:sz="4" w:space="0" w:color="auto"/>
              <w:bottom w:val="single" w:sz="4" w:space="0" w:color="auto"/>
              <w:right w:val="single" w:sz="4" w:space="0" w:color="auto"/>
            </w:tcBorders>
            <w:vAlign w:val="center"/>
          </w:tcPr>
          <w:p w14:paraId="598A1134"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JSC “NC Kazakhstan Temir Zholy”</w:t>
            </w:r>
          </w:p>
        </w:tc>
        <w:tc>
          <w:tcPr>
            <w:tcW w:w="2127" w:type="dxa"/>
            <w:tcBorders>
              <w:top w:val="single" w:sz="4" w:space="0" w:color="auto"/>
              <w:left w:val="single" w:sz="4" w:space="0" w:color="auto"/>
              <w:bottom w:val="single" w:sz="4" w:space="0" w:color="auto"/>
              <w:right w:val="single" w:sz="4" w:space="0" w:color="auto"/>
            </w:tcBorders>
            <w:vAlign w:val="center"/>
          </w:tcPr>
          <w:p w14:paraId="20C2ED9B"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Subsequent operation of the facility</w:t>
            </w:r>
          </w:p>
        </w:tc>
        <w:tc>
          <w:tcPr>
            <w:tcW w:w="2462" w:type="dxa"/>
            <w:tcBorders>
              <w:top w:val="single" w:sz="4" w:space="0" w:color="auto"/>
              <w:left w:val="single" w:sz="4" w:space="0" w:color="auto"/>
              <w:bottom w:val="single" w:sz="4" w:space="0" w:color="auto"/>
              <w:right w:val="single" w:sz="4" w:space="0" w:color="auto"/>
            </w:tcBorders>
            <w:vAlign w:val="center"/>
          </w:tcPr>
          <w:p w14:paraId="7122147E" w14:textId="77777777" w:rsidR="00F61F8E" w:rsidRPr="002B3F36" w:rsidRDefault="000F264B">
            <w:pPr>
              <w:rPr>
                <w:rFonts w:ascii="Arial" w:hAnsi="Arial" w:cs="Arial"/>
                <w:sz w:val="20"/>
                <w:szCs w:val="20"/>
              </w:rPr>
            </w:pPr>
            <w:r w:rsidRPr="002B3F36">
              <w:rPr>
                <w:rFonts w:ascii="Arial" w:eastAsia="SimSun" w:hAnsi="Arial" w:cs="Arial"/>
                <w:sz w:val="20"/>
                <w:szCs w:val="20"/>
                <w:lang w:eastAsia="zh-CN"/>
              </w:rPr>
              <w:t>Carries out operation, maintenance, and repair of the section</w:t>
            </w:r>
          </w:p>
        </w:tc>
      </w:tr>
      <w:tr w:rsidR="00F61F8E" w:rsidRPr="002B3F36" w14:paraId="2A1589E7"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19DAF7C2" w14:textId="77777777" w:rsidR="00F61F8E" w:rsidRPr="002B3F36" w:rsidRDefault="000F264B">
            <w:pPr>
              <w:rPr>
                <w:rFonts w:ascii="Arial" w:eastAsia="SimSun" w:hAnsi="Arial" w:cs="Arial"/>
                <w:sz w:val="20"/>
                <w:szCs w:val="20"/>
                <w:lang w:eastAsia="zh-CN"/>
              </w:rPr>
            </w:pPr>
            <w:r w:rsidRPr="002B3F36">
              <w:rPr>
                <w:rFonts w:ascii="Arial" w:eastAsia="SimSun" w:hAnsi="Arial" w:cs="Arial"/>
                <w:sz w:val="20"/>
                <w:szCs w:val="20"/>
                <w:lang w:eastAsia="zh-CN"/>
              </w:rPr>
              <w:t>6</w:t>
            </w:r>
          </w:p>
        </w:tc>
        <w:tc>
          <w:tcPr>
            <w:tcW w:w="2245" w:type="dxa"/>
            <w:tcBorders>
              <w:top w:val="single" w:sz="4" w:space="0" w:color="auto"/>
              <w:left w:val="single" w:sz="4" w:space="0" w:color="auto"/>
              <w:bottom w:val="single" w:sz="4" w:space="0" w:color="auto"/>
              <w:right w:val="single" w:sz="4" w:space="0" w:color="auto"/>
            </w:tcBorders>
            <w:vAlign w:val="center"/>
          </w:tcPr>
          <w:p w14:paraId="005F9A82" w14:textId="77777777" w:rsidR="00F61F8E" w:rsidRPr="002B3F36" w:rsidRDefault="000F264B">
            <w:pPr>
              <w:rPr>
                <w:rFonts w:ascii="Arial" w:eastAsia="SimSun" w:hAnsi="Arial" w:cs="Arial"/>
                <w:sz w:val="20"/>
                <w:szCs w:val="20"/>
                <w:lang w:eastAsia="zh-CN"/>
              </w:rPr>
            </w:pPr>
            <w:r w:rsidRPr="002B3F36">
              <w:rPr>
                <w:rFonts w:ascii="Arial" w:eastAsia="SimSun" w:hAnsi="Arial" w:cs="Arial"/>
                <w:sz w:val="20"/>
                <w:szCs w:val="20"/>
                <w:lang w:eastAsia="zh-CN"/>
              </w:rPr>
              <w:t>Suppliers of Services, Machinery, and Equipment</w:t>
            </w:r>
          </w:p>
        </w:tc>
        <w:tc>
          <w:tcPr>
            <w:tcW w:w="2409" w:type="dxa"/>
            <w:tcBorders>
              <w:top w:val="single" w:sz="4" w:space="0" w:color="auto"/>
              <w:left w:val="single" w:sz="4" w:space="0" w:color="auto"/>
              <w:bottom w:val="single" w:sz="4" w:space="0" w:color="auto"/>
              <w:right w:val="single" w:sz="4" w:space="0" w:color="auto"/>
            </w:tcBorders>
            <w:vAlign w:val="center"/>
          </w:tcPr>
          <w:p w14:paraId="6EB71636" w14:textId="77777777" w:rsidR="00F61F8E" w:rsidRPr="002B3F36" w:rsidRDefault="000F264B">
            <w:pPr>
              <w:rPr>
                <w:rFonts w:ascii="Arial" w:eastAsia="SimSun" w:hAnsi="Arial" w:cs="Arial"/>
                <w:sz w:val="20"/>
                <w:szCs w:val="20"/>
                <w:lang w:eastAsia="zh-CN"/>
              </w:rPr>
            </w:pPr>
            <w:r w:rsidRPr="002B3F36">
              <w:rPr>
                <w:rFonts w:ascii="Arial" w:eastAsia="SimSun" w:hAnsi="Arial" w:cs="Arial"/>
                <w:sz w:val="20"/>
                <w:szCs w:val="20"/>
                <w:lang w:eastAsia="zh-CN"/>
              </w:rPr>
              <w:t>To be selected on a competitive basis</w:t>
            </w:r>
          </w:p>
        </w:tc>
        <w:tc>
          <w:tcPr>
            <w:tcW w:w="2127" w:type="dxa"/>
            <w:tcBorders>
              <w:top w:val="single" w:sz="4" w:space="0" w:color="auto"/>
              <w:left w:val="single" w:sz="4" w:space="0" w:color="auto"/>
              <w:bottom w:val="single" w:sz="4" w:space="0" w:color="auto"/>
              <w:right w:val="single" w:sz="4" w:space="0" w:color="auto"/>
            </w:tcBorders>
            <w:vAlign w:val="center"/>
          </w:tcPr>
          <w:p w14:paraId="00DBFD2C" w14:textId="77777777" w:rsidR="00F61F8E" w:rsidRPr="002B3F36" w:rsidRDefault="000F264B">
            <w:pPr>
              <w:rPr>
                <w:rFonts w:ascii="Arial" w:eastAsia="SimSun" w:hAnsi="Arial" w:cs="Arial"/>
                <w:sz w:val="20"/>
                <w:szCs w:val="20"/>
                <w:lang w:eastAsia="zh-CN"/>
              </w:rPr>
            </w:pPr>
            <w:r w:rsidRPr="002B3F36">
              <w:rPr>
                <w:rFonts w:ascii="Arial" w:eastAsia="SimSun" w:hAnsi="Arial" w:cs="Arial"/>
                <w:sz w:val="20"/>
                <w:szCs w:val="20"/>
                <w:lang w:eastAsia="zh-CN"/>
              </w:rPr>
              <w:t>Supply and installation of equipment, provision of CIW services</w:t>
            </w:r>
          </w:p>
        </w:tc>
        <w:tc>
          <w:tcPr>
            <w:tcW w:w="2462" w:type="dxa"/>
            <w:tcBorders>
              <w:top w:val="single" w:sz="4" w:space="0" w:color="auto"/>
              <w:left w:val="single" w:sz="4" w:space="0" w:color="auto"/>
              <w:bottom w:val="single" w:sz="4" w:space="0" w:color="auto"/>
              <w:right w:val="single" w:sz="4" w:space="0" w:color="auto"/>
            </w:tcBorders>
            <w:vAlign w:val="center"/>
          </w:tcPr>
          <w:p w14:paraId="128C43E6" w14:textId="77777777" w:rsidR="00F61F8E" w:rsidRPr="002B3F36" w:rsidRDefault="000F264B">
            <w:pPr>
              <w:rPr>
                <w:rFonts w:ascii="Arial" w:eastAsia="SimSun" w:hAnsi="Arial" w:cs="Arial"/>
                <w:sz w:val="20"/>
                <w:szCs w:val="20"/>
                <w:lang w:eastAsia="zh-CN"/>
              </w:rPr>
            </w:pPr>
            <w:r w:rsidRPr="002B3F36">
              <w:rPr>
                <w:rFonts w:ascii="Arial" w:eastAsia="SimSun" w:hAnsi="Arial" w:cs="Arial"/>
                <w:sz w:val="20"/>
                <w:szCs w:val="20"/>
                <w:lang w:eastAsia="zh-CN"/>
              </w:rPr>
              <w:t>Responsible for timely and quality delivery of machinery, equipment, and CIW services</w:t>
            </w:r>
          </w:p>
        </w:tc>
      </w:tr>
    </w:tbl>
    <w:p w14:paraId="17581C81" w14:textId="77777777" w:rsidR="00F61F8E" w:rsidRPr="002B3F36" w:rsidRDefault="00F61F8E">
      <w:pPr>
        <w:pStyle w:val="ReportBodyTextNogap"/>
        <w:rPr>
          <w:b/>
          <w:u w:val="single"/>
        </w:rPr>
      </w:pPr>
    </w:p>
    <w:p w14:paraId="2A4A37D3" w14:textId="0E414AE9" w:rsidR="00F61F8E" w:rsidRPr="002B3F36" w:rsidRDefault="000F264B" w:rsidP="00DC2DBA">
      <w:pPr>
        <w:pStyle w:val="ReportBodyPar"/>
      </w:pPr>
      <w:r w:rsidRPr="002B3F36">
        <w:t>In addition, the following have major roles in the project execution and construction:</w:t>
      </w:r>
    </w:p>
    <w:p w14:paraId="7C4C6943" w14:textId="77777777" w:rsidR="00F61F8E" w:rsidRPr="002B3F36" w:rsidRDefault="000F264B" w:rsidP="00DF4A4C">
      <w:pPr>
        <w:pStyle w:val="DiaList12"/>
        <w:rPr>
          <w:b w:val="0"/>
        </w:rPr>
      </w:pPr>
      <w:r w:rsidRPr="002B3F36">
        <w:t>Integra</w:t>
      </w:r>
      <w:r w:rsidRPr="002B3F36">
        <w:rPr>
          <w:spacing w:val="-8"/>
        </w:rPr>
        <w:t xml:space="preserve"> </w:t>
      </w:r>
      <w:r w:rsidRPr="002B3F36">
        <w:t>Construction</w:t>
      </w:r>
      <w:r w:rsidRPr="002B3F36">
        <w:rPr>
          <w:spacing w:val="-3"/>
        </w:rPr>
        <w:t xml:space="preserve"> </w:t>
      </w:r>
      <w:r w:rsidRPr="002B3F36">
        <w:t>KZ</w:t>
      </w:r>
      <w:r w:rsidRPr="002B3F36">
        <w:rPr>
          <w:spacing w:val="-6"/>
        </w:rPr>
        <w:t xml:space="preserve"> </w:t>
      </w:r>
      <w:r w:rsidRPr="002B3F36">
        <w:t>LLP</w:t>
      </w:r>
      <w:r w:rsidRPr="002B3F36">
        <w:rPr>
          <w:spacing w:val="-6"/>
        </w:rPr>
        <w:t xml:space="preserve"> </w:t>
      </w:r>
      <w:r w:rsidRPr="002B3F36">
        <w:t>(“Integra”)</w:t>
      </w:r>
      <w:r w:rsidRPr="002B3F36">
        <w:rPr>
          <w:b w:val="0"/>
        </w:rPr>
        <w:t xml:space="preserve"> is</w:t>
      </w:r>
      <w:r w:rsidRPr="002B3F36">
        <w:rPr>
          <w:b w:val="0"/>
          <w:spacing w:val="-5"/>
        </w:rPr>
        <w:t xml:space="preserve"> </w:t>
      </w:r>
      <w:r w:rsidRPr="002B3F36">
        <w:rPr>
          <w:b w:val="0"/>
        </w:rPr>
        <w:t>the</w:t>
      </w:r>
      <w:r w:rsidRPr="002B3F36">
        <w:rPr>
          <w:b w:val="0"/>
          <w:spacing w:val="-7"/>
        </w:rPr>
        <w:t xml:space="preserve"> </w:t>
      </w:r>
      <w:r w:rsidRPr="002B3F36">
        <w:rPr>
          <w:b w:val="0"/>
        </w:rPr>
        <w:t>appointed</w:t>
      </w:r>
      <w:r w:rsidRPr="002B3F36">
        <w:rPr>
          <w:b w:val="0"/>
          <w:spacing w:val="-4"/>
        </w:rPr>
        <w:t xml:space="preserve"> </w:t>
      </w:r>
      <w:r w:rsidRPr="002B3F36">
        <w:rPr>
          <w:b w:val="0"/>
        </w:rPr>
        <w:t>Engineering</w:t>
      </w:r>
      <w:r w:rsidRPr="002B3F36">
        <w:rPr>
          <w:b w:val="0"/>
          <w:spacing w:val="-5"/>
        </w:rPr>
        <w:t xml:space="preserve"> </w:t>
      </w:r>
      <w:r w:rsidRPr="002B3F36">
        <w:rPr>
          <w:b w:val="0"/>
        </w:rPr>
        <w:t>Procurement and Construction (EPC) Contractor responsible for the construction and project management.</w:t>
      </w:r>
      <w:r w:rsidRPr="002B3F36">
        <w:rPr>
          <w:b w:val="0"/>
          <w:spacing w:val="-2"/>
        </w:rPr>
        <w:t xml:space="preserve"> </w:t>
      </w:r>
      <w:r w:rsidRPr="002B3F36">
        <w:rPr>
          <w:b w:val="0"/>
        </w:rPr>
        <w:t>Integra</w:t>
      </w:r>
      <w:r w:rsidRPr="002B3F36">
        <w:rPr>
          <w:b w:val="0"/>
          <w:spacing w:val="-1"/>
        </w:rPr>
        <w:t xml:space="preserve"> </w:t>
      </w:r>
      <w:r w:rsidRPr="002B3F36">
        <w:rPr>
          <w:b w:val="0"/>
        </w:rPr>
        <w:t>is responsible for</w:t>
      </w:r>
      <w:r w:rsidRPr="002B3F36">
        <w:rPr>
          <w:b w:val="0"/>
          <w:spacing w:val="-2"/>
        </w:rPr>
        <w:t xml:space="preserve"> </w:t>
      </w:r>
      <w:r w:rsidRPr="002B3F36">
        <w:rPr>
          <w:b w:val="0"/>
        </w:rPr>
        <w:t>the earthworks and other subcontractor</w:t>
      </w:r>
      <w:r w:rsidRPr="002B3F36">
        <w:rPr>
          <w:b w:val="0"/>
          <w:spacing w:val="-1"/>
        </w:rPr>
        <w:t xml:space="preserve"> </w:t>
      </w:r>
      <w:r w:rsidRPr="002B3F36">
        <w:rPr>
          <w:b w:val="0"/>
        </w:rPr>
        <w:t>works.</w:t>
      </w:r>
    </w:p>
    <w:p w14:paraId="1A6F1C1A" w14:textId="77777777" w:rsidR="00F61F8E" w:rsidRPr="002B3F36" w:rsidRDefault="000F264B" w:rsidP="00DF4A4C">
      <w:pPr>
        <w:pStyle w:val="DiaList12"/>
        <w:rPr>
          <w:b w:val="0"/>
        </w:rPr>
      </w:pPr>
      <w:r w:rsidRPr="002B3F36">
        <w:t>Poligram</w:t>
      </w:r>
      <w:r w:rsidRPr="002B3F36">
        <w:rPr>
          <w:spacing w:val="-6"/>
        </w:rPr>
        <w:t xml:space="preserve"> </w:t>
      </w:r>
      <w:r w:rsidRPr="002B3F36">
        <w:t>LLP</w:t>
      </w:r>
      <w:r w:rsidRPr="002B3F36">
        <w:rPr>
          <w:spacing w:val="-5"/>
        </w:rPr>
        <w:t xml:space="preserve"> </w:t>
      </w:r>
      <w:r w:rsidRPr="002B3F36">
        <w:t>(“Poligram”)</w:t>
      </w:r>
      <w:r w:rsidRPr="002B3F36">
        <w:rPr>
          <w:b w:val="0"/>
          <w:spacing w:val="-3"/>
        </w:rPr>
        <w:t xml:space="preserve"> </w:t>
      </w:r>
      <w:r w:rsidRPr="002B3F36">
        <w:rPr>
          <w:b w:val="0"/>
        </w:rPr>
        <w:t>is</w:t>
      </w:r>
      <w:r w:rsidRPr="002B3F36">
        <w:rPr>
          <w:b w:val="0"/>
          <w:spacing w:val="-7"/>
        </w:rPr>
        <w:t xml:space="preserve"> </w:t>
      </w:r>
      <w:r w:rsidRPr="002B3F36">
        <w:rPr>
          <w:b w:val="0"/>
        </w:rPr>
        <w:t>the</w:t>
      </w:r>
      <w:r w:rsidRPr="002B3F36">
        <w:rPr>
          <w:b w:val="0"/>
          <w:spacing w:val="-5"/>
        </w:rPr>
        <w:t xml:space="preserve"> </w:t>
      </w:r>
      <w:r w:rsidRPr="002B3F36">
        <w:rPr>
          <w:b w:val="0"/>
        </w:rPr>
        <w:t>appointed</w:t>
      </w:r>
      <w:r w:rsidRPr="002B3F36">
        <w:rPr>
          <w:b w:val="0"/>
          <w:spacing w:val="-5"/>
        </w:rPr>
        <w:t xml:space="preserve"> </w:t>
      </w:r>
      <w:r w:rsidRPr="002B3F36">
        <w:rPr>
          <w:b w:val="0"/>
        </w:rPr>
        <w:t>design</w:t>
      </w:r>
      <w:r w:rsidRPr="002B3F36">
        <w:rPr>
          <w:b w:val="0"/>
          <w:spacing w:val="-3"/>
        </w:rPr>
        <w:t xml:space="preserve"> </w:t>
      </w:r>
      <w:r w:rsidRPr="002B3F36">
        <w:rPr>
          <w:b w:val="0"/>
        </w:rPr>
        <w:t>engineer</w:t>
      </w:r>
      <w:r w:rsidRPr="002B3F36">
        <w:rPr>
          <w:b w:val="0"/>
          <w:spacing w:val="-7"/>
        </w:rPr>
        <w:t xml:space="preserve"> </w:t>
      </w:r>
      <w:r w:rsidRPr="002B3F36">
        <w:rPr>
          <w:b w:val="0"/>
        </w:rPr>
        <w:t>for</w:t>
      </w:r>
      <w:r w:rsidRPr="002B3F36">
        <w:rPr>
          <w:b w:val="0"/>
          <w:spacing w:val="-4"/>
        </w:rPr>
        <w:t xml:space="preserve"> </w:t>
      </w:r>
      <w:r w:rsidRPr="002B3F36">
        <w:rPr>
          <w:b w:val="0"/>
        </w:rPr>
        <w:t>the</w:t>
      </w:r>
      <w:r w:rsidRPr="002B3F36">
        <w:rPr>
          <w:b w:val="0"/>
          <w:spacing w:val="-7"/>
        </w:rPr>
        <w:t xml:space="preserve"> </w:t>
      </w:r>
      <w:r w:rsidRPr="002B3F36">
        <w:rPr>
          <w:b w:val="0"/>
        </w:rPr>
        <w:t>Project.</w:t>
      </w:r>
    </w:p>
    <w:p w14:paraId="3395CAC4" w14:textId="411AA516" w:rsidR="00F61F8E" w:rsidRPr="002B3F36" w:rsidRDefault="000F264B" w:rsidP="00DF4A4C">
      <w:pPr>
        <w:pStyle w:val="DiaList12"/>
        <w:rPr>
          <w:b w:val="0"/>
        </w:rPr>
      </w:pPr>
      <w:r w:rsidRPr="002B3F36">
        <w:t>Committee for Environmental Regulation and Control (CERC), Ministry of Ecology and</w:t>
      </w:r>
      <w:r w:rsidRPr="002B3F36">
        <w:rPr>
          <w:spacing w:val="-4"/>
        </w:rPr>
        <w:t xml:space="preserve"> </w:t>
      </w:r>
      <w:r w:rsidRPr="002B3F36">
        <w:t>Natural</w:t>
      </w:r>
      <w:r w:rsidRPr="002B3F36">
        <w:rPr>
          <w:spacing w:val="-4"/>
        </w:rPr>
        <w:t xml:space="preserve"> </w:t>
      </w:r>
      <w:r w:rsidRPr="002B3F36">
        <w:t>Resources</w:t>
      </w:r>
      <w:r w:rsidRPr="002B3F36">
        <w:rPr>
          <w:b w:val="0"/>
          <w:spacing w:val="-6"/>
        </w:rPr>
        <w:t xml:space="preserve"> </w:t>
      </w:r>
      <w:r w:rsidRPr="002B3F36">
        <w:rPr>
          <w:b w:val="0"/>
        </w:rPr>
        <w:t>of</w:t>
      </w:r>
      <w:r w:rsidRPr="002B3F36">
        <w:rPr>
          <w:b w:val="0"/>
          <w:spacing w:val="-4"/>
        </w:rPr>
        <w:t xml:space="preserve"> </w:t>
      </w:r>
      <w:r w:rsidRPr="002B3F36">
        <w:rPr>
          <w:b w:val="0"/>
        </w:rPr>
        <w:t>the</w:t>
      </w:r>
      <w:r w:rsidRPr="002B3F36">
        <w:rPr>
          <w:b w:val="0"/>
          <w:spacing w:val="-6"/>
        </w:rPr>
        <w:t xml:space="preserve"> </w:t>
      </w:r>
      <w:r w:rsidRPr="002B3F36">
        <w:rPr>
          <w:b w:val="0"/>
        </w:rPr>
        <w:t>Republic</w:t>
      </w:r>
      <w:r w:rsidRPr="002B3F36">
        <w:rPr>
          <w:b w:val="0"/>
          <w:spacing w:val="-3"/>
        </w:rPr>
        <w:t xml:space="preserve"> </w:t>
      </w:r>
      <w:r w:rsidRPr="002B3F36">
        <w:rPr>
          <w:b w:val="0"/>
        </w:rPr>
        <w:t>of</w:t>
      </w:r>
      <w:r w:rsidRPr="002B3F36">
        <w:rPr>
          <w:b w:val="0"/>
          <w:spacing w:val="-4"/>
        </w:rPr>
        <w:t xml:space="preserve"> </w:t>
      </w:r>
      <w:r w:rsidRPr="002B3F36">
        <w:rPr>
          <w:b w:val="0"/>
        </w:rPr>
        <w:t>Kazakhstan is</w:t>
      </w:r>
      <w:r w:rsidRPr="002B3F36">
        <w:rPr>
          <w:b w:val="0"/>
          <w:spacing w:val="-6"/>
        </w:rPr>
        <w:t xml:space="preserve"> </w:t>
      </w:r>
      <w:r w:rsidRPr="002B3F36">
        <w:rPr>
          <w:b w:val="0"/>
        </w:rPr>
        <w:t>responsible</w:t>
      </w:r>
      <w:r w:rsidRPr="002B3F36">
        <w:rPr>
          <w:b w:val="0"/>
          <w:spacing w:val="-6"/>
        </w:rPr>
        <w:t xml:space="preserve"> </w:t>
      </w:r>
      <w:r w:rsidRPr="002B3F36">
        <w:rPr>
          <w:b w:val="0"/>
        </w:rPr>
        <w:t>for</w:t>
      </w:r>
      <w:r w:rsidRPr="002B3F36">
        <w:rPr>
          <w:b w:val="0"/>
          <w:spacing w:val="-3"/>
        </w:rPr>
        <w:t xml:space="preserve"> </w:t>
      </w:r>
      <w:r w:rsidRPr="002B3F36">
        <w:rPr>
          <w:b w:val="0"/>
        </w:rPr>
        <w:t>approvals</w:t>
      </w:r>
      <w:r w:rsidRPr="002B3F36">
        <w:rPr>
          <w:b w:val="0"/>
          <w:spacing w:val="-6"/>
        </w:rPr>
        <w:t xml:space="preserve"> </w:t>
      </w:r>
      <w:r w:rsidRPr="002B3F36">
        <w:rPr>
          <w:b w:val="0"/>
        </w:rPr>
        <w:t>and permits</w:t>
      </w:r>
      <w:r w:rsidRPr="002B3F36">
        <w:rPr>
          <w:b w:val="0"/>
          <w:spacing w:val="-4"/>
        </w:rPr>
        <w:t xml:space="preserve"> </w:t>
      </w:r>
      <w:r w:rsidRPr="002B3F36">
        <w:rPr>
          <w:b w:val="0"/>
        </w:rPr>
        <w:t>related</w:t>
      </w:r>
      <w:r w:rsidRPr="002B3F36">
        <w:rPr>
          <w:b w:val="0"/>
          <w:spacing w:val="-4"/>
        </w:rPr>
        <w:t xml:space="preserve"> </w:t>
      </w:r>
      <w:r w:rsidRPr="002B3F36">
        <w:rPr>
          <w:b w:val="0"/>
        </w:rPr>
        <w:t>to</w:t>
      </w:r>
      <w:r w:rsidRPr="002B3F36">
        <w:rPr>
          <w:b w:val="0"/>
          <w:spacing w:val="-6"/>
        </w:rPr>
        <w:t xml:space="preserve"> </w:t>
      </w:r>
      <w:r w:rsidRPr="002B3F36">
        <w:rPr>
          <w:b w:val="0"/>
        </w:rPr>
        <w:t>the</w:t>
      </w:r>
      <w:r w:rsidRPr="002B3F36">
        <w:rPr>
          <w:b w:val="0"/>
          <w:spacing w:val="-4"/>
        </w:rPr>
        <w:t xml:space="preserve"> </w:t>
      </w:r>
      <w:r w:rsidRPr="002B3F36">
        <w:rPr>
          <w:b w:val="0"/>
        </w:rPr>
        <w:t>National</w:t>
      </w:r>
      <w:r w:rsidRPr="002B3F36">
        <w:rPr>
          <w:b w:val="0"/>
          <w:spacing w:val="-4"/>
        </w:rPr>
        <w:t xml:space="preserve"> </w:t>
      </w:r>
      <w:r w:rsidRPr="002B3F36">
        <w:rPr>
          <w:b w:val="0"/>
        </w:rPr>
        <w:t>EIA.</w:t>
      </w:r>
      <w:r w:rsidRPr="002B3F36">
        <w:rPr>
          <w:b w:val="0"/>
          <w:spacing w:val="-4"/>
        </w:rPr>
        <w:t xml:space="preserve"> </w:t>
      </w:r>
      <w:r w:rsidRPr="002B3F36">
        <w:rPr>
          <w:b w:val="0"/>
        </w:rPr>
        <w:t>CERC</w:t>
      </w:r>
      <w:r w:rsidRPr="002B3F36">
        <w:rPr>
          <w:b w:val="0"/>
          <w:spacing w:val="-5"/>
        </w:rPr>
        <w:t xml:space="preserve"> </w:t>
      </w:r>
      <w:r w:rsidRPr="002B3F36">
        <w:rPr>
          <w:b w:val="0"/>
        </w:rPr>
        <w:t>is</w:t>
      </w:r>
      <w:r w:rsidRPr="002B3F36">
        <w:rPr>
          <w:b w:val="0"/>
          <w:spacing w:val="-4"/>
        </w:rPr>
        <w:t xml:space="preserve"> </w:t>
      </w:r>
      <w:r w:rsidRPr="002B3F36">
        <w:rPr>
          <w:b w:val="0"/>
        </w:rPr>
        <w:t>responsible</w:t>
      </w:r>
      <w:r w:rsidRPr="002B3F36">
        <w:rPr>
          <w:b w:val="0"/>
          <w:spacing w:val="-4"/>
        </w:rPr>
        <w:t xml:space="preserve"> </w:t>
      </w:r>
      <w:r w:rsidRPr="002B3F36">
        <w:rPr>
          <w:b w:val="0"/>
        </w:rPr>
        <w:t>for</w:t>
      </w:r>
      <w:r w:rsidRPr="002B3F36">
        <w:rPr>
          <w:b w:val="0"/>
          <w:spacing w:val="-4"/>
        </w:rPr>
        <w:t xml:space="preserve"> </w:t>
      </w:r>
      <w:r w:rsidRPr="002B3F36">
        <w:rPr>
          <w:b w:val="0"/>
        </w:rPr>
        <w:t>enforcing</w:t>
      </w:r>
      <w:r w:rsidRPr="002B3F36">
        <w:rPr>
          <w:b w:val="0"/>
          <w:spacing w:val="-4"/>
        </w:rPr>
        <w:t xml:space="preserve"> </w:t>
      </w:r>
      <w:r w:rsidRPr="002B3F36">
        <w:rPr>
          <w:b w:val="0"/>
        </w:rPr>
        <w:t>environmental</w:t>
      </w:r>
      <w:r w:rsidRPr="002B3F36">
        <w:rPr>
          <w:b w:val="0"/>
          <w:spacing w:val="-4"/>
        </w:rPr>
        <w:t xml:space="preserve"> </w:t>
      </w:r>
      <w:r w:rsidRPr="002B3F36">
        <w:rPr>
          <w:b w:val="0"/>
        </w:rPr>
        <w:t>laws, issuing permits, and ensuring compliance with environmental standards.</w:t>
      </w:r>
    </w:p>
    <w:p w14:paraId="14909952" w14:textId="77777777" w:rsidR="00F61F8E" w:rsidRPr="002B3F36" w:rsidRDefault="000F264B" w:rsidP="00DF4A4C">
      <w:pPr>
        <w:pStyle w:val="DiaList12"/>
        <w:rPr>
          <w:b w:val="0"/>
        </w:rPr>
      </w:pPr>
      <w:r w:rsidRPr="002B3F36">
        <w:t>Balkhash-Alakol Basin Inspectorate for Use and Protection of Water Resources, Ministry</w:t>
      </w:r>
      <w:r w:rsidRPr="002B3F36">
        <w:rPr>
          <w:spacing w:val="-3"/>
        </w:rPr>
        <w:t xml:space="preserve"> </w:t>
      </w:r>
      <w:r w:rsidRPr="002B3F36">
        <w:t>of</w:t>
      </w:r>
      <w:r w:rsidRPr="002B3F36">
        <w:rPr>
          <w:spacing w:val="-3"/>
        </w:rPr>
        <w:t xml:space="preserve"> </w:t>
      </w:r>
      <w:r w:rsidRPr="002B3F36">
        <w:t>Ecology,</w:t>
      </w:r>
      <w:r w:rsidRPr="002B3F36">
        <w:rPr>
          <w:spacing w:val="-3"/>
        </w:rPr>
        <w:t xml:space="preserve"> </w:t>
      </w:r>
      <w:r w:rsidRPr="002B3F36">
        <w:t>Geology</w:t>
      </w:r>
      <w:r w:rsidRPr="002B3F36">
        <w:rPr>
          <w:spacing w:val="-3"/>
        </w:rPr>
        <w:t xml:space="preserve"> </w:t>
      </w:r>
      <w:r w:rsidRPr="002B3F36">
        <w:t>and</w:t>
      </w:r>
      <w:r w:rsidRPr="002B3F36">
        <w:rPr>
          <w:spacing w:val="-3"/>
        </w:rPr>
        <w:t xml:space="preserve"> </w:t>
      </w:r>
      <w:r w:rsidRPr="002B3F36">
        <w:t>Natural</w:t>
      </w:r>
      <w:r w:rsidRPr="002B3F36">
        <w:rPr>
          <w:spacing w:val="-3"/>
        </w:rPr>
        <w:t xml:space="preserve"> </w:t>
      </w:r>
      <w:r w:rsidRPr="002B3F36">
        <w:t>Resources</w:t>
      </w:r>
      <w:r w:rsidRPr="002B3F36">
        <w:rPr>
          <w:spacing w:val="-5"/>
        </w:rPr>
        <w:t xml:space="preserve"> </w:t>
      </w:r>
      <w:r w:rsidRPr="002B3F36">
        <w:t>of</w:t>
      </w:r>
      <w:r w:rsidRPr="002B3F36">
        <w:rPr>
          <w:spacing w:val="-5"/>
        </w:rPr>
        <w:t xml:space="preserve"> </w:t>
      </w:r>
      <w:r w:rsidRPr="002B3F36">
        <w:t>the</w:t>
      </w:r>
      <w:r w:rsidRPr="002B3F36">
        <w:rPr>
          <w:spacing w:val="-5"/>
        </w:rPr>
        <w:t xml:space="preserve"> </w:t>
      </w:r>
      <w:r w:rsidRPr="002B3F36">
        <w:t>Republic</w:t>
      </w:r>
      <w:r w:rsidRPr="002B3F36">
        <w:rPr>
          <w:spacing w:val="-2"/>
        </w:rPr>
        <w:t xml:space="preserve"> </w:t>
      </w:r>
      <w:r w:rsidRPr="002B3F36">
        <w:t>of</w:t>
      </w:r>
      <w:r w:rsidRPr="002B3F36">
        <w:rPr>
          <w:spacing w:val="-3"/>
        </w:rPr>
        <w:t xml:space="preserve"> </w:t>
      </w:r>
      <w:r w:rsidRPr="002B3F36">
        <w:t xml:space="preserve">Kazakhstan </w:t>
      </w:r>
      <w:r w:rsidRPr="002B3F36">
        <w:rPr>
          <w:b w:val="0"/>
        </w:rPr>
        <w:t>is</w:t>
      </w:r>
      <w:r w:rsidRPr="002B3F36">
        <w:rPr>
          <w:b w:val="0"/>
          <w:spacing w:val="-6"/>
        </w:rPr>
        <w:t xml:space="preserve"> </w:t>
      </w:r>
      <w:r w:rsidRPr="002B3F36">
        <w:rPr>
          <w:b w:val="0"/>
        </w:rPr>
        <w:t>responsible</w:t>
      </w:r>
      <w:r w:rsidRPr="002B3F36">
        <w:rPr>
          <w:b w:val="0"/>
          <w:spacing w:val="-4"/>
        </w:rPr>
        <w:t xml:space="preserve"> </w:t>
      </w:r>
      <w:r w:rsidRPr="002B3F36">
        <w:rPr>
          <w:b w:val="0"/>
        </w:rPr>
        <w:t>for</w:t>
      </w:r>
      <w:r w:rsidRPr="002B3F36">
        <w:rPr>
          <w:b w:val="0"/>
          <w:spacing w:val="-6"/>
        </w:rPr>
        <w:t xml:space="preserve"> </w:t>
      </w:r>
      <w:r w:rsidRPr="002B3F36">
        <w:rPr>
          <w:b w:val="0"/>
        </w:rPr>
        <w:t>approvals</w:t>
      </w:r>
      <w:r w:rsidRPr="002B3F36">
        <w:rPr>
          <w:b w:val="0"/>
          <w:spacing w:val="-3"/>
        </w:rPr>
        <w:t xml:space="preserve"> </w:t>
      </w:r>
      <w:r w:rsidRPr="002B3F36">
        <w:rPr>
          <w:b w:val="0"/>
        </w:rPr>
        <w:t>related</w:t>
      </w:r>
      <w:r w:rsidRPr="002B3F36">
        <w:rPr>
          <w:b w:val="0"/>
          <w:spacing w:val="-4"/>
        </w:rPr>
        <w:t xml:space="preserve"> </w:t>
      </w:r>
      <w:r w:rsidRPr="002B3F36">
        <w:rPr>
          <w:b w:val="0"/>
        </w:rPr>
        <w:t>to</w:t>
      </w:r>
      <w:r w:rsidRPr="002B3F36">
        <w:rPr>
          <w:b w:val="0"/>
          <w:spacing w:val="-6"/>
        </w:rPr>
        <w:t xml:space="preserve"> </w:t>
      </w:r>
      <w:r w:rsidRPr="002B3F36">
        <w:rPr>
          <w:b w:val="0"/>
        </w:rPr>
        <w:t>construction</w:t>
      </w:r>
      <w:r w:rsidRPr="002B3F36">
        <w:rPr>
          <w:b w:val="0"/>
          <w:spacing w:val="-4"/>
        </w:rPr>
        <w:t xml:space="preserve"> </w:t>
      </w:r>
      <w:r w:rsidRPr="002B3F36">
        <w:rPr>
          <w:b w:val="0"/>
        </w:rPr>
        <w:t>works</w:t>
      </w:r>
      <w:r w:rsidRPr="002B3F36">
        <w:rPr>
          <w:b w:val="0"/>
          <w:spacing w:val="-6"/>
        </w:rPr>
        <w:t xml:space="preserve"> </w:t>
      </w:r>
      <w:r w:rsidRPr="002B3F36">
        <w:rPr>
          <w:b w:val="0"/>
        </w:rPr>
        <w:t>on</w:t>
      </w:r>
      <w:r w:rsidRPr="002B3F36">
        <w:rPr>
          <w:b w:val="0"/>
          <w:spacing w:val="-2"/>
        </w:rPr>
        <w:t xml:space="preserve"> </w:t>
      </w:r>
      <w:r w:rsidRPr="002B3F36">
        <w:rPr>
          <w:b w:val="0"/>
        </w:rPr>
        <w:t>water</w:t>
      </w:r>
      <w:r w:rsidRPr="002B3F36">
        <w:rPr>
          <w:b w:val="0"/>
          <w:spacing w:val="-6"/>
        </w:rPr>
        <w:t xml:space="preserve"> </w:t>
      </w:r>
      <w:r w:rsidRPr="002B3F36">
        <w:rPr>
          <w:b w:val="0"/>
        </w:rPr>
        <w:t>bodies,</w:t>
      </w:r>
      <w:r w:rsidRPr="002B3F36">
        <w:rPr>
          <w:b w:val="0"/>
          <w:spacing w:val="-3"/>
        </w:rPr>
        <w:t xml:space="preserve"> </w:t>
      </w:r>
      <w:r w:rsidRPr="002B3F36">
        <w:rPr>
          <w:b w:val="0"/>
        </w:rPr>
        <w:t>water</w:t>
      </w:r>
      <w:r w:rsidRPr="002B3F36">
        <w:rPr>
          <w:b w:val="0"/>
          <w:spacing w:val="-6"/>
        </w:rPr>
        <w:t xml:space="preserve"> </w:t>
      </w:r>
      <w:r w:rsidRPr="002B3F36">
        <w:rPr>
          <w:b w:val="0"/>
        </w:rPr>
        <w:t>protection zones for the Project. The inspectorate regulates the use of water resources in the Balkhash-Alakol basin, ensuring compliance with national water laws and sustainable practices. It monitors water bodies to prevent pollution and manage water quality, addressing issues arising from industrial discharges and agricultural runoff, and enhances integrated water resource management practices in the region.</w:t>
      </w:r>
    </w:p>
    <w:p w14:paraId="0A56A9A5" w14:textId="46C893B9" w:rsidR="00F61F8E" w:rsidRPr="002B3F36" w:rsidRDefault="000F264B" w:rsidP="00DF4A4C">
      <w:pPr>
        <w:pStyle w:val="DiaList12"/>
        <w:rPr>
          <w:b w:val="0"/>
        </w:rPr>
      </w:pPr>
      <w:r w:rsidRPr="002B3F36">
        <w:t xml:space="preserve">Republican State Enterprise "State Non-Departmental Examination of Projects" (“RSE GOS Expertiza”) </w:t>
      </w:r>
      <w:r w:rsidRPr="002B3F36">
        <w:rPr>
          <w:b w:val="0"/>
        </w:rPr>
        <w:t>is responsible for evaluation of the Project against Kazakhstan regulations.</w:t>
      </w:r>
      <w:r w:rsidRPr="002B3F36">
        <w:rPr>
          <w:b w:val="0"/>
          <w:spacing w:val="-7"/>
        </w:rPr>
        <w:t xml:space="preserve"> </w:t>
      </w:r>
      <w:r w:rsidRPr="002B3F36">
        <w:rPr>
          <w:b w:val="0"/>
        </w:rPr>
        <w:t>RSE</w:t>
      </w:r>
      <w:r w:rsidRPr="002B3F36">
        <w:rPr>
          <w:b w:val="0"/>
          <w:spacing w:val="-4"/>
        </w:rPr>
        <w:t xml:space="preserve"> </w:t>
      </w:r>
      <w:r w:rsidRPr="002B3F36">
        <w:rPr>
          <w:b w:val="0"/>
        </w:rPr>
        <w:t>GOS</w:t>
      </w:r>
      <w:r w:rsidRPr="002B3F36">
        <w:rPr>
          <w:b w:val="0"/>
          <w:spacing w:val="-3"/>
        </w:rPr>
        <w:t xml:space="preserve"> </w:t>
      </w:r>
      <w:r w:rsidRPr="002B3F36">
        <w:rPr>
          <w:b w:val="0"/>
        </w:rPr>
        <w:t>Expertiza</w:t>
      </w:r>
      <w:r w:rsidRPr="002B3F36">
        <w:rPr>
          <w:b w:val="0"/>
          <w:spacing w:val="-4"/>
        </w:rPr>
        <w:t xml:space="preserve"> </w:t>
      </w:r>
      <w:r w:rsidRPr="002B3F36">
        <w:rPr>
          <w:b w:val="0"/>
        </w:rPr>
        <w:t>operates</w:t>
      </w:r>
      <w:r w:rsidRPr="002B3F36">
        <w:rPr>
          <w:b w:val="0"/>
          <w:spacing w:val="-7"/>
        </w:rPr>
        <w:t xml:space="preserve"> </w:t>
      </w:r>
      <w:r w:rsidRPr="002B3F36">
        <w:rPr>
          <w:b w:val="0"/>
        </w:rPr>
        <w:t>under</w:t>
      </w:r>
      <w:r w:rsidRPr="002B3F36">
        <w:rPr>
          <w:b w:val="0"/>
          <w:spacing w:val="-4"/>
        </w:rPr>
        <w:t xml:space="preserve"> </w:t>
      </w:r>
      <w:r w:rsidRPr="002B3F36">
        <w:rPr>
          <w:b w:val="0"/>
        </w:rPr>
        <w:t>the</w:t>
      </w:r>
      <w:r w:rsidRPr="002B3F36">
        <w:rPr>
          <w:b w:val="0"/>
          <w:spacing w:val="-7"/>
        </w:rPr>
        <w:t xml:space="preserve"> </w:t>
      </w:r>
      <w:r w:rsidRPr="002B3F36">
        <w:rPr>
          <w:b w:val="0"/>
        </w:rPr>
        <w:t>Ministry</w:t>
      </w:r>
      <w:r w:rsidRPr="002B3F36">
        <w:rPr>
          <w:b w:val="0"/>
          <w:spacing w:val="-4"/>
        </w:rPr>
        <w:t xml:space="preserve"> </w:t>
      </w:r>
      <w:r w:rsidRPr="002B3F36">
        <w:rPr>
          <w:b w:val="0"/>
        </w:rPr>
        <w:t>of</w:t>
      </w:r>
      <w:r w:rsidRPr="002B3F36">
        <w:rPr>
          <w:b w:val="0"/>
          <w:spacing w:val="-7"/>
        </w:rPr>
        <w:t xml:space="preserve"> </w:t>
      </w:r>
      <w:r w:rsidRPr="002B3F36">
        <w:rPr>
          <w:b w:val="0"/>
        </w:rPr>
        <w:t>Industry</w:t>
      </w:r>
      <w:r w:rsidRPr="002B3F36">
        <w:rPr>
          <w:b w:val="0"/>
          <w:spacing w:val="-4"/>
        </w:rPr>
        <w:t xml:space="preserve"> </w:t>
      </w:r>
      <w:r w:rsidRPr="002B3F36">
        <w:rPr>
          <w:b w:val="0"/>
        </w:rPr>
        <w:lastRenderedPageBreak/>
        <w:t>and</w:t>
      </w:r>
      <w:r w:rsidRPr="002B3F36">
        <w:rPr>
          <w:b w:val="0"/>
          <w:spacing w:val="-5"/>
        </w:rPr>
        <w:t xml:space="preserve"> </w:t>
      </w:r>
      <w:r w:rsidRPr="002B3F36">
        <w:rPr>
          <w:b w:val="0"/>
        </w:rPr>
        <w:t>Infrastructure Development and assesses the quality and compliance of construction projects with legal and technical standards.</w:t>
      </w:r>
    </w:p>
    <w:p w14:paraId="17D7F58E" w14:textId="3460A944" w:rsidR="00DF4A4C" w:rsidRPr="002B3F36" w:rsidRDefault="00DF4A4C" w:rsidP="00DF4A4C">
      <w:pPr>
        <w:pStyle w:val="DiaList12"/>
        <w:rPr>
          <w:b w:val="0"/>
        </w:rPr>
      </w:pPr>
      <w:r w:rsidRPr="002B3F36">
        <w:t>The Construction Supervision Consultant</w:t>
      </w:r>
      <w:r w:rsidRPr="002B3F36">
        <w:rPr>
          <w:b w:val="0"/>
        </w:rPr>
        <w:t xml:space="preserve"> (may be hired in the </w:t>
      </w:r>
      <w:r w:rsidR="0080772D" w:rsidRPr="002B3F36">
        <w:rPr>
          <w:b w:val="0"/>
        </w:rPr>
        <w:t>future</w:t>
      </w:r>
      <w:r w:rsidRPr="002B3F36">
        <w:rPr>
          <w:b w:val="0"/>
        </w:rPr>
        <w:t xml:space="preserve">) ensures that the railway project is built to technical standards while monitoring environmental, social, health, safety, and stakeholder compliance in line with </w:t>
      </w:r>
      <w:r w:rsidR="00F95BD8" w:rsidRPr="002B3F36">
        <w:rPr>
          <w:b w:val="0"/>
        </w:rPr>
        <w:t>WB</w:t>
      </w:r>
      <w:r w:rsidRPr="002B3F36">
        <w:rPr>
          <w:b w:val="0"/>
        </w:rPr>
        <w:t xml:space="preserve"> Performance Standards</w:t>
      </w:r>
    </w:p>
    <w:p w14:paraId="125F30B4" w14:textId="77777777" w:rsidR="00DF4A4C" w:rsidRPr="002B3F36" w:rsidRDefault="00DF4A4C" w:rsidP="00DC2DBA">
      <w:pPr>
        <w:pStyle w:val="ReportBodyPar"/>
      </w:pPr>
    </w:p>
    <w:p w14:paraId="39B6E407" w14:textId="77777777" w:rsidR="00F61F8E" w:rsidRPr="002B3F36" w:rsidRDefault="000F264B" w:rsidP="00DF4A4C">
      <w:pPr>
        <w:pStyle w:val="DiaList12"/>
      </w:pPr>
      <w:r w:rsidRPr="002B3F36">
        <w:t>Project</w:t>
      </w:r>
      <w:r w:rsidRPr="002B3F36">
        <w:rPr>
          <w:spacing w:val="-5"/>
        </w:rPr>
        <w:t xml:space="preserve"> </w:t>
      </w:r>
      <w:r w:rsidRPr="002B3F36">
        <w:t>Approvals:</w:t>
      </w:r>
    </w:p>
    <w:p w14:paraId="6F30F630" w14:textId="28A9BEEC" w:rsidR="00F61F8E" w:rsidRPr="002B3F36" w:rsidRDefault="000F264B" w:rsidP="00DC2DBA">
      <w:pPr>
        <w:pStyle w:val="ReportBodyPar"/>
      </w:pPr>
      <w:r w:rsidRPr="002B3F36">
        <w:t xml:space="preserve">Department of Construction, Architecture and Urban Planning of the District </w:t>
      </w:r>
      <w:r w:rsidR="00DF4A4C" w:rsidRPr="002B3F36">
        <w:t xml:space="preserve">- </w:t>
      </w:r>
      <w:r w:rsidRPr="002B3F36">
        <w:t xml:space="preserve">The </w:t>
      </w:r>
      <w:r w:rsidRPr="002B3F36">
        <w:rPr>
          <w:b/>
        </w:rPr>
        <w:t xml:space="preserve">Akimats </w:t>
      </w:r>
      <w:r w:rsidRPr="002B3F36">
        <w:t xml:space="preserve">within the </w:t>
      </w:r>
      <w:r w:rsidRPr="002B3F36">
        <w:rPr>
          <w:b/>
        </w:rPr>
        <w:t>Ulytau and Karagand</w:t>
      </w:r>
      <w:r w:rsidR="003A184C">
        <w:rPr>
          <w:b/>
        </w:rPr>
        <w:t>y</w:t>
      </w:r>
      <w:r w:rsidRPr="002B3F36">
        <w:rPr>
          <w:b/>
        </w:rPr>
        <w:t xml:space="preserve"> </w:t>
      </w:r>
      <w:r w:rsidR="003A184C">
        <w:rPr>
          <w:b/>
        </w:rPr>
        <w:t>Regions</w:t>
      </w:r>
      <w:r w:rsidRPr="002B3F36">
        <w:rPr>
          <w:b/>
        </w:rPr>
        <w:t xml:space="preserve"> </w:t>
      </w:r>
      <w:r w:rsidRPr="002B3F36">
        <w:t>are the district</w:t>
      </w:r>
      <w:r w:rsidRPr="002B3F36">
        <w:rPr>
          <w:spacing w:val="-5"/>
        </w:rPr>
        <w:t xml:space="preserve"> </w:t>
      </w:r>
      <w:r w:rsidRPr="002B3F36">
        <w:t>proponents</w:t>
      </w:r>
      <w:r w:rsidRPr="002B3F36">
        <w:rPr>
          <w:spacing w:val="-3"/>
        </w:rPr>
        <w:t xml:space="preserve"> </w:t>
      </w:r>
      <w:r w:rsidRPr="002B3F36">
        <w:t>engaged</w:t>
      </w:r>
      <w:r w:rsidRPr="002B3F36">
        <w:rPr>
          <w:spacing w:val="-4"/>
        </w:rPr>
        <w:t xml:space="preserve"> </w:t>
      </w:r>
      <w:r w:rsidRPr="002B3F36">
        <w:t>directly</w:t>
      </w:r>
      <w:r w:rsidRPr="002B3F36">
        <w:rPr>
          <w:spacing w:val="-3"/>
        </w:rPr>
        <w:t xml:space="preserve"> </w:t>
      </w:r>
      <w:r w:rsidRPr="002B3F36">
        <w:t>through</w:t>
      </w:r>
      <w:r w:rsidRPr="002B3F36">
        <w:rPr>
          <w:spacing w:val="-4"/>
        </w:rPr>
        <w:t xml:space="preserve"> </w:t>
      </w:r>
      <w:r w:rsidRPr="002B3F36">
        <w:t>KTZ</w:t>
      </w:r>
      <w:r w:rsidRPr="002B3F36">
        <w:rPr>
          <w:spacing w:val="-5"/>
        </w:rPr>
        <w:t xml:space="preserve"> </w:t>
      </w:r>
      <w:r w:rsidRPr="002B3F36">
        <w:t>to</w:t>
      </w:r>
      <w:r w:rsidRPr="002B3F36">
        <w:rPr>
          <w:spacing w:val="-5"/>
        </w:rPr>
        <w:t xml:space="preserve"> </w:t>
      </w:r>
      <w:r w:rsidRPr="002B3F36">
        <w:t>direct,</w:t>
      </w:r>
      <w:r w:rsidRPr="002B3F36">
        <w:rPr>
          <w:spacing w:val="-5"/>
        </w:rPr>
        <w:t xml:space="preserve"> </w:t>
      </w:r>
      <w:r w:rsidRPr="002B3F36">
        <w:t>inform,</w:t>
      </w:r>
      <w:r w:rsidRPr="002B3F36">
        <w:rPr>
          <w:spacing w:val="-2"/>
        </w:rPr>
        <w:t xml:space="preserve"> </w:t>
      </w:r>
      <w:r w:rsidRPr="002B3F36">
        <w:t>facilitate</w:t>
      </w:r>
      <w:r w:rsidRPr="002B3F36">
        <w:rPr>
          <w:spacing w:val="-6"/>
        </w:rPr>
        <w:t xml:space="preserve"> </w:t>
      </w:r>
      <w:r w:rsidRPr="002B3F36">
        <w:t>and</w:t>
      </w:r>
      <w:r w:rsidRPr="002B3F36">
        <w:rPr>
          <w:spacing w:val="-4"/>
        </w:rPr>
        <w:t xml:space="preserve"> </w:t>
      </w:r>
      <w:r w:rsidRPr="002B3F36">
        <w:t>coordinate the land acquisition process.</w:t>
      </w:r>
    </w:p>
    <w:p w14:paraId="44618F57" w14:textId="77777777" w:rsidR="00F61F8E" w:rsidRPr="002B3F36" w:rsidRDefault="00F61F8E">
      <w:pPr>
        <w:pStyle w:val="ReportParagraph"/>
      </w:pPr>
    </w:p>
    <w:p w14:paraId="6DC4D8D7" w14:textId="77777777" w:rsidR="00F61F8E" w:rsidRPr="002B3F36" w:rsidRDefault="000F264B">
      <w:pPr>
        <w:pStyle w:val="20"/>
      </w:pPr>
      <w:bookmarkStart w:id="548" w:name="_bookmark45"/>
      <w:bookmarkStart w:id="549" w:name="_bookmark46"/>
      <w:bookmarkStart w:id="550" w:name="_bookmark60"/>
      <w:bookmarkStart w:id="551" w:name="_Toc208973728"/>
      <w:bookmarkStart w:id="552" w:name="_Toc208973928"/>
      <w:bookmarkStart w:id="553" w:name="_Toc208974128"/>
      <w:bookmarkStart w:id="554" w:name="_Toc208974330"/>
      <w:bookmarkStart w:id="555" w:name="_Toc208974538"/>
      <w:bookmarkStart w:id="556" w:name="_Toc210589404"/>
      <w:bookmarkEnd w:id="548"/>
      <w:bookmarkEnd w:id="549"/>
      <w:bookmarkEnd w:id="550"/>
      <w:r w:rsidRPr="002B3F36">
        <w:t>Consideration</w:t>
      </w:r>
      <w:r w:rsidRPr="002B3F36">
        <w:rPr>
          <w:spacing w:val="56"/>
        </w:rPr>
        <w:t xml:space="preserve"> </w:t>
      </w:r>
      <w:r w:rsidRPr="002B3F36">
        <w:t>of</w:t>
      </w:r>
      <w:r w:rsidRPr="002B3F36">
        <w:rPr>
          <w:spacing w:val="54"/>
        </w:rPr>
        <w:t xml:space="preserve"> </w:t>
      </w:r>
      <w:r w:rsidRPr="002B3F36">
        <w:rPr>
          <w:spacing w:val="-2"/>
        </w:rPr>
        <w:t>Alternatives</w:t>
      </w:r>
      <w:bookmarkEnd w:id="551"/>
      <w:bookmarkEnd w:id="552"/>
      <w:bookmarkEnd w:id="553"/>
      <w:bookmarkEnd w:id="554"/>
      <w:bookmarkEnd w:id="555"/>
      <w:bookmarkEnd w:id="556"/>
    </w:p>
    <w:p w14:paraId="4414420F" w14:textId="77777777" w:rsidR="00F61F8E" w:rsidRPr="002B3F36" w:rsidRDefault="00F61F8E">
      <w:pPr>
        <w:pStyle w:val="ReportParagraph"/>
      </w:pPr>
    </w:p>
    <w:p w14:paraId="5836FF5B" w14:textId="77777777" w:rsidR="00F61F8E" w:rsidRPr="002B3F36" w:rsidRDefault="000F264B" w:rsidP="005A68AD">
      <w:pPr>
        <w:pStyle w:val="31"/>
      </w:pPr>
      <w:bookmarkStart w:id="557" w:name="_bookmark61"/>
      <w:bookmarkStart w:id="558" w:name="_Toc208973729"/>
      <w:bookmarkStart w:id="559" w:name="_Toc208973929"/>
      <w:bookmarkStart w:id="560" w:name="_Toc208974129"/>
      <w:bookmarkStart w:id="561" w:name="_Toc208974331"/>
      <w:bookmarkStart w:id="562" w:name="_Toc208974539"/>
      <w:bookmarkStart w:id="563" w:name="_Toc210589405"/>
      <w:bookmarkEnd w:id="557"/>
      <w:r w:rsidRPr="002B3F36">
        <w:t>Project</w:t>
      </w:r>
      <w:r w:rsidRPr="002B3F36">
        <w:rPr>
          <w:spacing w:val="37"/>
        </w:rPr>
        <w:t xml:space="preserve"> </w:t>
      </w:r>
      <w:r w:rsidRPr="002B3F36">
        <w:t>vs</w:t>
      </w:r>
      <w:r w:rsidRPr="002B3F36">
        <w:rPr>
          <w:spacing w:val="38"/>
        </w:rPr>
        <w:t xml:space="preserve"> </w:t>
      </w:r>
      <w:r w:rsidRPr="002B3F36">
        <w:t>No</w:t>
      </w:r>
      <w:r w:rsidRPr="002B3F36">
        <w:rPr>
          <w:spacing w:val="37"/>
        </w:rPr>
        <w:t xml:space="preserve"> </w:t>
      </w:r>
      <w:r w:rsidRPr="002B3F36">
        <w:t>Project</w:t>
      </w:r>
      <w:r w:rsidRPr="002B3F36">
        <w:rPr>
          <w:spacing w:val="38"/>
        </w:rPr>
        <w:t xml:space="preserve"> </w:t>
      </w:r>
      <w:r w:rsidRPr="002B3F36">
        <w:rPr>
          <w:spacing w:val="-2"/>
        </w:rPr>
        <w:t>Scenario</w:t>
      </w:r>
      <w:bookmarkEnd w:id="558"/>
      <w:bookmarkEnd w:id="559"/>
      <w:bookmarkEnd w:id="560"/>
      <w:bookmarkEnd w:id="561"/>
      <w:bookmarkEnd w:id="562"/>
      <w:bookmarkEnd w:id="563"/>
    </w:p>
    <w:p w14:paraId="0705161D" w14:textId="77777777" w:rsidR="00F61F8E" w:rsidRPr="002B3F36" w:rsidRDefault="00F61F8E">
      <w:pPr>
        <w:pStyle w:val="ReportParagraph"/>
      </w:pPr>
    </w:p>
    <w:p w14:paraId="268DA367" w14:textId="2107487C" w:rsidR="00F61F8E" w:rsidRPr="002B3F36" w:rsidRDefault="000F264B">
      <w:pPr>
        <w:pStyle w:val="ReportParagraph"/>
      </w:pPr>
      <w:r w:rsidRPr="002B3F36">
        <w:t xml:space="preserve">The comparative analysis with the “No Project” scenario highlights the substantial social, economic, and environmental benefits of the investment, including the elimination of bottlenecks, promotion of regional development in </w:t>
      </w:r>
      <w:r w:rsidR="003A184C">
        <w:t>Karagandy</w:t>
      </w:r>
      <w:r w:rsidRPr="002B3F36">
        <w:t xml:space="preserve"> and Ulytau </w:t>
      </w:r>
      <w:r w:rsidR="003A184C">
        <w:t>region</w:t>
      </w:r>
      <w:r w:rsidRPr="002B3F36">
        <w:t>s, and contributions to sustainable, low-carbon transport - all of which would be lost or delayed without the project’s implementation. The purpose of the analysis is to provide justification and argumentation for the selected alternative, covering aspects such as technical, economic, financial, environmental and social considerations.</w:t>
      </w:r>
    </w:p>
    <w:p w14:paraId="22C26163" w14:textId="77777777" w:rsidR="00F61F8E" w:rsidRPr="002B3F36" w:rsidRDefault="000F264B">
      <w:pPr>
        <w:pStyle w:val="ReportParagraph"/>
      </w:pPr>
      <w:r w:rsidRPr="002B3F36">
        <w:t>As shown below, the alternatives are compared in terms of:</w:t>
      </w:r>
    </w:p>
    <w:p w14:paraId="161EEAEF" w14:textId="77777777" w:rsidR="00F61F8E" w:rsidRPr="002B3F36" w:rsidRDefault="000F264B" w:rsidP="00EB51FB">
      <w:pPr>
        <w:pStyle w:val="ADBbullets"/>
        <w:spacing w:before="0" w:after="0"/>
        <w:rPr>
          <w:sz w:val="24"/>
          <w:szCs w:val="24"/>
        </w:rPr>
      </w:pPr>
      <w:r w:rsidRPr="002B3F36">
        <w:rPr>
          <w:sz w:val="24"/>
          <w:szCs w:val="24"/>
        </w:rPr>
        <w:t>potential environmental and social impacts;</w:t>
      </w:r>
    </w:p>
    <w:p w14:paraId="3B278FBE" w14:textId="3448FBF6" w:rsidR="00F61F8E" w:rsidRPr="002B3F36" w:rsidRDefault="000F264B" w:rsidP="00EB51FB">
      <w:pPr>
        <w:pStyle w:val="ADBbullets"/>
        <w:spacing w:before="0" w:after="0"/>
        <w:rPr>
          <w:sz w:val="24"/>
          <w:szCs w:val="24"/>
        </w:rPr>
      </w:pPr>
      <w:r w:rsidRPr="002B3F36">
        <w:rPr>
          <w:sz w:val="24"/>
          <w:szCs w:val="24"/>
        </w:rPr>
        <w:t>expected capital and ongoing costs of mitigation and/or management (including training and monitoring aspects)</w:t>
      </w:r>
      <w:r w:rsidR="00A84A2A" w:rsidRPr="002B3F36">
        <w:rPr>
          <w:sz w:val="24"/>
          <w:szCs w:val="24"/>
        </w:rPr>
        <w:t>;</w:t>
      </w:r>
    </w:p>
    <w:p w14:paraId="77C23959" w14:textId="141042D3" w:rsidR="00F61F8E" w:rsidRPr="002B3F36" w:rsidRDefault="000F264B" w:rsidP="00EB51FB">
      <w:pPr>
        <w:pStyle w:val="ADBbullets"/>
        <w:spacing w:before="0" w:after="0"/>
        <w:rPr>
          <w:sz w:val="24"/>
          <w:szCs w:val="24"/>
        </w:rPr>
      </w:pPr>
      <w:r w:rsidRPr="002B3F36">
        <w:rPr>
          <w:sz w:val="24"/>
          <w:szCs w:val="24"/>
        </w:rPr>
        <w:t>technical feasibility</w:t>
      </w:r>
      <w:r w:rsidR="00A84A2A" w:rsidRPr="002B3F36">
        <w:rPr>
          <w:sz w:val="24"/>
          <w:szCs w:val="24"/>
        </w:rPr>
        <w:t>;</w:t>
      </w:r>
    </w:p>
    <w:p w14:paraId="711EF68D" w14:textId="77777777" w:rsidR="00F61F8E" w:rsidRPr="002B3F36" w:rsidRDefault="000F264B" w:rsidP="00EB51FB">
      <w:pPr>
        <w:pStyle w:val="ADBbullets"/>
        <w:spacing w:before="0" w:after="0"/>
        <w:rPr>
          <w:sz w:val="24"/>
          <w:szCs w:val="24"/>
        </w:rPr>
      </w:pPr>
      <w:r w:rsidRPr="002B3F36">
        <w:rPr>
          <w:sz w:val="24"/>
          <w:szCs w:val="24"/>
        </w:rPr>
        <w:t>Public safety;</w:t>
      </w:r>
    </w:p>
    <w:p w14:paraId="4BE57CBA" w14:textId="77777777" w:rsidR="00F61F8E" w:rsidRPr="002B3F36" w:rsidRDefault="000F264B" w:rsidP="00EB51FB">
      <w:pPr>
        <w:pStyle w:val="ADBbullets"/>
        <w:spacing w:before="0" w:after="0"/>
        <w:rPr>
          <w:sz w:val="24"/>
          <w:szCs w:val="24"/>
        </w:rPr>
      </w:pPr>
      <w:r w:rsidRPr="002B3F36">
        <w:rPr>
          <w:sz w:val="24"/>
          <w:szCs w:val="24"/>
        </w:rPr>
        <w:t>the economic and social benefits of each option;</w:t>
      </w:r>
    </w:p>
    <w:p w14:paraId="3DEECF00" w14:textId="71FBDD47" w:rsidR="00F61F8E" w:rsidRPr="002B3F36" w:rsidRDefault="000F264B" w:rsidP="00EB51FB">
      <w:pPr>
        <w:pStyle w:val="ADBbullets"/>
        <w:spacing w:before="0" w:after="0"/>
        <w:rPr>
          <w:sz w:val="24"/>
          <w:szCs w:val="24"/>
        </w:rPr>
      </w:pPr>
      <w:r w:rsidRPr="002B3F36">
        <w:rPr>
          <w:sz w:val="24"/>
          <w:szCs w:val="24"/>
        </w:rPr>
        <w:t>social acceptability</w:t>
      </w:r>
      <w:r w:rsidR="00A84A2A" w:rsidRPr="002B3F36">
        <w:rPr>
          <w:sz w:val="24"/>
          <w:szCs w:val="24"/>
        </w:rPr>
        <w:t>.</w:t>
      </w:r>
    </w:p>
    <w:p w14:paraId="0D880E44" w14:textId="77777777" w:rsidR="00F61F8E" w:rsidRPr="002B3F36" w:rsidRDefault="00F61F8E">
      <w:pPr>
        <w:pStyle w:val="ReportParagraph"/>
      </w:pPr>
    </w:p>
    <w:p w14:paraId="37980352" w14:textId="3716530A" w:rsidR="00F61F8E" w:rsidRPr="002B3F36" w:rsidRDefault="000F264B" w:rsidP="005A68AD">
      <w:pPr>
        <w:pStyle w:val="31"/>
      </w:pPr>
      <w:bookmarkStart w:id="564" w:name="_Toc208973730"/>
      <w:bookmarkStart w:id="565" w:name="_Toc208973930"/>
      <w:bookmarkStart w:id="566" w:name="_Toc208974130"/>
      <w:bookmarkStart w:id="567" w:name="_Toc208974332"/>
      <w:bookmarkStart w:id="568" w:name="_Toc208974540"/>
      <w:bookmarkStart w:id="569" w:name="_Toc210589406"/>
      <w:r w:rsidRPr="002B3F36">
        <w:t>Technical Benefits</w:t>
      </w:r>
      <w:bookmarkEnd w:id="564"/>
      <w:bookmarkEnd w:id="565"/>
      <w:bookmarkEnd w:id="566"/>
      <w:bookmarkEnd w:id="567"/>
      <w:bookmarkEnd w:id="568"/>
      <w:r w:rsidR="00A84A2A" w:rsidRPr="002B3F36">
        <w:t xml:space="preserve"> of the Project VS the No</w:t>
      </w:r>
      <w:r w:rsidR="00A84A2A" w:rsidRPr="002B3F36">
        <w:rPr>
          <w:spacing w:val="37"/>
        </w:rPr>
        <w:t>-</w:t>
      </w:r>
      <w:r w:rsidR="00A84A2A" w:rsidRPr="002B3F36">
        <w:t>Project</w:t>
      </w:r>
      <w:r w:rsidR="00A84A2A" w:rsidRPr="002B3F36">
        <w:rPr>
          <w:spacing w:val="38"/>
        </w:rPr>
        <w:t xml:space="preserve"> </w:t>
      </w:r>
      <w:r w:rsidR="00A84A2A" w:rsidRPr="002B3F36">
        <w:rPr>
          <w:spacing w:val="-2"/>
        </w:rPr>
        <w:t>Scenario</w:t>
      </w:r>
      <w:bookmarkEnd w:id="569"/>
    </w:p>
    <w:p w14:paraId="5DC4389B" w14:textId="77777777" w:rsidR="00F61F8E" w:rsidRPr="002B3F36" w:rsidRDefault="000F264B" w:rsidP="009B4CDB">
      <w:pPr>
        <w:pStyle w:val="aff9"/>
        <w:numPr>
          <w:ilvl w:val="0"/>
          <w:numId w:val="79"/>
        </w:numPr>
        <w:rPr>
          <w:rFonts w:ascii="Arial" w:hAnsi="Arial" w:cs="Arial"/>
        </w:rPr>
      </w:pPr>
      <w:r w:rsidRPr="002B3F36">
        <w:rPr>
          <w:rStyle w:val="affffb"/>
        </w:rPr>
        <w:t>Modern Railway Infrastructure</w:t>
      </w:r>
      <w:r w:rsidRPr="002B3F36">
        <w:rPr>
          <w:rFonts w:ascii="Arial" w:hAnsi="Arial" w:cs="Arial"/>
        </w:rPr>
        <w:br/>
        <w:t xml:space="preserve">The project introduces a newly constructed, high-standard railway line along the Mointy–Kyzylzhar alignment, designed with best-available technologies to ensure the </w:t>
      </w:r>
      <w:r w:rsidRPr="002B3F36">
        <w:rPr>
          <w:rStyle w:val="affffb"/>
        </w:rPr>
        <w:t>stability, safety, and efficiency</w:t>
      </w:r>
      <w:r w:rsidRPr="002B3F36">
        <w:rPr>
          <w:rFonts w:ascii="Arial" w:hAnsi="Arial" w:cs="Arial"/>
        </w:rPr>
        <w:t xml:space="preserve"> of the roadbed, interchanges, and signaling systems.</w:t>
      </w:r>
    </w:p>
    <w:p w14:paraId="4BBC67A7" w14:textId="77777777" w:rsidR="00F61F8E" w:rsidRPr="002B3F36" w:rsidRDefault="000F264B" w:rsidP="009B4CDB">
      <w:pPr>
        <w:pStyle w:val="aff9"/>
        <w:numPr>
          <w:ilvl w:val="0"/>
          <w:numId w:val="79"/>
        </w:numPr>
        <w:rPr>
          <w:rFonts w:ascii="Arial" w:hAnsi="Arial" w:cs="Arial"/>
        </w:rPr>
      </w:pPr>
      <w:r w:rsidRPr="002B3F36">
        <w:rPr>
          <w:rStyle w:val="affffb"/>
        </w:rPr>
        <w:t>Bottleneck Reduction</w:t>
      </w:r>
      <w:r w:rsidRPr="002B3F36">
        <w:rPr>
          <w:rFonts w:ascii="Arial" w:hAnsi="Arial" w:cs="Arial"/>
        </w:rPr>
        <w:br/>
        <w:t xml:space="preserve">By relieving pressure on the existing Mointy–Zharyk section, the project </w:t>
      </w:r>
      <w:r w:rsidRPr="002B3F36">
        <w:rPr>
          <w:rStyle w:val="affffb"/>
        </w:rPr>
        <w:t>reduces congestion</w:t>
      </w:r>
      <w:r w:rsidRPr="002B3F36">
        <w:rPr>
          <w:rFonts w:ascii="Arial" w:hAnsi="Arial" w:cs="Arial"/>
        </w:rPr>
        <w:t xml:space="preserve"> on key transit routes, improving the </w:t>
      </w:r>
      <w:r w:rsidRPr="002B3F36">
        <w:rPr>
          <w:rStyle w:val="affffb"/>
        </w:rPr>
        <w:t>operational reliability</w:t>
      </w:r>
      <w:r w:rsidRPr="002B3F36">
        <w:rPr>
          <w:rFonts w:ascii="Arial" w:hAnsi="Arial" w:cs="Arial"/>
        </w:rPr>
        <w:t xml:space="preserve"> of Kazakhstan’s railway network.</w:t>
      </w:r>
    </w:p>
    <w:p w14:paraId="15E1473D" w14:textId="77777777" w:rsidR="00F61F8E" w:rsidRPr="002B3F36" w:rsidRDefault="000F264B" w:rsidP="009B4CDB">
      <w:pPr>
        <w:pStyle w:val="aff9"/>
        <w:numPr>
          <w:ilvl w:val="0"/>
          <w:numId w:val="79"/>
        </w:numPr>
        <w:rPr>
          <w:rFonts w:ascii="Arial" w:hAnsi="Arial" w:cs="Arial"/>
        </w:rPr>
      </w:pPr>
      <w:r w:rsidRPr="002B3F36">
        <w:rPr>
          <w:rStyle w:val="affffb"/>
        </w:rPr>
        <w:t>Enhanced Regional Connectivity</w:t>
      </w:r>
      <w:r w:rsidRPr="002B3F36">
        <w:rPr>
          <w:rFonts w:ascii="Arial" w:hAnsi="Arial" w:cs="Arial"/>
        </w:rPr>
        <w:br/>
        <w:t xml:space="preserve">Integration with the Trans-Caspian and Middle Corridor routes positions the project as a </w:t>
      </w:r>
      <w:r w:rsidRPr="002B3F36">
        <w:rPr>
          <w:rStyle w:val="affffb"/>
        </w:rPr>
        <w:t>critical link</w:t>
      </w:r>
      <w:r w:rsidRPr="002B3F36">
        <w:rPr>
          <w:rFonts w:ascii="Arial" w:hAnsi="Arial" w:cs="Arial"/>
        </w:rPr>
        <w:t xml:space="preserve"> in the country’s strategic transport infrastructure, strengthening connections between </w:t>
      </w:r>
      <w:r w:rsidRPr="002B3F36">
        <w:rPr>
          <w:rStyle w:val="affffb"/>
        </w:rPr>
        <w:t>China, Central Asia, and Europe</w:t>
      </w:r>
      <w:r w:rsidRPr="002B3F36">
        <w:rPr>
          <w:rFonts w:ascii="Arial" w:hAnsi="Arial" w:cs="Arial"/>
        </w:rPr>
        <w:t>.</w:t>
      </w:r>
    </w:p>
    <w:p w14:paraId="7E76B344" w14:textId="77777777" w:rsidR="00F61F8E" w:rsidRPr="002B3F36" w:rsidRDefault="000F264B" w:rsidP="005A68AD">
      <w:pPr>
        <w:pStyle w:val="31"/>
      </w:pPr>
      <w:bookmarkStart w:id="570" w:name="_Toc208973731"/>
      <w:bookmarkStart w:id="571" w:name="_Toc208973931"/>
      <w:bookmarkStart w:id="572" w:name="_Toc208974131"/>
      <w:bookmarkStart w:id="573" w:name="_Toc208974333"/>
      <w:bookmarkStart w:id="574" w:name="_Toc208974541"/>
      <w:bookmarkStart w:id="575" w:name="_Toc210589407"/>
      <w:r w:rsidRPr="002B3F36">
        <w:lastRenderedPageBreak/>
        <w:t>Economic Benefits</w:t>
      </w:r>
      <w:bookmarkEnd w:id="570"/>
      <w:bookmarkEnd w:id="571"/>
      <w:bookmarkEnd w:id="572"/>
      <w:bookmarkEnd w:id="573"/>
      <w:bookmarkEnd w:id="574"/>
      <w:bookmarkEnd w:id="575"/>
    </w:p>
    <w:p w14:paraId="2AC83C2E" w14:textId="77777777" w:rsidR="00F61F8E" w:rsidRPr="002B3F36" w:rsidRDefault="000F264B" w:rsidP="009B4CDB">
      <w:pPr>
        <w:pStyle w:val="aff9"/>
        <w:numPr>
          <w:ilvl w:val="0"/>
          <w:numId w:val="80"/>
        </w:numPr>
        <w:rPr>
          <w:rFonts w:ascii="Arial" w:hAnsi="Arial" w:cs="Arial"/>
        </w:rPr>
      </w:pPr>
      <w:r w:rsidRPr="002B3F36">
        <w:rPr>
          <w:rStyle w:val="affffb"/>
        </w:rPr>
        <w:t>Transit Efficiency and Trade Capacity</w:t>
      </w:r>
      <w:r w:rsidRPr="002B3F36">
        <w:rPr>
          <w:rFonts w:ascii="Arial" w:hAnsi="Arial" w:cs="Arial"/>
        </w:rPr>
        <w:br/>
        <w:t xml:space="preserve">The railway provides a </w:t>
      </w:r>
      <w:r w:rsidRPr="002B3F36">
        <w:rPr>
          <w:rStyle w:val="affffb"/>
        </w:rPr>
        <w:t>direct shortcut</w:t>
      </w:r>
      <w:r w:rsidRPr="002B3F36">
        <w:rPr>
          <w:rFonts w:ascii="Arial" w:hAnsi="Arial" w:cs="Arial"/>
        </w:rPr>
        <w:t xml:space="preserve">, shortening transit distances and times, increasing freight volumes, and improving </w:t>
      </w:r>
      <w:r w:rsidRPr="002B3F36">
        <w:rPr>
          <w:rStyle w:val="affffb"/>
        </w:rPr>
        <w:t>Kazakhstan’s competitiveness</w:t>
      </w:r>
      <w:r w:rsidRPr="002B3F36">
        <w:rPr>
          <w:rFonts w:ascii="Arial" w:hAnsi="Arial" w:cs="Arial"/>
        </w:rPr>
        <w:t xml:space="preserve"> as a regional transit hub.</w:t>
      </w:r>
    </w:p>
    <w:p w14:paraId="5EB96994" w14:textId="262F3B40" w:rsidR="00F61F8E" w:rsidRPr="002B3F36" w:rsidRDefault="000F264B" w:rsidP="009B4CDB">
      <w:pPr>
        <w:pStyle w:val="aff9"/>
        <w:numPr>
          <w:ilvl w:val="0"/>
          <w:numId w:val="80"/>
        </w:numPr>
        <w:rPr>
          <w:rFonts w:ascii="Arial" w:hAnsi="Arial" w:cs="Arial"/>
        </w:rPr>
      </w:pPr>
      <w:r w:rsidRPr="002B3F36">
        <w:rPr>
          <w:rStyle w:val="affffb"/>
        </w:rPr>
        <w:t>Regional Economic Development</w:t>
      </w:r>
      <w:r w:rsidRPr="002B3F36">
        <w:rPr>
          <w:rFonts w:ascii="Arial" w:hAnsi="Arial" w:cs="Arial"/>
        </w:rPr>
        <w:br/>
        <w:t xml:space="preserve">Construction and operations generate </w:t>
      </w:r>
      <w:r w:rsidRPr="002B3F36">
        <w:rPr>
          <w:rStyle w:val="affffb"/>
        </w:rPr>
        <w:t>employment</w:t>
      </w:r>
      <w:r w:rsidRPr="002B3F36">
        <w:rPr>
          <w:rFonts w:ascii="Arial" w:hAnsi="Arial" w:cs="Arial"/>
        </w:rPr>
        <w:t xml:space="preserve"> and stimulate </w:t>
      </w:r>
      <w:r w:rsidRPr="002B3F36">
        <w:rPr>
          <w:rStyle w:val="affffb"/>
        </w:rPr>
        <w:t>local economies</w:t>
      </w:r>
      <w:r w:rsidRPr="002B3F36">
        <w:rPr>
          <w:rFonts w:ascii="Arial" w:hAnsi="Arial" w:cs="Arial"/>
        </w:rPr>
        <w:t xml:space="preserve"> in </w:t>
      </w:r>
      <w:r w:rsidR="003A184C">
        <w:rPr>
          <w:rFonts w:ascii="Arial" w:hAnsi="Arial" w:cs="Arial"/>
        </w:rPr>
        <w:t>Karagandy</w:t>
      </w:r>
      <w:r w:rsidRPr="002B3F36">
        <w:rPr>
          <w:rFonts w:ascii="Arial" w:hAnsi="Arial" w:cs="Arial"/>
        </w:rPr>
        <w:t xml:space="preserve"> and Ulytau </w:t>
      </w:r>
      <w:r w:rsidR="003A184C">
        <w:rPr>
          <w:rFonts w:ascii="Arial" w:hAnsi="Arial" w:cs="Arial"/>
        </w:rPr>
        <w:t>region</w:t>
      </w:r>
      <w:r w:rsidRPr="002B3F36">
        <w:rPr>
          <w:rFonts w:ascii="Arial" w:hAnsi="Arial" w:cs="Arial"/>
        </w:rPr>
        <w:t>s through secondary services such as logistics hubs, retail trade, and small enterprises.</w:t>
      </w:r>
    </w:p>
    <w:p w14:paraId="0A144DCD" w14:textId="77777777" w:rsidR="00F61F8E" w:rsidRPr="002B3F36" w:rsidRDefault="000F264B" w:rsidP="009B4CDB">
      <w:pPr>
        <w:pStyle w:val="aff9"/>
        <w:numPr>
          <w:ilvl w:val="0"/>
          <w:numId w:val="80"/>
        </w:numPr>
        <w:rPr>
          <w:rFonts w:ascii="Arial" w:hAnsi="Arial" w:cs="Arial"/>
        </w:rPr>
      </w:pPr>
      <w:r w:rsidRPr="002B3F36">
        <w:rPr>
          <w:rStyle w:val="affffb"/>
        </w:rPr>
        <w:t>Improved Market Access</w:t>
      </w:r>
      <w:r w:rsidRPr="002B3F36">
        <w:rPr>
          <w:rFonts w:ascii="Arial" w:hAnsi="Arial" w:cs="Arial"/>
        </w:rPr>
        <w:br/>
        <w:t xml:space="preserve">Communities along the route benefit from </w:t>
      </w:r>
      <w:r w:rsidRPr="002B3F36">
        <w:rPr>
          <w:rStyle w:val="affffb"/>
        </w:rPr>
        <w:t>better transport links</w:t>
      </w:r>
      <w:r w:rsidRPr="002B3F36">
        <w:rPr>
          <w:rFonts w:ascii="Arial" w:hAnsi="Arial" w:cs="Arial"/>
        </w:rPr>
        <w:t>, allowing businesses to access wider markets and reducing transportation costs for goods and services.</w:t>
      </w:r>
    </w:p>
    <w:p w14:paraId="47F96EB0" w14:textId="77777777" w:rsidR="00F61F8E" w:rsidRPr="002B3F36" w:rsidRDefault="000F264B" w:rsidP="005A68AD">
      <w:pPr>
        <w:pStyle w:val="31"/>
      </w:pPr>
      <w:bookmarkStart w:id="576" w:name="_Toc208973732"/>
      <w:bookmarkStart w:id="577" w:name="_Toc208973932"/>
      <w:bookmarkStart w:id="578" w:name="_Toc208974132"/>
      <w:bookmarkStart w:id="579" w:name="_Toc208974334"/>
      <w:bookmarkStart w:id="580" w:name="_Toc208974542"/>
      <w:bookmarkStart w:id="581" w:name="_Toc210589408"/>
      <w:r w:rsidRPr="002B3F36">
        <w:t>Financial Benefits</w:t>
      </w:r>
      <w:bookmarkEnd w:id="576"/>
      <w:bookmarkEnd w:id="577"/>
      <w:bookmarkEnd w:id="578"/>
      <w:bookmarkEnd w:id="579"/>
      <w:bookmarkEnd w:id="580"/>
      <w:bookmarkEnd w:id="581"/>
    </w:p>
    <w:p w14:paraId="47183F23" w14:textId="77777777" w:rsidR="00F61F8E" w:rsidRPr="002B3F36" w:rsidRDefault="000F264B" w:rsidP="009B4CDB">
      <w:pPr>
        <w:pStyle w:val="aff9"/>
        <w:numPr>
          <w:ilvl w:val="0"/>
          <w:numId w:val="81"/>
        </w:numPr>
        <w:rPr>
          <w:rFonts w:ascii="Arial" w:hAnsi="Arial" w:cs="Arial"/>
        </w:rPr>
      </w:pPr>
      <w:r w:rsidRPr="002B3F36">
        <w:rPr>
          <w:rStyle w:val="affffb"/>
        </w:rPr>
        <w:t>International Investment and PPP Potential</w:t>
      </w:r>
      <w:r w:rsidRPr="002B3F36">
        <w:rPr>
          <w:rFonts w:ascii="Arial" w:hAnsi="Arial" w:cs="Arial"/>
        </w:rPr>
        <w:br/>
        <w:t xml:space="preserve">Project financing involves </w:t>
      </w:r>
      <w:r w:rsidRPr="002B3F36">
        <w:rPr>
          <w:rStyle w:val="affffb"/>
        </w:rPr>
        <w:t>international financial institutions</w:t>
      </w:r>
      <w:r w:rsidRPr="002B3F36">
        <w:rPr>
          <w:rFonts w:ascii="Arial" w:hAnsi="Arial" w:cs="Arial"/>
        </w:rPr>
        <w:t xml:space="preserve"> and creates opportunities for </w:t>
      </w:r>
      <w:r w:rsidRPr="002B3F36">
        <w:rPr>
          <w:rStyle w:val="affffb"/>
        </w:rPr>
        <w:t>public–private partnerships (PPP)</w:t>
      </w:r>
      <w:r w:rsidRPr="002B3F36">
        <w:rPr>
          <w:rFonts w:ascii="Arial" w:hAnsi="Arial" w:cs="Arial"/>
        </w:rPr>
        <w:t xml:space="preserve"> in operations, maintenance, and long-term service provision.</w:t>
      </w:r>
    </w:p>
    <w:p w14:paraId="083AFC75" w14:textId="77777777" w:rsidR="00F61F8E" w:rsidRPr="002B3F36" w:rsidRDefault="000F264B" w:rsidP="009B4CDB">
      <w:pPr>
        <w:pStyle w:val="aff9"/>
        <w:numPr>
          <w:ilvl w:val="0"/>
          <w:numId w:val="81"/>
        </w:numPr>
        <w:rPr>
          <w:rFonts w:ascii="Arial" w:hAnsi="Arial" w:cs="Arial"/>
        </w:rPr>
      </w:pPr>
      <w:r w:rsidRPr="002B3F36">
        <w:rPr>
          <w:rStyle w:val="affffb"/>
        </w:rPr>
        <w:t>Reduced Long-Term Costs</w:t>
      </w:r>
      <w:r w:rsidRPr="002B3F36">
        <w:rPr>
          <w:rFonts w:ascii="Arial" w:hAnsi="Arial" w:cs="Arial"/>
        </w:rPr>
        <w:br/>
        <w:t xml:space="preserve">Although initial capital expenditure is significant, the modern infrastructure lowers </w:t>
      </w:r>
      <w:r w:rsidRPr="002B3F36">
        <w:rPr>
          <w:rStyle w:val="affffb"/>
        </w:rPr>
        <w:t>long-term maintenance costs</w:t>
      </w:r>
      <w:r w:rsidRPr="002B3F36">
        <w:rPr>
          <w:rFonts w:ascii="Arial" w:hAnsi="Arial" w:cs="Arial"/>
        </w:rPr>
        <w:t xml:space="preserve"> and improves overall </w:t>
      </w:r>
      <w:r w:rsidRPr="002B3F36">
        <w:rPr>
          <w:rStyle w:val="affffb"/>
        </w:rPr>
        <w:t>financial sustainability</w:t>
      </w:r>
      <w:r w:rsidRPr="002B3F36">
        <w:rPr>
          <w:rFonts w:ascii="Arial" w:hAnsi="Arial" w:cs="Arial"/>
        </w:rPr>
        <w:t>.</w:t>
      </w:r>
    </w:p>
    <w:p w14:paraId="59F3C6B4" w14:textId="77777777" w:rsidR="00F61F8E" w:rsidRPr="002B3F36" w:rsidRDefault="000F264B" w:rsidP="009B4CDB">
      <w:pPr>
        <w:pStyle w:val="aff9"/>
        <w:numPr>
          <w:ilvl w:val="0"/>
          <w:numId w:val="81"/>
        </w:numPr>
        <w:rPr>
          <w:rFonts w:ascii="Arial" w:hAnsi="Arial" w:cs="Arial"/>
        </w:rPr>
      </w:pPr>
      <w:r w:rsidRPr="002B3F36">
        <w:rPr>
          <w:rStyle w:val="affffb"/>
        </w:rPr>
        <w:t>Revenue Generation</w:t>
      </w:r>
      <w:r w:rsidRPr="002B3F36">
        <w:rPr>
          <w:rFonts w:ascii="Arial" w:hAnsi="Arial" w:cs="Arial"/>
        </w:rPr>
        <w:br/>
        <w:t xml:space="preserve">Increased </w:t>
      </w:r>
      <w:r w:rsidRPr="002B3F36">
        <w:rPr>
          <w:rStyle w:val="affffb"/>
        </w:rPr>
        <w:t>freight capacity</w:t>
      </w:r>
      <w:r w:rsidRPr="002B3F36">
        <w:rPr>
          <w:rFonts w:ascii="Arial" w:hAnsi="Arial" w:cs="Arial"/>
        </w:rPr>
        <w:t xml:space="preserve"> and transit volumes are expected to raise </w:t>
      </w:r>
      <w:r w:rsidRPr="002B3F36">
        <w:rPr>
          <w:rStyle w:val="affffb"/>
        </w:rPr>
        <w:t>transit revenues</w:t>
      </w:r>
      <w:r w:rsidRPr="002B3F36">
        <w:rPr>
          <w:rFonts w:ascii="Arial" w:hAnsi="Arial" w:cs="Arial"/>
        </w:rPr>
        <w:t>, boosting Kazakhstan’s financial returns from regional trade flows.</w:t>
      </w:r>
    </w:p>
    <w:p w14:paraId="781ADC0D" w14:textId="77777777" w:rsidR="00F61F8E" w:rsidRPr="002B3F36" w:rsidRDefault="000F264B" w:rsidP="005A68AD">
      <w:pPr>
        <w:pStyle w:val="31"/>
      </w:pPr>
      <w:bookmarkStart w:id="582" w:name="_Toc208973733"/>
      <w:bookmarkStart w:id="583" w:name="_Toc208973933"/>
      <w:bookmarkStart w:id="584" w:name="_Toc208974133"/>
      <w:bookmarkStart w:id="585" w:name="_Toc208974335"/>
      <w:bookmarkStart w:id="586" w:name="_Toc208974543"/>
      <w:bookmarkStart w:id="587" w:name="_Toc210589409"/>
      <w:r w:rsidRPr="002B3F36">
        <w:t>Environmental Benefits</w:t>
      </w:r>
      <w:bookmarkEnd w:id="582"/>
      <w:bookmarkEnd w:id="583"/>
      <w:bookmarkEnd w:id="584"/>
      <w:bookmarkEnd w:id="585"/>
      <w:bookmarkEnd w:id="586"/>
      <w:bookmarkEnd w:id="587"/>
    </w:p>
    <w:p w14:paraId="3978D7CF" w14:textId="77777777" w:rsidR="00F61F8E" w:rsidRPr="002B3F36" w:rsidRDefault="000F264B" w:rsidP="009B4CDB">
      <w:pPr>
        <w:pStyle w:val="aff9"/>
        <w:numPr>
          <w:ilvl w:val="0"/>
          <w:numId w:val="82"/>
        </w:numPr>
        <w:rPr>
          <w:rFonts w:ascii="Arial" w:hAnsi="Arial" w:cs="Arial"/>
        </w:rPr>
      </w:pPr>
      <w:r w:rsidRPr="002B3F36">
        <w:rPr>
          <w:rStyle w:val="affffb"/>
        </w:rPr>
        <w:t>Modal Shift and Emission Reduction</w:t>
      </w:r>
      <w:r w:rsidRPr="002B3F36">
        <w:rPr>
          <w:rFonts w:ascii="Arial" w:hAnsi="Arial" w:cs="Arial"/>
        </w:rPr>
        <w:br/>
        <w:t xml:space="preserve">Shifting freight traffic from roads to rail leads to </w:t>
      </w:r>
      <w:r w:rsidRPr="002B3F36">
        <w:rPr>
          <w:rStyle w:val="affffb"/>
        </w:rPr>
        <w:t>lower greenhouse gas emissions</w:t>
      </w:r>
      <w:r w:rsidRPr="002B3F36">
        <w:rPr>
          <w:rFonts w:ascii="Arial" w:hAnsi="Arial" w:cs="Arial"/>
        </w:rPr>
        <w:t>, less road congestion, and reduced vehicle wear-and-tear across the transport network.</w:t>
      </w:r>
    </w:p>
    <w:p w14:paraId="3A024258" w14:textId="79ABE3AD" w:rsidR="00F61F8E" w:rsidRPr="002B3F36" w:rsidRDefault="000F264B" w:rsidP="009B4CDB">
      <w:pPr>
        <w:pStyle w:val="aff9"/>
        <w:numPr>
          <w:ilvl w:val="0"/>
          <w:numId w:val="82"/>
        </w:numPr>
        <w:rPr>
          <w:rFonts w:ascii="Arial" w:hAnsi="Arial" w:cs="Arial"/>
        </w:rPr>
      </w:pPr>
      <w:r w:rsidRPr="002B3F36">
        <w:rPr>
          <w:rStyle w:val="affffb"/>
        </w:rPr>
        <w:t>Climate-Smart Infrastructure</w:t>
      </w:r>
      <w:r w:rsidRPr="002B3F36">
        <w:rPr>
          <w:rStyle w:val="affffb"/>
        </w:rPr>
        <w:br/>
      </w:r>
      <w:r w:rsidRPr="002B3F36">
        <w:rPr>
          <w:rFonts w:ascii="Arial" w:hAnsi="Arial" w:cs="Arial"/>
        </w:rPr>
        <w:t xml:space="preserve">The project supports </w:t>
      </w:r>
      <w:r w:rsidRPr="002B3F36">
        <w:rPr>
          <w:rStyle w:val="affffb"/>
        </w:rPr>
        <w:t>Kazakhstan’s “Nurly Zhol” strategy</w:t>
      </w:r>
      <w:r w:rsidRPr="002B3F36">
        <w:rPr>
          <w:rFonts w:ascii="Arial" w:hAnsi="Arial" w:cs="Arial"/>
        </w:rPr>
        <w:t xml:space="preserve"> by promoting </w:t>
      </w:r>
      <w:r w:rsidRPr="002B3F36">
        <w:rPr>
          <w:rStyle w:val="affffb"/>
        </w:rPr>
        <w:t>climate-resilient, low-carbon transport</w:t>
      </w:r>
      <w:r w:rsidRPr="002B3F36">
        <w:rPr>
          <w:rFonts w:ascii="Arial" w:hAnsi="Arial" w:cs="Arial"/>
        </w:rPr>
        <w:t xml:space="preserve"> infrastructure.</w:t>
      </w:r>
    </w:p>
    <w:p w14:paraId="03B7FB1F" w14:textId="77777777" w:rsidR="00F61F8E" w:rsidRPr="002B3F36" w:rsidRDefault="000F264B" w:rsidP="005A68AD">
      <w:pPr>
        <w:pStyle w:val="31"/>
      </w:pPr>
      <w:bookmarkStart w:id="588" w:name="_Toc208973734"/>
      <w:bookmarkStart w:id="589" w:name="_Toc208973934"/>
      <w:bookmarkStart w:id="590" w:name="_Toc208974134"/>
      <w:bookmarkStart w:id="591" w:name="_Toc208974336"/>
      <w:bookmarkStart w:id="592" w:name="_Toc208974544"/>
      <w:bookmarkStart w:id="593" w:name="_Toc210589410"/>
      <w:r w:rsidRPr="002B3F36">
        <w:t>Social Benefits</w:t>
      </w:r>
      <w:bookmarkEnd w:id="588"/>
      <w:bookmarkEnd w:id="589"/>
      <w:bookmarkEnd w:id="590"/>
      <w:bookmarkEnd w:id="591"/>
      <w:bookmarkEnd w:id="592"/>
      <w:bookmarkEnd w:id="593"/>
    </w:p>
    <w:p w14:paraId="44297CDF" w14:textId="2C3A9DEB" w:rsidR="00F61F8E" w:rsidRPr="002B3F36" w:rsidRDefault="000F264B" w:rsidP="00F82096">
      <w:pPr>
        <w:pStyle w:val="aff9"/>
        <w:tabs>
          <w:tab w:val="left" w:pos="720"/>
        </w:tabs>
        <w:rPr>
          <w:rFonts w:ascii="Arial" w:hAnsi="Arial" w:cs="Arial"/>
        </w:rPr>
      </w:pPr>
      <w:r w:rsidRPr="002B3F36">
        <w:rPr>
          <w:rStyle w:val="affffb"/>
        </w:rPr>
        <w:t>Improved Accessibility and Social Services</w:t>
      </w:r>
      <w:r w:rsidR="00013133" w:rsidRPr="002B3F36">
        <w:rPr>
          <w:rStyle w:val="affffb"/>
        </w:rPr>
        <w:t xml:space="preserve">. </w:t>
      </w:r>
      <w:r w:rsidRPr="002B3F36">
        <w:rPr>
          <w:rFonts w:ascii="Arial" w:hAnsi="Arial" w:cs="Arial"/>
        </w:rPr>
        <w:t xml:space="preserve">The railway provides </w:t>
      </w:r>
      <w:r w:rsidRPr="002B3F36">
        <w:rPr>
          <w:rStyle w:val="affffb"/>
        </w:rPr>
        <w:t>faster, safer access</w:t>
      </w:r>
      <w:r w:rsidRPr="002B3F36">
        <w:rPr>
          <w:rFonts w:ascii="Arial" w:hAnsi="Arial" w:cs="Arial"/>
        </w:rPr>
        <w:t xml:space="preserve"> to healthcare, education, and employment opportunities, especially for </w:t>
      </w:r>
      <w:r w:rsidRPr="002B3F36">
        <w:rPr>
          <w:rStyle w:val="affffb"/>
        </w:rPr>
        <w:t>remote communities</w:t>
      </w:r>
      <w:r w:rsidRPr="002B3F36">
        <w:rPr>
          <w:rFonts w:ascii="Arial" w:hAnsi="Arial" w:cs="Arial"/>
        </w:rPr>
        <w:t>.</w:t>
      </w:r>
    </w:p>
    <w:p w14:paraId="350785B2" w14:textId="10DBDE3F" w:rsidR="00F61F8E" w:rsidRPr="002B3F36" w:rsidRDefault="00517A3E" w:rsidP="00DC2DBA">
      <w:pPr>
        <w:pStyle w:val="CaptionTable"/>
      </w:pPr>
      <w:bookmarkStart w:id="594" w:name="_Toc210589549"/>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5</w:t>
      </w:r>
      <w:r w:rsidR="00CF113E" w:rsidRPr="002B3F36">
        <w:fldChar w:fldCharType="end"/>
      </w:r>
      <w:r w:rsidR="000F264B" w:rsidRPr="002B3F36">
        <w:t xml:space="preserve">: Summary Table for With </w:t>
      </w:r>
      <w:r w:rsidR="0080772D" w:rsidRPr="002B3F36">
        <w:t>Project</w:t>
      </w:r>
      <w:r w:rsidR="000F264B" w:rsidRPr="002B3F36">
        <w:t xml:space="preserve"> and No Project Alternatives</w:t>
      </w:r>
      <w:bookmarkEnd w:id="594"/>
    </w:p>
    <w:tbl>
      <w:tblPr>
        <w:tblStyle w:val="af"/>
        <w:tblW w:w="9535" w:type="dxa"/>
        <w:tblLayout w:type="fixed"/>
        <w:tblLook w:val="04A0" w:firstRow="1" w:lastRow="0" w:firstColumn="1" w:lastColumn="0" w:noHBand="0" w:noVBand="1"/>
      </w:tblPr>
      <w:tblGrid>
        <w:gridCol w:w="1795"/>
        <w:gridCol w:w="2880"/>
        <w:gridCol w:w="4860"/>
      </w:tblGrid>
      <w:tr w:rsidR="00013133" w:rsidRPr="002B3F36" w14:paraId="3BB9E42B" w14:textId="77777777" w:rsidTr="00F82096">
        <w:trPr>
          <w:tblHeader/>
        </w:trPr>
        <w:tc>
          <w:tcPr>
            <w:tcW w:w="1795" w:type="dxa"/>
            <w:shd w:val="clear" w:color="auto" w:fill="F2F2F2" w:themeFill="background1" w:themeFillShade="F2"/>
            <w:vAlign w:val="center"/>
          </w:tcPr>
          <w:p w14:paraId="7CA0C30B" w14:textId="77777777" w:rsidR="00013133" w:rsidRPr="002B3F36" w:rsidRDefault="00013133" w:rsidP="00DC2DBA">
            <w:pPr>
              <w:pStyle w:val="ReportParagraph"/>
              <w:jc w:val="center"/>
              <w:rPr>
                <w:sz w:val="20"/>
                <w:szCs w:val="20"/>
              </w:rPr>
            </w:pPr>
            <w:r w:rsidRPr="002B3F36">
              <w:rPr>
                <w:rFonts w:eastAsia="Times New Roman"/>
                <w:b/>
                <w:bCs/>
                <w:sz w:val="20"/>
                <w:szCs w:val="20"/>
                <w:lang w:val="en-PH"/>
              </w:rPr>
              <w:t>Component</w:t>
            </w:r>
          </w:p>
        </w:tc>
        <w:tc>
          <w:tcPr>
            <w:tcW w:w="2880" w:type="dxa"/>
            <w:shd w:val="clear" w:color="auto" w:fill="F2F2F2" w:themeFill="background1" w:themeFillShade="F2"/>
            <w:vAlign w:val="center"/>
          </w:tcPr>
          <w:p w14:paraId="24601216" w14:textId="77777777" w:rsidR="00013133" w:rsidRPr="002B3F36" w:rsidRDefault="00013133" w:rsidP="00DC2DBA">
            <w:pPr>
              <w:pStyle w:val="ReportParagraph"/>
              <w:jc w:val="center"/>
              <w:rPr>
                <w:sz w:val="20"/>
                <w:szCs w:val="20"/>
              </w:rPr>
            </w:pPr>
            <w:r w:rsidRPr="002B3F36">
              <w:rPr>
                <w:rFonts w:eastAsia="Times New Roman"/>
                <w:b/>
                <w:bCs/>
                <w:sz w:val="20"/>
                <w:szCs w:val="20"/>
                <w:lang w:val="en-PH"/>
              </w:rPr>
              <w:t>No Project Scenario</w:t>
            </w:r>
          </w:p>
        </w:tc>
        <w:tc>
          <w:tcPr>
            <w:tcW w:w="4860" w:type="dxa"/>
            <w:shd w:val="clear" w:color="auto" w:fill="F2F2F2" w:themeFill="background1" w:themeFillShade="F2"/>
            <w:vAlign w:val="center"/>
          </w:tcPr>
          <w:p w14:paraId="14A291A3" w14:textId="77777777" w:rsidR="00013133" w:rsidRPr="002B3F36" w:rsidRDefault="00013133" w:rsidP="00DC2DBA">
            <w:pPr>
              <w:pStyle w:val="ReportParagraph"/>
              <w:jc w:val="center"/>
              <w:rPr>
                <w:sz w:val="20"/>
                <w:szCs w:val="20"/>
              </w:rPr>
            </w:pPr>
            <w:r w:rsidRPr="002B3F36">
              <w:rPr>
                <w:rFonts w:eastAsia="Times New Roman"/>
                <w:b/>
                <w:bCs/>
                <w:sz w:val="20"/>
                <w:szCs w:val="20"/>
                <w:lang w:val="en-PH"/>
              </w:rPr>
              <w:t>With Project Scenario</w:t>
            </w:r>
          </w:p>
        </w:tc>
      </w:tr>
      <w:tr w:rsidR="00013133" w:rsidRPr="002B3F36" w14:paraId="3291C5CD" w14:textId="77777777" w:rsidTr="00F82096">
        <w:tc>
          <w:tcPr>
            <w:tcW w:w="1795" w:type="dxa"/>
            <w:vAlign w:val="center"/>
          </w:tcPr>
          <w:p w14:paraId="65732A2C" w14:textId="77777777" w:rsidR="00013133" w:rsidRPr="002B3F36" w:rsidRDefault="00013133">
            <w:pPr>
              <w:pStyle w:val="ReportParagraph"/>
              <w:jc w:val="left"/>
              <w:rPr>
                <w:sz w:val="20"/>
                <w:szCs w:val="20"/>
              </w:rPr>
            </w:pPr>
            <w:r w:rsidRPr="002B3F36">
              <w:rPr>
                <w:rFonts w:eastAsia="Times New Roman"/>
                <w:b/>
                <w:bCs/>
                <w:sz w:val="20"/>
                <w:szCs w:val="20"/>
                <w:lang w:val="en-PH"/>
              </w:rPr>
              <w:t>Technical</w:t>
            </w:r>
          </w:p>
        </w:tc>
        <w:tc>
          <w:tcPr>
            <w:tcW w:w="2880" w:type="dxa"/>
            <w:vAlign w:val="center"/>
          </w:tcPr>
          <w:p w14:paraId="5BD184E3" w14:textId="77777777" w:rsidR="00013133" w:rsidRPr="002B3F36" w:rsidRDefault="00013133">
            <w:pPr>
              <w:pStyle w:val="ReportParagraph"/>
              <w:rPr>
                <w:sz w:val="20"/>
                <w:szCs w:val="20"/>
              </w:rPr>
            </w:pPr>
            <w:r w:rsidRPr="002B3F36">
              <w:rPr>
                <w:rFonts w:eastAsia="Times New Roman"/>
                <w:sz w:val="20"/>
                <w:szCs w:val="20"/>
                <w:lang w:val="en-PH"/>
              </w:rPr>
              <w:t>Absence of new rail infrastructure; continued reliance on existing congested network.</w:t>
            </w:r>
          </w:p>
        </w:tc>
        <w:tc>
          <w:tcPr>
            <w:tcW w:w="4860" w:type="dxa"/>
            <w:vAlign w:val="center"/>
          </w:tcPr>
          <w:p w14:paraId="0FE3D5E7" w14:textId="77777777" w:rsidR="00013133" w:rsidRPr="002B3F36" w:rsidRDefault="00013133">
            <w:pPr>
              <w:pStyle w:val="ReportParagraph"/>
              <w:rPr>
                <w:sz w:val="20"/>
                <w:szCs w:val="20"/>
              </w:rPr>
            </w:pPr>
            <w:r w:rsidRPr="002B3F36">
              <w:rPr>
                <w:rFonts w:eastAsia="Times New Roman"/>
                <w:sz w:val="20"/>
                <w:szCs w:val="20"/>
                <w:lang w:val="en-PH"/>
              </w:rPr>
              <w:t>Construction of modern railway infrastructure using best-available technologies to ensure stability, safety, and efficiency, relieving pressure on the Mointy–Zharyk section.</w:t>
            </w:r>
          </w:p>
        </w:tc>
      </w:tr>
      <w:tr w:rsidR="00013133" w:rsidRPr="002B3F36" w14:paraId="525BF947" w14:textId="77777777" w:rsidTr="00F82096">
        <w:tc>
          <w:tcPr>
            <w:tcW w:w="1795" w:type="dxa"/>
            <w:vAlign w:val="center"/>
          </w:tcPr>
          <w:p w14:paraId="1D5E1CDF" w14:textId="77777777" w:rsidR="00013133" w:rsidRPr="002B3F36" w:rsidRDefault="00013133">
            <w:pPr>
              <w:pStyle w:val="ReportParagraph"/>
              <w:jc w:val="left"/>
              <w:rPr>
                <w:sz w:val="20"/>
                <w:szCs w:val="20"/>
              </w:rPr>
            </w:pPr>
            <w:r w:rsidRPr="002B3F36">
              <w:rPr>
                <w:rFonts w:eastAsia="Times New Roman"/>
                <w:b/>
                <w:bCs/>
                <w:sz w:val="20"/>
                <w:szCs w:val="20"/>
                <w:lang w:val="en-PH"/>
              </w:rPr>
              <w:lastRenderedPageBreak/>
              <w:t>Economic</w:t>
            </w:r>
          </w:p>
        </w:tc>
        <w:tc>
          <w:tcPr>
            <w:tcW w:w="2880" w:type="dxa"/>
            <w:vAlign w:val="center"/>
          </w:tcPr>
          <w:p w14:paraId="41D8C417" w14:textId="77777777" w:rsidR="00013133" w:rsidRPr="002B3F36" w:rsidRDefault="00013133">
            <w:pPr>
              <w:pStyle w:val="ReportParagraph"/>
              <w:rPr>
                <w:sz w:val="20"/>
                <w:szCs w:val="20"/>
              </w:rPr>
            </w:pPr>
            <w:r w:rsidRPr="002B3F36">
              <w:rPr>
                <w:rFonts w:eastAsia="Times New Roman"/>
                <w:sz w:val="20"/>
                <w:szCs w:val="20"/>
                <w:lang w:val="en-PH"/>
              </w:rPr>
              <w:t>Limited national and regional connectivity; stagnation in transit potential and regional development; continued inefficiencies in trade corridors.</w:t>
            </w:r>
          </w:p>
        </w:tc>
        <w:tc>
          <w:tcPr>
            <w:tcW w:w="4860" w:type="dxa"/>
            <w:vAlign w:val="center"/>
          </w:tcPr>
          <w:p w14:paraId="33E77ABA" w14:textId="25094AE2" w:rsidR="00013133" w:rsidRPr="002B3F36" w:rsidRDefault="00013133">
            <w:pPr>
              <w:pStyle w:val="ReportParagraph"/>
              <w:rPr>
                <w:sz w:val="20"/>
                <w:szCs w:val="20"/>
              </w:rPr>
            </w:pPr>
            <w:r w:rsidRPr="002B3F36">
              <w:rPr>
                <w:rFonts w:eastAsia="Times New Roman"/>
                <w:sz w:val="20"/>
                <w:szCs w:val="20"/>
                <w:lang w:val="en-PH"/>
              </w:rPr>
              <w:t xml:space="preserve">Increased transit potential along the Trans-Caspian route; reduced congestion on existing lines; shorter delivery times; regional economic growth and investment opportunities, especially in </w:t>
            </w:r>
            <w:r w:rsidR="003A184C">
              <w:rPr>
                <w:rFonts w:eastAsia="Times New Roman"/>
                <w:sz w:val="20"/>
                <w:szCs w:val="20"/>
                <w:lang w:val="en-PH"/>
              </w:rPr>
              <w:t>Karagandy</w:t>
            </w:r>
            <w:r w:rsidRPr="002B3F36">
              <w:rPr>
                <w:rFonts w:eastAsia="Times New Roman"/>
                <w:sz w:val="20"/>
                <w:szCs w:val="20"/>
                <w:lang w:val="en-PH"/>
              </w:rPr>
              <w:t xml:space="preserve"> and Ulytau </w:t>
            </w:r>
            <w:r w:rsidR="003A184C">
              <w:rPr>
                <w:rFonts w:eastAsia="Times New Roman"/>
                <w:sz w:val="20"/>
                <w:szCs w:val="20"/>
                <w:lang w:val="en-PH"/>
              </w:rPr>
              <w:t>region</w:t>
            </w:r>
            <w:r w:rsidRPr="002B3F36">
              <w:rPr>
                <w:rFonts w:eastAsia="Times New Roman"/>
                <w:sz w:val="20"/>
                <w:szCs w:val="20"/>
                <w:lang w:val="en-PH"/>
              </w:rPr>
              <w:t>s.</w:t>
            </w:r>
          </w:p>
        </w:tc>
      </w:tr>
      <w:tr w:rsidR="00013133" w:rsidRPr="002B3F36" w14:paraId="2EA661DB" w14:textId="77777777" w:rsidTr="00F82096">
        <w:tc>
          <w:tcPr>
            <w:tcW w:w="1795" w:type="dxa"/>
            <w:vAlign w:val="center"/>
          </w:tcPr>
          <w:p w14:paraId="2D76EC1D" w14:textId="77777777" w:rsidR="00013133" w:rsidRPr="002B3F36" w:rsidRDefault="00013133">
            <w:pPr>
              <w:pStyle w:val="ReportParagraph"/>
              <w:jc w:val="left"/>
              <w:rPr>
                <w:sz w:val="20"/>
                <w:szCs w:val="20"/>
              </w:rPr>
            </w:pPr>
          </w:p>
        </w:tc>
        <w:tc>
          <w:tcPr>
            <w:tcW w:w="2880" w:type="dxa"/>
            <w:vAlign w:val="center"/>
          </w:tcPr>
          <w:p w14:paraId="104AAB96" w14:textId="77777777" w:rsidR="00013133" w:rsidRPr="002B3F36" w:rsidRDefault="00013133">
            <w:pPr>
              <w:pStyle w:val="ReportParagraph"/>
              <w:rPr>
                <w:sz w:val="20"/>
                <w:szCs w:val="20"/>
              </w:rPr>
            </w:pPr>
            <w:r w:rsidRPr="002B3F36">
              <w:rPr>
                <w:rFonts w:eastAsia="Times New Roman"/>
                <w:sz w:val="20"/>
                <w:szCs w:val="20"/>
                <w:lang w:val="en-PH"/>
              </w:rPr>
              <w:t>Limited job creation; constrained regional economy.</w:t>
            </w:r>
          </w:p>
        </w:tc>
        <w:tc>
          <w:tcPr>
            <w:tcW w:w="4860" w:type="dxa"/>
            <w:vAlign w:val="center"/>
          </w:tcPr>
          <w:p w14:paraId="1BA54720" w14:textId="77777777" w:rsidR="00013133" w:rsidRPr="002B3F36" w:rsidRDefault="00013133">
            <w:pPr>
              <w:pStyle w:val="ReportParagraph"/>
              <w:rPr>
                <w:sz w:val="20"/>
                <w:szCs w:val="20"/>
              </w:rPr>
            </w:pPr>
            <w:r w:rsidRPr="002B3F36">
              <w:rPr>
                <w:rFonts w:eastAsia="Times New Roman"/>
                <w:sz w:val="20"/>
                <w:szCs w:val="20"/>
                <w:lang w:val="en-PH"/>
              </w:rPr>
              <w:t>Local job creation during construction and operation; indirect benefits to service sectors; stimulus for small and medium enterprises; regional investment attraction.</w:t>
            </w:r>
          </w:p>
        </w:tc>
      </w:tr>
      <w:tr w:rsidR="00013133" w:rsidRPr="002B3F36" w14:paraId="4A06806B" w14:textId="77777777" w:rsidTr="00F82096">
        <w:tc>
          <w:tcPr>
            <w:tcW w:w="1795" w:type="dxa"/>
            <w:vAlign w:val="center"/>
          </w:tcPr>
          <w:p w14:paraId="4004D01F" w14:textId="77777777" w:rsidR="00013133" w:rsidRPr="002B3F36" w:rsidRDefault="00013133">
            <w:pPr>
              <w:pStyle w:val="ReportParagraph"/>
              <w:jc w:val="left"/>
              <w:rPr>
                <w:sz w:val="20"/>
                <w:szCs w:val="20"/>
              </w:rPr>
            </w:pPr>
            <w:r w:rsidRPr="002B3F36">
              <w:rPr>
                <w:rFonts w:eastAsia="Times New Roman"/>
                <w:b/>
                <w:bCs/>
                <w:sz w:val="20"/>
                <w:szCs w:val="20"/>
                <w:lang w:val="en-PH"/>
              </w:rPr>
              <w:t>Financial</w:t>
            </w:r>
          </w:p>
        </w:tc>
        <w:tc>
          <w:tcPr>
            <w:tcW w:w="2880" w:type="dxa"/>
            <w:vAlign w:val="center"/>
          </w:tcPr>
          <w:p w14:paraId="0A3E4E63" w14:textId="77777777" w:rsidR="00013133" w:rsidRPr="002B3F36" w:rsidRDefault="00013133">
            <w:pPr>
              <w:pStyle w:val="ReportParagraph"/>
              <w:rPr>
                <w:sz w:val="20"/>
                <w:szCs w:val="20"/>
              </w:rPr>
            </w:pPr>
            <w:r w:rsidRPr="002B3F36">
              <w:rPr>
                <w:rFonts w:eastAsia="Times New Roman"/>
                <w:sz w:val="20"/>
                <w:szCs w:val="20"/>
                <w:lang w:val="en-PH"/>
              </w:rPr>
              <w:t>Routine government expenditures for maintenance of existing infrastructure.</w:t>
            </w:r>
          </w:p>
        </w:tc>
        <w:tc>
          <w:tcPr>
            <w:tcW w:w="4860" w:type="dxa"/>
            <w:vAlign w:val="center"/>
          </w:tcPr>
          <w:p w14:paraId="1351F3E6" w14:textId="77777777" w:rsidR="00013133" w:rsidRPr="002B3F36" w:rsidRDefault="00013133">
            <w:pPr>
              <w:pStyle w:val="ReportParagraph"/>
              <w:rPr>
                <w:sz w:val="20"/>
                <w:szCs w:val="20"/>
              </w:rPr>
            </w:pPr>
            <w:r w:rsidRPr="002B3F36">
              <w:rPr>
                <w:rFonts w:eastAsia="Times New Roman"/>
                <w:sz w:val="20"/>
                <w:szCs w:val="20"/>
                <w:lang w:val="en-PH"/>
              </w:rPr>
              <w:t>Significant capital investment for construction and land acquisition supported by international financial institutions; potential for public–private partnerships (PPP) in operations and maintenance; long-term revenue generation through transit fees.</w:t>
            </w:r>
          </w:p>
        </w:tc>
      </w:tr>
      <w:tr w:rsidR="00013133" w:rsidRPr="002B3F36" w14:paraId="6579FE56" w14:textId="77777777" w:rsidTr="00F82096">
        <w:tc>
          <w:tcPr>
            <w:tcW w:w="1795" w:type="dxa"/>
            <w:vAlign w:val="center"/>
          </w:tcPr>
          <w:p w14:paraId="767955BF" w14:textId="77777777" w:rsidR="00013133" w:rsidRPr="002B3F36" w:rsidRDefault="00013133">
            <w:pPr>
              <w:pStyle w:val="ReportParagraph"/>
              <w:jc w:val="left"/>
              <w:rPr>
                <w:sz w:val="20"/>
                <w:szCs w:val="20"/>
              </w:rPr>
            </w:pPr>
            <w:r w:rsidRPr="002B3F36">
              <w:rPr>
                <w:rFonts w:eastAsia="Times New Roman"/>
                <w:b/>
                <w:bCs/>
                <w:sz w:val="20"/>
                <w:szCs w:val="20"/>
                <w:lang w:val="en-PH"/>
              </w:rPr>
              <w:t>Environmental</w:t>
            </w:r>
          </w:p>
        </w:tc>
        <w:tc>
          <w:tcPr>
            <w:tcW w:w="2880" w:type="dxa"/>
            <w:vAlign w:val="center"/>
          </w:tcPr>
          <w:p w14:paraId="2737DCC4" w14:textId="77777777" w:rsidR="00013133" w:rsidRPr="002B3F36" w:rsidRDefault="00013133">
            <w:pPr>
              <w:pStyle w:val="ReportParagraph"/>
              <w:rPr>
                <w:sz w:val="20"/>
                <w:szCs w:val="20"/>
              </w:rPr>
            </w:pPr>
            <w:r w:rsidRPr="002B3F36">
              <w:rPr>
                <w:rFonts w:eastAsia="Times New Roman"/>
                <w:sz w:val="20"/>
                <w:szCs w:val="20"/>
                <w:lang w:val="en-PH"/>
              </w:rPr>
              <w:t>No additional construction-related impacts, but continued reliance on less efficient routes with higher emissions.</w:t>
            </w:r>
          </w:p>
        </w:tc>
        <w:tc>
          <w:tcPr>
            <w:tcW w:w="4860" w:type="dxa"/>
            <w:vAlign w:val="center"/>
          </w:tcPr>
          <w:p w14:paraId="251D05F3" w14:textId="77777777" w:rsidR="00013133" w:rsidRPr="002B3F36" w:rsidRDefault="00013133">
            <w:pPr>
              <w:pStyle w:val="ReportParagraph"/>
              <w:rPr>
                <w:sz w:val="20"/>
                <w:szCs w:val="20"/>
              </w:rPr>
            </w:pPr>
            <w:r w:rsidRPr="002B3F36">
              <w:rPr>
                <w:rFonts w:eastAsia="Times New Roman"/>
                <w:sz w:val="20"/>
                <w:szCs w:val="20"/>
                <w:lang w:val="en-PH"/>
              </w:rPr>
              <w:t>Short-term, localized impacts on soil, noise, dust, and habitat disturbance mitigated under PS3 and PS6; project design minimizes intrusion into sensitive areas; improved environmental compliance and provision for wildlife crossings and safeguards.</w:t>
            </w:r>
          </w:p>
        </w:tc>
      </w:tr>
      <w:tr w:rsidR="00013133" w:rsidRPr="002B3F36" w14:paraId="75D81638" w14:textId="77777777" w:rsidTr="00F82096">
        <w:tc>
          <w:tcPr>
            <w:tcW w:w="1795" w:type="dxa"/>
            <w:vAlign w:val="center"/>
          </w:tcPr>
          <w:p w14:paraId="141F18E3" w14:textId="77777777" w:rsidR="00013133" w:rsidRPr="002B3F36" w:rsidRDefault="00013133">
            <w:pPr>
              <w:pStyle w:val="ReportParagraph"/>
              <w:jc w:val="left"/>
              <w:rPr>
                <w:sz w:val="20"/>
                <w:szCs w:val="20"/>
              </w:rPr>
            </w:pPr>
          </w:p>
        </w:tc>
        <w:tc>
          <w:tcPr>
            <w:tcW w:w="2880" w:type="dxa"/>
            <w:vAlign w:val="center"/>
          </w:tcPr>
          <w:p w14:paraId="1729D78C" w14:textId="77777777" w:rsidR="00013133" w:rsidRPr="002B3F36" w:rsidRDefault="00013133">
            <w:pPr>
              <w:pStyle w:val="ReportParagraph"/>
              <w:rPr>
                <w:sz w:val="20"/>
                <w:szCs w:val="20"/>
              </w:rPr>
            </w:pPr>
            <w:r w:rsidRPr="002B3F36">
              <w:rPr>
                <w:rFonts w:eastAsia="Times New Roman"/>
                <w:sz w:val="20"/>
                <w:szCs w:val="20"/>
                <w:lang w:val="en-PH"/>
              </w:rPr>
              <w:t>Higher greenhouse gas emissions due to congestion and reliance on longer, less efficient routes.</w:t>
            </w:r>
          </w:p>
        </w:tc>
        <w:tc>
          <w:tcPr>
            <w:tcW w:w="4860" w:type="dxa"/>
            <w:vAlign w:val="center"/>
          </w:tcPr>
          <w:p w14:paraId="3B3EDE04" w14:textId="77777777" w:rsidR="00013133" w:rsidRPr="002B3F36" w:rsidRDefault="00013133">
            <w:pPr>
              <w:pStyle w:val="ReportParagraph"/>
              <w:rPr>
                <w:sz w:val="20"/>
                <w:szCs w:val="20"/>
              </w:rPr>
            </w:pPr>
            <w:r w:rsidRPr="002B3F36">
              <w:rPr>
                <w:rFonts w:eastAsia="Times New Roman"/>
                <w:sz w:val="20"/>
                <w:szCs w:val="20"/>
                <w:lang w:val="en-PH"/>
              </w:rPr>
              <w:t>Reduced emissions through optimized routing, modern engineering standards, and modal shift from road to rail supporting low-carbon transport goals.</w:t>
            </w:r>
          </w:p>
        </w:tc>
      </w:tr>
      <w:tr w:rsidR="00013133" w:rsidRPr="002B3F36" w14:paraId="3E2A765E" w14:textId="77777777" w:rsidTr="00F82096">
        <w:tc>
          <w:tcPr>
            <w:tcW w:w="1795" w:type="dxa"/>
            <w:vAlign w:val="center"/>
          </w:tcPr>
          <w:p w14:paraId="7DD94938" w14:textId="77777777" w:rsidR="00013133" w:rsidRPr="002B3F36" w:rsidRDefault="00013133">
            <w:pPr>
              <w:pStyle w:val="ReportParagraph"/>
              <w:jc w:val="left"/>
              <w:rPr>
                <w:sz w:val="20"/>
                <w:szCs w:val="20"/>
              </w:rPr>
            </w:pPr>
            <w:r w:rsidRPr="002B3F36">
              <w:rPr>
                <w:rFonts w:eastAsia="Times New Roman"/>
                <w:b/>
                <w:bCs/>
                <w:sz w:val="20"/>
                <w:szCs w:val="20"/>
                <w:lang w:val="en-PH"/>
              </w:rPr>
              <w:t>Social</w:t>
            </w:r>
          </w:p>
        </w:tc>
        <w:tc>
          <w:tcPr>
            <w:tcW w:w="2880" w:type="dxa"/>
            <w:vAlign w:val="center"/>
          </w:tcPr>
          <w:p w14:paraId="4CC359B2" w14:textId="77777777" w:rsidR="00013133" w:rsidRPr="002B3F36" w:rsidRDefault="00013133">
            <w:pPr>
              <w:pStyle w:val="ReportParagraph"/>
              <w:rPr>
                <w:sz w:val="20"/>
                <w:szCs w:val="20"/>
              </w:rPr>
            </w:pPr>
            <w:r w:rsidRPr="002B3F36">
              <w:rPr>
                <w:rFonts w:eastAsia="Times New Roman"/>
                <w:sz w:val="20"/>
                <w:szCs w:val="20"/>
                <w:lang w:val="en-PH"/>
              </w:rPr>
              <w:t>Continued isolation of rural communities; limited access to markets, healthcare, and education.</w:t>
            </w:r>
          </w:p>
        </w:tc>
        <w:tc>
          <w:tcPr>
            <w:tcW w:w="4860" w:type="dxa"/>
            <w:vAlign w:val="center"/>
          </w:tcPr>
          <w:p w14:paraId="7D54ED8F" w14:textId="77777777" w:rsidR="00013133" w:rsidRPr="002B3F36" w:rsidRDefault="00013133">
            <w:pPr>
              <w:pStyle w:val="ReportParagraph"/>
              <w:rPr>
                <w:sz w:val="20"/>
                <w:szCs w:val="20"/>
              </w:rPr>
            </w:pPr>
            <w:r w:rsidRPr="002B3F36">
              <w:rPr>
                <w:rFonts w:eastAsia="Times New Roman"/>
                <w:sz w:val="20"/>
                <w:szCs w:val="20"/>
                <w:lang w:val="en-PH"/>
              </w:rPr>
              <w:t>Improved regional mobility and access to social services; enhanced quality of life through better connectivity and reduced travel times.</w:t>
            </w:r>
          </w:p>
        </w:tc>
      </w:tr>
      <w:tr w:rsidR="00013133" w:rsidRPr="002B3F36" w14:paraId="7330D837" w14:textId="77777777" w:rsidTr="00F82096">
        <w:tc>
          <w:tcPr>
            <w:tcW w:w="1795" w:type="dxa"/>
            <w:vAlign w:val="center"/>
          </w:tcPr>
          <w:p w14:paraId="7E0BD1E1" w14:textId="77777777" w:rsidR="00013133" w:rsidRPr="002B3F36" w:rsidRDefault="00013133">
            <w:pPr>
              <w:pStyle w:val="ReportParagraph"/>
              <w:jc w:val="left"/>
              <w:rPr>
                <w:sz w:val="20"/>
                <w:szCs w:val="20"/>
              </w:rPr>
            </w:pPr>
          </w:p>
        </w:tc>
        <w:tc>
          <w:tcPr>
            <w:tcW w:w="2880" w:type="dxa"/>
            <w:vAlign w:val="center"/>
          </w:tcPr>
          <w:p w14:paraId="0B3D93FC" w14:textId="77777777" w:rsidR="00013133" w:rsidRPr="002B3F36" w:rsidRDefault="00013133">
            <w:pPr>
              <w:pStyle w:val="ReportParagraph"/>
              <w:rPr>
                <w:sz w:val="20"/>
                <w:szCs w:val="20"/>
              </w:rPr>
            </w:pPr>
            <w:r w:rsidRPr="002B3F36">
              <w:rPr>
                <w:rFonts w:eastAsia="Times New Roman"/>
                <w:sz w:val="20"/>
                <w:szCs w:val="20"/>
                <w:lang w:val="en-PH"/>
              </w:rPr>
              <w:t>No land acquisition or resettlement requirements.</w:t>
            </w:r>
          </w:p>
        </w:tc>
        <w:tc>
          <w:tcPr>
            <w:tcW w:w="4860" w:type="dxa"/>
            <w:vAlign w:val="center"/>
          </w:tcPr>
          <w:p w14:paraId="5462F3D3" w14:textId="77777777" w:rsidR="00013133" w:rsidRPr="002B3F36" w:rsidRDefault="00013133">
            <w:pPr>
              <w:pStyle w:val="ReportParagraph"/>
              <w:rPr>
                <w:sz w:val="20"/>
                <w:szCs w:val="20"/>
              </w:rPr>
            </w:pPr>
            <w:r w:rsidRPr="002B3F36">
              <w:rPr>
                <w:rFonts w:eastAsia="Times New Roman"/>
                <w:sz w:val="20"/>
                <w:szCs w:val="20"/>
                <w:lang w:val="en-PH"/>
              </w:rPr>
              <w:t>Limited land acquisition with fair compensation and livelihood restoration measures in line with PS5; stakeholder engagement and grievance mechanisms integrated.</w:t>
            </w:r>
          </w:p>
        </w:tc>
      </w:tr>
      <w:tr w:rsidR="00013133" w:rsidRPr="002B3F36" w14:paraId="479403C7" w14:textId="77777777" w:rsidTr="00F82096">
        <w:tc>
          <w:tcPr>
            <w:tcW w:w="1795" w:type="dxa"/>
            <w:vAlign w:val="center"/>
          </w:tcPr>
          <w:p w14:paraId="33E3ABC5" w14:textId="77777777" w:rsidR="00013133" w:rsidRPr="002B3F36" w:rsidRDefault="00013133">
            <w:pPr>
              <w:pStyle w:val="ReportParagraph"/>
              <w:jc w:val="left"/>
              <w:rPr>
                <w:sz w:val="20"/>
                <w:szCs w:val="20"/>
              </w:rPr>
            </w:pPr>
          </w:p>
        </w:tc>
        <w:tc>
          <w:tcPr>
            <w:tcW w:w="2880" w:type="dxa"/>
            <w:vAlign w:val="center"/>
          </w:tcPr>
          <w:p w14:paraId="28F4CBFA" w14:textId="7074C6F4" w:rsidR="00013133" w:rsidRPr="002B3F36" w:rsidRDefault="00013133">
            <w:pPr>
              <w:pStyle w:val="ReportParagraph"/>
              <w:rPr>
                <w:sz w:val="20"/>
                <w:szCs w:val="20"/>
              </w:rPr>
            </w:pPr>
            <w:r w:rsidRPr="002B3F36">
              <w:rPr>
                <w:rFonts w:eastAsia="Times New Roman"/>
                <w:sz w:val="20"/>
                <w:szCs w:val="20"/>
                <w:lang w:val="en-PH"/>
              </w:rPr>
              <w:t>Existing infrastructure constraints limit railroad safety improvements; status quo in accident risks.</w:t>
            </w:r>
          </w:p>
        </w:tc>
        <w:tc>
          <w:tcPr>
            <w:tcW w:w="4860" w:type="dxa"/>
            <w:vAlign w:val="center"/>
          </w:tcPr>
          <w:p w14:paraId="5241F655" w14:textId="77777777" w:rsidR="00013133" w:rsidRPr="002B3F36" w:rsidRDefault="00013133">
            <w:pPr>
              <w:pStyle w:val="ReportParagraph"/>
              <w:rPr>
                <w:sz w:val="20"/>
                <w:szCs w:val="20"/>
              </w:rPr>
            </w:pPr>
            <w:r w:rsidRPr="002B3F36">
              <w:rPr>
                <w:rFonts w:eastAsia="Times New Roman"/>
                <w:sz w:val="20"/>
                <w:szCs w:val="20"/>
                <w:lang w:val="en-PH"/>
              </w:rPr>
              <w:t>Higher safety standards in design; safer railway crossings; reduced accident risk; planned measures for community health, labor camps, and construction safety under PS2 and PS4.</w:t>
            </w:r>
          </w:p>
        </w:tc>
      </w:tr>
      <w:tr w:rsidR="00013133" w:rsidRPr="002B3F36" w14:paraId="2E672B8B" w14:textId="77777777" w:rsidTr="00F82096">
        <w:tc>
          <w:tcPr>
            <w:tcW w:w="1795" w:type="dxa"/>
            <w:vAlign w:val="center"/>
          </w:tcPr>
          <w:p w14:paraId="1461CE86" w14:textId="77777777" w:rsidR="00013133" w:rsidRPr="002B3F36" w:rsidRDefault="00013133">
            <w:pPr>
              <w:pStyle w:val="ReportParagraph"/>
              <w:jc w:val="left"/>
              <w:rPr>
                <w:sz w:val="20"/>
                <w:szCs w:val="20"/>
              </w:rPr>
            </w:pPr>
          </w:p>
        </w:tc>
        <w:tc>
          <w:tcPr>
            <w:tcW w:w="2880" w:type="dxa"/>
            <w:vAlign w:val="center"/>
          </w:tcPr>
          <w:p w14:paraId="3DD3BBF3" w14:textId="77777777" w:rsidR="00013133" w:rsidRPr="002B3F36" w:rsidRDefault="00013133">
            <w:pPr>
              <w:pStyle w:val="ReportParagraph"/>
              <w:rPr>
                <w:sz w:val="20"/>
                <w:szCs w:val="20"/>
              </w:rPr>
            </w:pPr>
            <w:r w:rsidRPr="002B3F36">
              <w:rPr>
                <w:rFonts w:eastAsia="Times New Roman"/>
                <w:sz w:val="20"/>
                <w:szCs w:val="20"/>
                <w:lang w:val="en-PH"/>
              </w:rPr>
              <w:t>No major changes in community attitudes; unmet demand for modern transport persists.</w:t>
            </w:r>
          </w:p>
        </w:tc>
        <w:tc>
          <w:tcPr>
            <w:tcW w:w="4860" w:type="dxa"/>
            <w:vAlign w:val="center"/>
          </w:tcPr>
          <w:p w14:paraId="7EDE3A15" w14:textId="77777777" w:rsidR="00013133" w:rsidRPr="002B3F36" w:rsidRDefault="00013133">
            <w:pPr>
              <w:pStyle w:val="ReportParagraph"/>
              <w:rPr>
                <w:sz w:val="20"/>
                <w:szCs w:val="20"/>
              </w:rPr>
            </w:pPr>
            <w:r w:rsidRPr="002B3F36">
              <w:rPr>
                <w:rFonts w:eastAsia="Times New Roman"/>
                <w:sz w:val="20"/>
                <w:szCs w:val="20"/>
                <w:lang w:val="en-PH"/>
              </w:rPr>
              <w:t>Focus group discussions and stakeholder engagement show support for the project due to economic and social benefits.</w:t>
            </w:r>
          </w:p>
        </w:tc>
      </w:tr>
    </w:tbl>
    <w:p w14:paraId="24E9ADEA" w14:textId="77777777" w:rsidR="00F61F8E" w:rsidRPr="002B3F36" w:rsidRDefault="00F61F8E">
      <w:pPr>
        <w:pStyle w:val="ReportParagraph"/>
      </w:pPr>
    </w:p>
    <w:p w14:paraId="33C1C366" w14:textId="0E6ED92D" w:rsidR="00F61F8E" w:rsidRPr="002B3F36" w:rsidRDefault="000F264B" w:rsidP="00DC2DBA">
      <w:pPr>
        <w:pStyle w:val="ReportBodyPar"/>
      </w:pPr>
      <w:r w:rsidRPr="002B3F36">
        <w:t xml:space="preserve">The </w:t>
      </w:r>
      <w:r w:rsidR="0060649C" w:rsidRPr="002B3F36">
        <w:t xml:space="preserve">Mointy – Kyzylzhar </w:t>
      </w:r>
      <w:r w:rsidRPr="002B3F36">
        <w:t xml:space="preserve">project promises to transform Kazakhstan’s transit dynamics by significantly improving East–West rail connectivity, catalyzing economic </w:t>
      </w:r>
      <w:r w:rsidR="00A514CF" w:rsidRPr="002B3F36">
        <w:t xml:space="preserve">and social </w:t>
      </w:r>
      <w:r w:rsidRPr="002B3F36">
        <w:t>development</w:t>
      </w:r>
      <w:r w:rsidR="00A02FAD" w:rsidRPr="002B3F36">
        <w:t xml:space="preserve"> </w:t>
      </w:r>
      <w:r w:rsidRPr="002B3F36">
        <w:t xml:space="preserve">—particularly for </w:t>
      </w:r>
      <w:r w:rsidR="003A184C">
        <w:t>Karagandy</w:t>
      </w:r>
      <w:r w:rsidRPr="002B3F36">
        <w:t xml:space="preserve"> and Ulytau </w:t>
      </w:r>
      <w:r w:rsidR="003A184C">
        <w:t>region</w:t>
      </w:r>
      <w:r w:rsidRPr="002B3F36">
        <w:t>s. In contrast, the “No Project” scenario risks perpetuating transit bottlenecks, regional inequities, and infrastructure stagnation.</w:t>
      </w:r>
    </w:p>
    <w:p w14:paraId="2B71EE48" w14:textId="77777777" w:rsidR="00F61F8E" w:rsidRPr="002B3F36" w:rsidRDefault="00F61F8E" w:rsidP="00DC2DBA">
      <w:pPr>
        <w:pStyle w:val="ReportBodyPar"/>
      </w:pPr>
    </w:p>
    <w:p w14:paraId="4CCF0BE9" w14:textId="77777777" w:rsidR="00F61F8E" w:rsidRPr="002B3F36" w:rsidRDefault="000F264B" w:rsidP="00DC2DBA">
      <w:pPr>
        <w:pStyle w:val="ReportBodyPar"/>
      </w:pPr>
      <w:bookmarkStart w:id="595" w:name="_bookmark62"/>
      <w:bookmarkStart w:id="596" w:name="_bookmark63"/>
      <w:bookmarkEnd w:id="595"/>
      <w:bookmarkEnd w:id="596"/>
      <w:r w:rsidRPr="002B3F36">
        <w:t>Based on the above the “With the Project” condition is more beneficial and contributive to the regional and the country’s progress and development.</w:t>
      </w:r>
    </w:p>
    <w:p w14:paraId="3E08B59F" w14:textId="77777777" w:rsidR="00F61F8E" w:rsidRPr="002B3F36" w:rsidRDefault="00F61F8E">
      <w:pPr>
        <w:pStyle w:val="ReportParagraph"/>
      </w:pPr>
    </w:p>
    <w:p w14:paraId="6F2C75A4" w14:textId="31C54520" w:rsidR="00F61F8E" w:rsidRPr="002B3F36" w:rsidRDefault="000F264B" w:rsidP="005A68AD">
      <w:pPr>
        <w:pStyle w:val="31"/>
      </w:pPr>
      <w:bookmarkStart w:id="597" w:name="_Toc208973735"/>
      <w:bookmarkStart w:id="598" w:name="_Toc208973935"/>
      <w:bookmarkStart w:id="599" w:name="_Toc208974135"/>
      <w:bookmarkStart w:id="600" w:name="_Toc208974337"/>
      <w:bookmarkStart w:id="601" w:name="_Toc208974545"/>
      <w:bookmarkStart w:id="602" w:name="_Toc210589411"/>
      <w:r w:rsidRPr="002B3F36">
        <w:t>Alternative Design Layouts and Routes</w:t>
      </w:r>
      <w:bookmarkEnd w:id="597"/>
      <w:bookmarkEnd w:id="598"/>
      <w:bookmarkEnd w:id="599"/>
      <w:bookmarkEnd w:id="600"/>
      <w:bookmarkEnd w:id="601"/>
      <w:bookmarkEnd w:id="602"/>
    </w:p>
    <w:p w14:paraId="4369A543" w14:textId="77777777" w:rsidR="00F61F8E" w:rsidRPr="002B3F36" w:rsidRDefault="00F61F8E">
      <w:pPr>
        <w:pStyle w:val="ReportBodyPar"/>
      </w:pPr>
    </w:p>
    <w:p w14:paraId="46F5C286" w14:textId="685B6848" w:rsidR="00F61F8E" w:rsidRPr="002B3F36" w:rsidRDefault="000F264B" w:rsidP="00DC2DBA">
      <w:pPr>
        <w:pStyle w:val="ReportBodyPar"/>
        <w:rPr>
          <w:lang w:val="en-PH"/>
        </w:rPr>
      </w:pPr>
      <w:r w:rsidRPr="002B3F36">
        <w:rPr>
          <w:lang w:val="en-PH"/>
        </w:rPr>
        <w:t xml:space="preserve">In accordance with the legislation of the Republic of Kazakhstan and as part of the </w:t>
      </w:r>
      <w:r w:rsidRPr="002B3F36">
        <w:rPr>
          <w:b/>
          <w:bCs/>
          <w:lang w:val="en-PH"/>
        </w:rPr>
        <w:t>feasibility study (Volume 2)</w:t>
      </w:r>
      <w:r w:rsidRPr="002B3F36">
        <w:rPr>
          <w:lang w:val="en-PH"/>
        </w:rPr>
        <w:t xml:space="preserve"> for the design of the new </w:t>
      </w:r>
      <w:r w:rsidRPr="002B3F36">
        <w:rPr>
          <w:b/>
          <w:bCs/>
          <w:lang w:val="en-PH"/>
        </w:rPr>
        <w:t>Mointy–Kyzylzhar railway line</w:t>
      </w:r>
      <w:r w:rsidRPr="002B3F36">
        <w:rPr>
          <w:lang w:val="en-PH"/>
        </w:rPr>
        <w:t>, multiple route options were identified and evaluated. The selection of the preferred option was based on the following technical, operational, economic, and environmental criteria:</w:t>
      </w:r>
    </w:p>
    <w:p w14:paraId="5D345795" w14:textId="77777777" w:rsidR="00F61F8E" w:rsidRPr="002B3F36" w:rsidRDefault="000F264B" w:rsidP="00F82096">
      <w:pPr>
        <w:pStyle w:val="ReportBodyPar"/>
        <w:numPr>
          <w:ilvl w:val="0"/>
          <w:numId w:val="253"/>
        </w:numPr>
        <w:rPr>
          <w:lang w:val="en-PH"/>
        </w:rPr>
      </w:pPr>
      <w:r w:rsidRPr="002B3F36">
        <w:rPr>
          <w:b/>
          <w:bCs/>
          <w:lang w:val="en-PH"/>
        </w:rPr>
        <w:lastRenderedPageBreak/>
        <w:t>Regional Connectivity</w:t>
      </w:r>
      <w:r w:rsidRPr="002B3F36">
        <w:rPr>
          <w:lang w:val="en-PH"/>
        </w:rPr>
        <w:t xml:space="preserve"> – Ability of the new railway line to provide efficient access to northern, northwestern, and western regions of Kazakhstan as well as to Russia.</w:t>
      </w:r>
    </w:p>
    <w:p w14:paraId="3C10E537" w14:textId="77777777" w:rsidR="00F61F8E" w:rsidRPr="002B3F36" w:rsidRDefault="000F264B" w:rsidP="00F82096">
      <w:pPr>
        <w:pStyle w:val="ReportBodyPar"/>
        <w:numPr>
          <w:ilvl w:val="0"/>
          <w:numId w:val="253"/>
        </w:numPr>
        <w:rPr>
          <w:lang w:val="en-PH"/>
        </w:rPr>
      </w:pPr>
      <w:r w:rsidRPr="002B3F36">
        <w:rPr>
          <w:b/>
          <w:bCs/>
          <w:lang w:val="en-PH"/>
        </w:rPr>
        <w:t>Mainline Integration</w:t>
      </w:r>
      <w:r w:rsidRPr="002B3F36">
        <w:rPr>
          <w:lang w:val="en-PH"/>
        </w:rPr>
        <w:t xml:space="preserve"> – Alignment of the design profile and technical parameters with existing mainline standards to ensure operational compatibility.</w:t>
      </w:r>
    </w:p>
    <w:p w14:paraId="6F365302" w14:textId="77777777" w:rsidR="00F61F8E" w:rsidRPr="002B3F36" w:rsidRDefault="000F264B" w:rsidP="00F82096">
      <w:pPr>
        <w:pStyle w:val="ReportBodyPar"/>
        <w:numPr>
          <w:ilvl w:val="0"/>
          <w:numId w:val="253"/>
        </w:numPr>
        <w:rPr>
          <w:lang w:val="en-PH"/>
        </w:rPr>
      </w:pPr>
      <w:r w:rsidRPr="002B3F36">
        <w:rPr>
          <w:b/>
          <w:bCs/>
          <w:lang w:val="en-PH"/>
        </w:rPr>
        <w:t>Reduced Transit Distance and Time</w:t>
      </w:r>
      <w:r w:rsidRPr="002B3F36">
        <w:rPr>
          <w:lang w:val="en-PH"/>
        </w:rPr>
        <w:t xml:space="preserve"> – Capacity of the route to shorten distances and delivery times for freight transport compared to existing routes.</w:t>
      </w:r>
    </w:p>
    <w:p w14:paraId="121B6060" w14:textId="77777777" w:rsidR="00F61F8E" w:rsidRPr="002B3F36" w:rsidRDefault="000F264B" w:rsidP="00F82096">
      <w:pPr>
        <w:pStyle w:val="ReportBodyPar"/>
        <w:numPr>
          <w:ilvl w:val="0"/>
          <w:numId w:val="253"/>
        </w:numPr>
        <w:rPr>
          <w:lang w:val="en-PH"/>
        </w:rPr>
      </w:pPr>
      <w:r w:rsidRPr="002B3F36">
        <w:rPr>
          <w:b/>
          <w:bCs/>
          <w:lang w:val="en-PH"/>
        </w:rPr>
        <w:t>Construction and Operating Costs</w:t>
      </w:r>
      <w:r w:rsidRPr="002B3F36">
        <w:rPr>
          <w:lang w:val="en-PH"/>
        </w:rPr>
        <w:t xml:space="preserve"> – Optimization of capital expenditure and long-term operational costs, with preference for options requiring fewer complex engineering structures.</w:t>
      </w:r>
    </w:p>
    <w:p w14:paraId="3F4D0509" w14:textId="77777777" w:rsidR="00F61F8E" w:rsidRPr="002B3F36" w:rsidRDefault="000F264B" w:rsidP="00F82096">
      <w:pPr>
        <w:pStyle w:val="ReportBodyPar"/>
        <w:numPr>
          <w:ilvl w:val="0"/>
          <w:numId w:val="253"/>
        </w:numPr>
        <w:rPr>
          <w:lang w:val="en-PH"/>
        </w:rPr>
      </w:pPr>
      <w:r w:rsidRPr="002B3F36">
        <w:rPr>
          <w:b/>
          <w:bCs/>
          <w:lang w:val="en-PH"/>
        </w:rPr>
        <w:t>Junction Station Integration</w:t>
      </w:r>
      <w:r w:rsidRPr="002B3F36">
        <w:rPr>
          <w:lang w:val="en-PH"/>
        </w:rPr>
        <w:t xml:space="preserve"> – Technical and operational suitability of connecting to existing railway junction stations.</w:t>
      </w:r>
    </w:p>
    <w:p w14:paraId="08C71306" w14:textId="77777777" w:rsidR="00F61F8E" w:rsidRPr="002B3F36" w:rsidRDefault="000F264B" w:rsidP="00F82096">
      <w:pPr>
        <w:pStyle w:val="ReportBodyPar"/>
        <w:numPr>
          <w:ilvl w:val="0"/>
          <w:numId w:val="253"/>
        </w:numPr>
        <w:rPr>
          <w:lang w:val="en-PH"/>
        </w:rPr>
      </w:pPr>
      <w:r w:rsidRPr="002B3F36">
        <w:rPr>
          <w:b/>
          <w:bCs/>
          <w:lang w:val="en-PH"/>
        </w:rPr>
        <w:t>Operational Length</w:t>
      </w:r>
      <w:r w:rsidRPr="002B3F36">
        <w:rPr>
          <w:lang w:val="en-PH"/>
        </w:rPr>
        <w:t xml:space="preserve"> – Efficiency of the route in terms of total operational length to maximize service coverage and minimize travel times.</w:t>
      </w:r>
    </w:p>
    <w:p w14:paraId="58317E1B" w14:textId="77777777" w:rsidR="00F61F8E" w:rsidRPr="002B3F36" w:rsidRDefault="000F264B" w:rsidP="00F82096">
      <w:pPr>
        <w:pStyle w:val="ReportBodyPar"/>
        <w:numPr>
          <w:ilvl w:val="0"/>
          <w:numId w:val="253"/>
        </w:numPr>
        <w:rPr>
          <w:lang w:val="en-PH"/>
        </w:rPr>
      </w:pPr>
      <w:r w:rsidRPr="002B3F36">
        <w:rPr>
          <w:b/>
          <w:bCs/>
          <w:lang w:val="en-PH"/>
        </w:rPr>
        <w:t>Construction Length</w:t>
      </w:r>
      <w:r w:rsidRPr="002B3F36">
        <w:rPr>
          <w:lang w:val="en-PH"/>
        </w:rPr>
        <w:t xml:space="preserve"> – Total length of new construction works required for each alternative.</w:t>
      </w:r>
    </w:p>
    <w:p w14:paraId="7DBFC319" w14:textId="77777777" w:rsidR="00F61F8E" w:rsidRPr="002B3F36" w:rsidRDefault="000F264B" w:rsidP="00F82096">
      <w:pPr>
        <w:pStyle w:val="ReportBodyPar"/>
        <w:numPr>
          <w:ilvl w:val="0"/>
          <w:numId w:val="253"/>
        </w:numPr>
        <w:rPr>
          <w:lang w:val="en-PH"/>
        </w:rPr>
      </w:pPr>
      <w:r w:rsidRPr="002B3F36">
        <w:rPr>
          <w:b/>
          <w:bCs/>
          <w:lang w:val="en-PH"/>
        </w:rPr>
        <w:t>Unfavorable Terrain Constraints</w:t>
      </w:r>
      <w:r w:rsidRPr="002B3F36">
        <w:rPr>
          <w:lang w:val="en-PH"/>
        </w:rPr>
        <w:t xml:space="preserve"> – Presence and extent of topographical or geotechnical challenges affecting constructability.</w:t>
      </w:r>
    </w:p>
    <w:p w14:paraId="40AC887F" w14:textId="77777777" w:rsidR="00F61F8E" w:rsidRPr="002B3F36" w:rsidRDefault="000F264B" w:rsidP="00F82096">
      <w:pPr>
        <w:pStyle w:val="ReportBodyPar"/>
        <w:numPr>
          <w:ilvl w:val="0"/>
          <w:numId w:val="253"/>
        </w:numPr>
        <w:rPr>
          <w:lang w:val="en-PH"/>
        </w:rPr>
      </w:pPr>
      <w:r w:rsidRPr="002B3F36">
        <w:rPr>
          <w:b/>
          <w:bCs/>
          <w:lang w:val="en-PH"/>
        </w:rPr>
        <w:t>Engineering Structures</w:t>
      </w:r>
      <w:r w:rsidRPr="002B3F36">
        <w:rPr>
          <w:lang w:val="en-PH"/>
        </w:rPr>
        <w:t xml:space="preserve"> – Number and complexity of artificial structures such as bridges, culverts, and overpasses required along the route.</w:t>
      </w:r>
    </w:p>
    <w:p w14:paraId="35FD5810" w14:textId="77777777" w:rsidR="00F61F8E" w:rsidRPr="002B3F36" w:rsidRDefault="000F264B" w:rsidP="00F82096">
      <w:pPr>
        <w:pStyle w:val="ReportBodyPar"/>
        <w:numPr>
          <w:ilvl w:val="0"/>
          <w:numId w:val="253"/>
        </w:numPr>
        <w:rPr>
          <w:lang w:val="en-PH"/>
        </w:rPr>
      </w:pPr>
      <w:r w:rsidRPr="002B3F36">
        <w:rPr>
          <w:b/>
          <w:bCs/>
          <w:lang w:val="en-PH"/>
        </w:rPr>
        <w:t>Land Acquisition Requirements</w:t>
      </w:r>
      <w:r w:rsidRPr="002B3F36">
        <w:rPr>
          <w:lang w:val="en-PH"/>
        </w:rPr>
        <w:t xml:space="preserve"> – Feasibility and cost implications associated with land allocation and resettlement needs.</w:t>
      </w:r>
    </w:p>
    <w:p w14:paraId="5328352E" w14:textId="77777777" w:rsidR="00F61F8E" w:rsidRPr="002B3F36" w:rsidRDefault="000F264B" w:rsidP="00F82096">
      <w:pPr>
        <w:pStyle w:val="ReportBodyPar"/>
        <w:numPr>
          <w:ilvl w:val="0"/>
          <w:numId w:val="253"/>
        </w:numPr>
        <w:rPr>
          <w:lang w:val="en-PH"/>
        </w:rPr>
      </w:pPr>
      <w:r w:rsidRPr="002B3F36">
        <w:rPr>
          <w:b/>
          <w:bCs/>
          <w:lang w:val="en-PH"/>
        </w:rPr>
        <w:t>Proximity to Settlements</w:t>
      </w:r>
      <w:r w:rsidRPr="002B3F36">
        <w:rPr>
          <w:lang w:val="en-PH"/>
        </w:rPr>
        <w:t xml:space="preserve"> – Degree of alignment optimization to ensure operational efficiency while maintaining suitable proximity to existing population centers.</w:t>
      </w:r>
    </w:p>
    <w:p w14:paraId="488CF79B" w14:textId="77777777" w:rsidR="00F61F8E" w:rsidRPr="002B3F36" w:rsidRDefault="000F264B" w:rsidP="00F82096">
      <w:pPr>
        <w:pStyle w:val="ReportBodyPar"/>
        <w:numPr>
          <w:ilvl w:val="0"/>
          <w:numId w:val="253"/>
        </w:numPr>
        <w:rPr>
          <w:lang w:val="en-PH"/>
        </w:rPr>
      </w:pPr>
      <w:r w:rsidRPr="002B3F36">
        <w:rPr>
          <w:b/>
          <w:bCs/>
          <w:lang w:val="en-PH"/>
        </w:rPr>
        <w:t>Freight Service Accessibility</w:t>
      </w:r>
      <w:r w:rsidRPr="002B3F36">
        <w:rPr>
          <w:lang w:val="en-PH"/>
        </w:rPr>
        <w:t xml:space="preserve"> – Convenience and efficiency of freight train servicing along the proposed alignment.</w:t>
      </w:r>
    </w:p>
    <w:p w14:paraId="6303E39A" w14:textId="77777777" w:rsidR="00F61F8E" w:rsidRPr="002B3F36" w:rsidRDefault="000F264B" w:rsidP="00F82096">
      <w:pPr>
        <w:pStyle w:val="ReportBodyPar"/>
        <w:numPr>
          <w:ilvl w:val="0"/>
          <w:numId w:val="253"/>
        </w:numPr>
        <w:rPr>
          <w:lang w:val="en-PH"/>
        </w:rPr>
      </w:pPr>
      <w:r w:rsidRPr="002B3F36">
        <w:rPr>
          <w:b/>
          <w:bCs/>
          <w:lang w:val="en-PH"/>
        </w:rPr>
        <w:t>Topographical Optimization</w:t>
      </w:r>
      <w:r w:rsidRPr="002B3F36">
        <w:rPr>
          <w:lang w:val="en-PH"/>
        </w:rPr>
        <w:t xml:space="preserve"> – Rational routing to minimize earthworks, reduce construction complexity, and optimize overall project costs.</w:t>
      </w:r>
    </w:p>
    <w:p w14:paraId="273F732C" w14:textId="77777777" w:rsidR="00F61F8E" w:rsidRPr="002B3F36" w:rsidRDefault="000F264B" w:rsidP="00F82096">
      <w:pPr>
        <w:pStyle w:val="ReportBodyPar"/>
        <w:numPr>
          <w:ilvl w:val="0"/>
          <w:numId w:val="253"/>
        </w:numPr>
        <w:rPr>
          <w:lang w:val="en-PH"/>
        </w:rPr>
      </w:pPr>
      <w:r w:rsidRPr="002B3F36">
        <w:rPr>
          <w:b/>
          <w:bCs/>
          <w:lang w:val="en-PH"/>
        </w:rPr>
        <w:t>Engineering Network Integration</w:t>
      </w:r>
      <w:r w:rsidRPr="002B3F36">
        <w:rPr>
          <w:lang w:val="en-PH"/>
        </w:rPr>
        <w:t xml:space="preserve"> – Availability and ease of connection to existing utility networks, including power supply, water supply, and heating systems.</w:t>
      </w:r>
    </w:p>
    <w:p w14:paraId="48322BDC" w14:textId="77777777" w:rsidR="00F61F8E" w:rsidRPr="002B3F36" w:rsidRDefault="000F264B" w:rsidP="00F82096">
      <w:pPr>
        <w:pStyle w:val="ReportBodyPar"/>
        <w:numPr>
          <w:ilvl w:val="0"/>
          <w:numId w:val="253"/>
        </w:numPr>
        <w:rPr>
          <w:lang w:val="en-PH"/>
        </w:rPr>
      </w:pPr>
      <w:r w:rsidRPr="002B3F36">
        <w:rPr>
          <w:b/>
          <w:bCs/>
          <w:lang w:val="en-PH"/>
        </w:rPr>
        <w:t>Geological Suitability</w:t>
      </w:r>
      <w:r w:rsidRPr="002B3F36">
        <w:rPr>
          <w:lang w:val="en-PH"/>
        </w:rPr>
        <w:t xml:space="preserve"> – Potential to avoid geologically unfavorable areas or complex terrain conditions that could increase construction risks or costs.</w:t>
      </w:r>
    </w:p>
    <w:p w14:paraId="47C97EB3" w14:textId="6F5AED00" w:rsidR="00F61F8E" w:rsidRPr="002B3F36" w:rsidRDefault="000F264B" w:rsidP="00F82096">
      <w:pPr>
        <w:pStyle w:val="ReportBodyPar"/>
        <w:numPr>
          <w:ilvl w:val="0"/>
          <w:numId w:val="253"/>
        </w:numPr>
        <w:rPr>
          <w:lang w:val="en-PH"/>
        </w:rPr>
      </w:pPr>
      <w:r w:rsidRPr="002B3F36">
        <w:rPr>
          <w:b/>
          <w:bCs/>
          <w:lang w:val="en-PH"/>
        </w:rPr>
        <w:t>Environmental Impact Minimization</w:t>
      </w:r>
      <w:r w:rsidRPr="002B3F36">
        <w:rPr>
          <w:lang w:val="en-PH"/>
        </w:rPr>
        <w:t xml:space="preserve"> – Extent to which the alignment can minimize adverse environmental impacts through route selection and mitigation planning.</w:t>
      </w:r>
    </w:p>
    <w:p w14:paraId="4F99F131" w14:textId="77777777" w:rsidR="00F60018" w:rsidRPr="002B3F36" w:rsidRDefault="00F60018">
      <w:pPr>
        <w:pStyle w:val="ReportBodyPar"/>
        <w:rPr>
          <w:lang w:val="en-PH"/>
        </w:rPr>
      </w:pPr>
    </w:p>
    <w:p w14:paraId="7AE3FCA4" w14:textId="343E2839" w:rsidR="00F61F8E" w:rsidRPr="00A846C7" w:rsidRDefault="000F264B">
      <w:pPr>
        <w:pStyle w:val="ReportBodyPar"/>
        <w:rPr>
          <w:rFonts w:eastAsia="Times New Roman"/>
          <w:color w:val="222222"/>
          <w:lang w:eastAsia="en-PH"/>
        </w:rPr>
      </w:pPr>
      <w:r w:rsidRPr="002B3F36">
        <w:rPr>
          <w:lang w:val="en-PH"/>
        </w:rPr>
        <w:t>It should be noted that, due to the geographical and alignment constraints associated with connecting Mointy to Kyzylzhar, all route alternatives unavoidably intersect portions of Andasai Sanctuary (Cluster 2) as well as two Important Bird Areas (IBAs). However, the alignments were optimized during the design stage to minimize the extent and length of traversals within these ecologically sensitive areas to the greatest extent practicable. These route options are described in the ensuing subsections.</w:t>
      </w:r>
      <w:r w:rsidR="00CA6D71" w:rsidRPr="002B3F36">
        <w:rPr>
          <w:lang w:val="en-PH"/>
        </w:rPr>
        <w:t xml:space="preserve"> </w:t>
      </w:r>
      <w:r w:rsidR="00CA6D71" w:rsidRPr="00A846C7">
        <w:rPr>
          <w:rFonts w:eastAsia="Times New Roman"/>
          <w:color w:val="222222"/>
          <w:lang w:eastAsia="en-PH"/>
        </w:rPr>
        <w:t>Most part of the core zones of the areas (the Hilly areas which are used for nesting by protected birds of prey) are avoided.</w:t>
      </w:r>
    </w:p>
    <w:p w14:paraId="13CB0B48" w14:textId="2A4E5557" w:rsidR="00CA6D71" w:rsidRPr="002B3F36" w:rsidRDefault="00CA6D71">
      <w:pPr>
        <w:pStyle w:val="ReportBodyPar"/>
        <w:rPr>
          <w:lang w:val="en-PH"/>
        </w:rPr>
      </w:pPr>
    </w:p>
    <w:p w14:paraId="1A2CADE5" w14:textId="130F9BBF" w:rsidR="00CA6D71" w:rsidRPr="002B3F36" w:rsidRDefault="00CA6D71" w:rsidP="00F82096">
      <w:pPr>
        <w:jc w:val="both"/>
        <w:rPr>
          <w:rFonts w:eastAsia="Times New Roman"/>
          <w:color w:val="222222"/>
          <w:lang w:eastAsia="en-PH"/>
        </w:rPr>
      </w:pPr>
      <w:r w:rsidRPr="00A846C7">
        <w:rPr>
          <w:rFonts w:ascii="Arial" w:eastAsia="Times New Roman" w:hAnsi="Arial" w:cs="Arial"/>
          <w:color w:val="222222"/>
          <w:sz w:val="24"/>
          <w:szCs w:val="24"/>
          <w:lang w:eastAsia="en-PH"/>
        </w:rPr>
        <w:t xml:space="preserve">The under-construction railway (Option 4) crosses about 75 km of the Ortau IBA, about 45 km of the Ayak-Bestau IBA and about 16 km of the </w:t>
      </w:r>
      <w:r w:rsidR="00EF045E" w:rsidRPr="00A846C7">
        <w:rPr>
          <w:rFonts w:ascii="Arial" w:eastAsia="Times New Roman" w:hAnsi="Arial" w:cs="Arial"/>
          <w:color w:val="222222"/>
          <w:sz w:val="24"/>
          <w:szCs w:val="24"/>
          <w:lang w:eastAsia="en-PH"/>
        </w:rPr>
        <w:t>Andasai</w:t>
      </w:r>
      <w:r w:rsidRPr="00A846C7">
        <w:rPr>
          <w:rFonts w:ascii="Arial" w:eastAsia="Times New Roman" w:hAnsi="Arial" w:cs="Arial"/>
          <w:color w:val="222222"/>
          <w:sz w:val="24"/>
          <w:szCs w:val="24"/>
          <w:lang w:eastAsia="en-PH"/>
        </w:rPr>
        <w:t xml:space="preserve"> Sanctuary. Alternative road options: Option 1 (green line on Figure 3): about 16 km of the Andasai Sanctuary and about 60 km of the Ortau IBA. Ayak-Bestau IBA is not affected. Option 2 (red line): about 16 km of the Andasai Sanctuary and about 110 km of the Ortau IBA. Ayak-Bestau is not affected. Option 3 (lilac line): about 16 km of the Andasai Nature Reserve and about 60 km of the Ortau IBA. Ayak-Bestau IBA is not affected</w:t>
      </w:r>
    </w:p>
    <w:p w14:paraId="5AE44DAE" w14:textId="2C0E116B" w:rsidR="00F61F8E" w:rsidRPr="002B3F36" w:rsidRDefault="000F264B" w:rsidP="00DC2DBA">
      <w:pPr>
        <w:pStyle w:val="41"/>
      </w:pPr>
      <w:bookmarkStart w:id="603" w:name="_Toc208973736"/>
      <w:bookmarkStart w:id="604" w:name="_Toc208973936"/>
      <w:bookmarkStart w:id="605" w:name="_Toc208974136"/>
      <w:bookmarkStart w:id="606" w:name="_Toc208974338"/>
      <w:bookmarkStart w:id="607" w:name="_Toc208974546"/>
      <w:bookmarkStart w:id="608" w:name="_Toc210589412"/>
      <w:r w:rsidRPr="002B3F36">
        <w:lastRenderedPageBreak/>
        <w:t>Route Option 1</w:t>
      </w:r>
      <w:bookmarkEnd w:id="603"/>
      <w:bookmarkEnd w:id="604"/>
      <w:bookmarkEnd w:id="605"/>
      <w:bookmarkEnd w:id="606"/>
      <w:bookmarkEnd w:id="607"/>
      <w:bookmarkEnd w:id="608"/>
    </w:p>
    <w:p w14:paraId="0384E9E0" w14:textId="239FBEBC" w:rsidR="00F61F8E" w:rsidRPr="002B3F36" w:rsidRDefault="000F264B">
      <w:pPr>
        <w:pStyle w:val="ReportBodyPar"/>
      </w:pPr>
      <w:r w:rsidRPr="002B3F36">
        <w:t xml:space="preserve">Route Option 1 has a </w:t>
      </w:r>
      <w:r w:rsidRPr="002B3F36">
        <w:rPr>
          <w:rStyle w:val="affffb"/>
          <w:b w:val="0"/>
        </w:rPr>
        <w:t>construction length of 357.2 km</w:t>
      </w:r>
      <w:r w:rsidRPr="002B3F36">
        <w:t xml:space="preserve"> and incorporates </w:t>
      </w:r>
      <w:r w:rsidRPr="002B3F36">
        <w:rPr>
          <w:rStyle w:val="affffb"/>
          <w:b w:val="0"/>
        </w:rPr>
        <w:t>11 dividing points</w:t>
      </w:r>
      <w:r w:rsidRPr="002B3F36">
        <w:t xml:space="preserve">, </w:t>
      </w:r>
      <w:r w:rsidRPr="002B3F36">
        <w:rPr>
          <w:rStyle w:val="affffb"/>
          <w:b w:val="0"/>
        </w:rPr>
        <w:t>8 railway overpasses</w:t>
      </w:r>
      <w:r w:rsidRPr="002B3F36">
        <w:t xml:space="preserve">, </w:t>
      </w:r>
      <w:r w:rsidRPr="002B3F36">
        <w:rPr>
          <w:rStyle w:val="affffb"/>
          <w:b w:val="0"/>
        </w:rPr>
        <w:t>31 bridges</w:t>
      </w:r>
      <w:r w:rsidRPr="002B3F36">
        <w:t xml:space="preserve">, </w:t>
      </w:r>
      <w:r w:rsidRPr="002B3F36">
        <w:rPr>
          <w:rStyle w:val="affffb"/>
          <w:b w:val="0"/>
        </w:rPr>
        <w:t>3 cattle crossings</w:t>
      </w:r>
      <w:r w:rsidRPr="002B3F36">
        <w:t xml:space="preserve">, </w:t>
      </w:r>
      <w:r w:rsidRPr="002B3F36">
        <w:rPr>
          <w:rStyle w:val="affffb"/>
          <w:b w:val="0"/>
        </w:rPr>
        <w:t>7 railway crossings</w:t>
      </w:r>
      <w:r w:rsidRPr="002B3F36">
        <w:t xml:space="preserve">, and </w:t>
      </w:r>
      <w:r w:rsidRPr="002B3F36">
        <w:rPr>
          <w:rStyle w:val="affffb"/>
          <w:b w:val="0"/>
        </w:rPr>
        <w:t>134 culverts</w:t>
      </w:r>
      <w:r w:rsidRPr="002B3F36">
        <w:t xml:space="preserve">, with an </w:t>
      </w:r>
      <w:r w:rsidRPr="002B3F36">
        <w:rPr>
          <w:rStyle w:val="affffb"/>
          <w:b w:val="0"/>
        </w:rPr>
        <w:t>estimated cost of 631.247 billion KZT</w:t>
      </w:r>
      <w:r w:rsidRPr="002B3F36">
        <w:t xml:space="preserve">. The alignment connects to </w:t>
      </w:r>
      <w:r w:rsidR="00FA6A55" w:rsidRPr="002B3F36">
        <w:t xml:space="preserve">a </w:t>
      </w:r>
      <w:r w:rsidR="00FA6A55" w:rsidRPr="002B3F36">
        <w:rPr>
          <w:rStyle w:val="affffb"/>
          <w:b w:val="0"/>
        </w:rPr>
        <w:t>junction</w:t>
      </w:r>
      <w:r w:rsidRPr="002B3F36">
        <w:rPr>
          <w:rStyle w:val="affffb"/>
          <w:b w:val="0"/>
        </w:rPr>
        <w:t xml:space="preserve"> </w:t>
      </w:r>
      <w:r w:rsidR="001744C3" w:rsidRPr="002B3F36">
        <w:rPr>
          <w:rStyle w:val="affffb"/>
          <w:b w:val="0"/>
        </w:rPr>
        <w:t>leading</w:t>
      </w:r>
      <w:r w:rsidR="00FA6A55" w:rsidRPr="002B3F36">
        <w:rPr>
          <w:rStyle w:val="affffb"/>
          <w:b w:val="0"/>
        </w:rPr>
        <w:t xml:space="preserve"> to the</w:t>
      </w:r>
      <w:r w:rsidRPr="002B3F36">
        <w:rPr>
          <w:rStyle w:val="affffb"/>
          <w:b w:val="0"/>
        </w:rPr>
        <w:t xml:space="preserve"> </w:t>
      </w:r>
      <w:r w:rsidR="0080772D" w:rsidRPr="002B3F36">
        <w:rPr>
          <w:rStyle w:val="affffb"/>
          <w:b w:val="0"/>
        </w:rPr>
        <w:t>Mointy</w:t>
      </w:r>
      <w:r w:rsidRPr="002B3F36">
        <w:rPr>
          <w:rStyle w:val="affffb"/>
          <w:b w:val="0"/>
        </w:rPr>
        <w:t xml:space="preserve"> Station</w:t>
      </w:r>
      <w:r w:rsidRPr="002B3F36">
        <w:t xml:space="preserve">, integrating a new </w:t>
      </w:r>
      <w:r w:rsidRPr="002B3F36">
        <w:rPr>
          <w:rStyle w:val="affffb"/>
          <w:b w:val="0"/>
        </w:rPr>
        <w:t>pre-junction station Mointy-2</w:t>
      </w:r>
      <w:r w:rsidRPr="002B3F36">
        <w:t xml:space="preserve">, and proceeds via </w:t>
      </w:r>
      <w:r w:rsidRPr="002B3F36">
        <w:rPr>
          <w:rStyle w:val="affffb"/>
          <w:b w:val="0"/>
        </w:rPr>
        <w:t>Aktai Station</w:t>
      </w:r>
      <w:r w:rsidRPr="002B3F36">
        <w:t xml:space="preserve"> with a junction through the </w:t>
      </w:r>
      <w:r w:rsidRPr="002B3F36">
        <w:rPr>
          <w:rStyle w:val="affffb"/>
          <w:b w:val="0"/>
        </w:rPr>
        <w:t>Block Post</w:t>
      </w:r>
      <w:r w:rsidRPr="002B3F36">
        <w:t xml:space="preserve"> before terminating at </w:t>
      </w:r>
      <w:r w:rsidRPr="002B3F36">
        <w:rPr>
          <w:rStyle w:val="affffb"/>
          <w:b w:val="0"/>
        </w:rPr>
        <w:t>Zhenis Station</w:t>
      </w:r>
      <w:r w:rsidRPr="002B3F36">
        <w:t xml:space="preserve"> and providing a </w:t>
      </w:r>
      <w:r w:rsidRPr="002B3F36">
        <w:rPr>
          <w:rStyle w:val="affffb"/>
          <w:b w:val="0"/>
        </w:rPr>
        <w:t>second-track connection to Kyzylzhar Station</w:t>
      </w:r>
      <w:r w:rsidRPr="002B3F36">
        <w:t>.</w:t>
      </w:r>
    </w:p>
    <w:p w14:paraId="1D0CEBCD" w14:textId="77777777" w:rsidR="00F61F8E" w:rsidRPr="002B3F36" w:rsidRDefault="00F61F8E">
      <w:pPr>
        <w:pStyle w:val="ReportBodyPar"/>
      </w:pPr>
    </w:p>
    <w:p w14:paraId="13BEDE82" w14:textId="0CCAE60A" w:rsidR="00F61F8E" w:rsidRPr="002B3F36" w:rsidRDefault="000F264B">
      <w:pPr>
        <w:pStyle w:val="ReportBodyPar"/>
      </w:pPr>
      <w:r w:rsidRPr="002B3F36">
        <w:t xml:space="preserve">The route traverses </w:t>
      </w:r>
      <w:r w:rsidRPr="002B3F36">
        <w:rPr>
          <w:rStyle w:val="affffb"/>
          <w:b w:val="0"/>
        </w:rPr>
        <w:t>rivers, watercourses, and mountainous terrain</w:t>
      </w:r>
      <w:r w:rsidRPr="002B3F36">
        <w:t xml:space="preserve"> near </w:t>
      </w:r>
      <w:r w:rsidR="0080772D" w:rsidRPr="002B3F36">
        <w:t>Mointy</w:t>
      </w:r>
      <w:r w:rsidRPr="002B3F36">
        <w:t xml:space="preserve"> Station, where </w:t>
      </w:r>
      <w:r w:rsidRPr="002B3F36">
        <w:rPr>
          <w:rStyle w:val="affffb"/>
          <w:b w:val="0"/>
        </w:rPr>
        <w:t>frequent rock outcrops</w:t>
      </w:r>
      <w:r w:rsidRPr="002B3F36">
        <w:t xml:space="preserve"> at the surface necessitate several </w:t>
      </w:r>
      <w:r w:rsidRPr="002B3F36">
        <w:rPr>
          <w:rStyle w:val="affffb"/>
          <w:b w:val="0"/>
        </w:rPr>
        <w:t>curved sections</w:t>
      </w:r>
      <w:r w:rsidRPr="002B3F36">
        <w:t xml:space="preserve"> but reduce the </w:t>
      </w:r>
      <w:r w:rsidRPr="002B3F36">
        <w:rPr>
          <w:rStyle w:val="affffb"/>
          <w:b w:val="0"/>
        </w:rPr>
        <w:t>volume of drilling and blasting works</w:t>
      </w:r>
      <w:r w:rsidRPr="002B3F36">
        <w:t>.</w:t>
      </w:r>
      <w:r w:rsidR="00311771" w:rsidRPr="002B3F36">
        <w:t xml:space="preserve"> This also reduce substantially impact of habitat - considering that mountainous terrain near Mointy Station and rock outcrops are used for nesting by various species of avi-faun</w:t>
      </w:r>
      <w:r w:rsidR="005F42C6" w:rsidRPr="002B3F36">
        <w:t>a.</w:t>
      </w:r>
      <w:r w:rsidRPr="002B3F36">
        <w:t xml:space="preserve"> Overall, this option balances construction complexity, cost efficiency, and operational practicality, offering a feasible alignment with moderate engineering challenges.</w:t>
      </w:r>
    </w:p>
    <w:p w14:paraId="1C6ADC33" w14:textId="77777777" w:rsidR="00F61F8E" w:rsidRPr="002B3F36" w:rsidRDefault="00F61F8E">
      <w:pPr>
        <w:pStyle w:val="ReportBodyPar"/>
      </w:pPr>
    </w:p>
    <w:p w14:paraId="4E8BCF45" w14:textId="27F089B2" w:rsidR="00F61F8E" w:rsidRPr="002B3F36" w:rsidRDefault="000F264B" w:rsidP="00DC2DBA">
      <w:pPr>
        <w:pStyle w:val="41"/>
      </w:pPr>
      <w:bookmarkStart w:id="609" w:name="_Toc208973737"/>
      <w:bookmarkStart w:id="610" w:name="_Toc208973937"/>
      <w:bookmarkStart w:id="611" w:name="_Toc208974137"/>
      <w:bookmarkStart w:id="612" w:name="_Toc208974339"/>
      <w:bookmarkStart w:id="613" w:name="_Toc208974547"/>
      <w:bookmarkStart w:id="614" w:name="_Toc210589413"/>
      <w:r w:rsidRPr="002B3F36">
        <w:t>Route Option 2</w:t>
      </w:r>
      <w:bookmarkEnd w:id="609"/>
      <w:bookmarkEnd w:id="610"/>
      <w:bookmarkEnd w:id="611"/>
      <w:bookmarkEnd w:id="612"/>
      <w:bookmarkEnd w:id="613"/>
      <w:bookmarkEnd w:id="614"/>
    </w:p>
    <w:p w14:paraId="649B5764" w14:textId="416EB31C" w:rsidR="00F61F8E" w:rsidRPr="002B3F36" w:rsidRDefault="000F264B">
      <w:pPr>
        <w:pStyle w:val="ReportBodyPar"/>
      </w:pPr>
      <w:r w:rsidRPr="002B3F36">
        <w:t xml:space="preserve">Route Option 2 spans 366.02 km, with 11 dividing points, 7 railway overpasses, 33 bridges, 3 cattle crossings, 8 railway crossings, and 139 culverts, at an estimated cost of 647.149 billion KZT. Similar to Option 1, this route also </w:t>
      </w:r>
      <w:r w:rsidR="00BE3A43" w:rsidRPr="002B3F36">
        <w:t>connects</w:t>
      </w:r>
      <w:r w:rsidRPr="002B3F36">
        <w:t xml:space="preserve"> </w:t>
      </w:r>
      <w:r w:rsidR="00BE3A43" w:rsidRPr="002B3F36">
        <w:t xml:space="preserve">to a </w:t>
      </w:r>
      <w:r w:rsidR="00BE3A43" w:rsidRPr="002B3F36">
        <w:rPr>
          <w:rStyle w:val="affffb"/>
          <w:b w:val="0"/>
        </w:rPr>
        <w:t xml:space="preserve">junction leading to the </w:t>
      </w:r>
      <w:r w:rsidR="0080772D" w:rsidRPr="002B3F36">
        <w:t>Mointy</w:t>
      </w:r>
      <w:r w:rsidRPr="002B3F36">
        <w:t xml:space="preserve"> Station, integrates </w:t>
      </w:r>
      <w:r w:rsidR="008D5118" w:rsidRPr="002B3F36">
        <w:t>Mointy</w:t>
      </w:r>
      <w:r w:rsidRPr="002B3F36">
        <w:t>-2 Station, and proceeds via Aktai Station before connecting to Kyzylzhar Station.</w:t>
      </w:r>
    </w:p>
    <w:p w14:paraId="3674828D" w14:textId="77777777" w:rsidR="00F61F8E" w:rsidRPr="002B3F36" w:rsidRDefault="00F61F8E">
      <w:pPr>
        <w:pStyle w:val="ReportBodyPar"/>
      </w:pPr>
    </w:p>
    <w:p w14:paraId="44B31D45" w14:textId="138ADC1A" w:rsidR="00F61F8E" w:rsidRPr="002B3F36" w:rsidRDefault="000F264B">
      <w:pPr>
        <w:pStyle w:val="ReportBodyPar"/>
      </w:pPr>
      <w:r w:rsidRPr="002B3F36">
        <w:t>However, this option’s greater alignment length, multiple curved sections, and the need for extensive reconstruction</w:t>
      </w:r>
      <w:r w:rsidR="00933AB6" w:rsidRPr="002B3F36">
        <w:t>/modernization</w:t>
      </w:r>
      <w:r w:rsidRPr="002B3F36">
        <w:t xml:space="preserve"> at Akta</w:t>
      </w:r>
      <w:r w:rsidR="00933AB6" w:rsidRPr="002B3F36">
        <w:t>u</w:t>
      </w:r>
      <w:r w:rsidRPr="002B3F36">
        <w:t xml:space="preserve"> Station contribute to higher construction costs and operational complexities. While offering comparable connectivity to Option 1, the additional engineering interventions reduce its cost-effectiveness and construction efficiency.</w:t>
      </w:r>
    </w:p>
    <w:p w14:paraId="33902D69" w14:textId="04179AB6" w:rsidR="00F61F8E" w:rsidRPr="002B3F36" w:rsidRDefault="000F264B" w:rsidP="00DC2DBA">
      <w:pPr>
        <w:pStyle w:val="41"/>
      </w:pPr>
      <w:bookmarkStart w:id="615" w:name="_Toc208973738"/>
      <w:bookmarkStart w:id="616" w:name="_Toc208973938"/>
      <w:bookmarkStart w:id="617" w:name="_Toc208974138"/>
      <w:bookmarkStart w:id="618" w:name="_Toc208974340"/>
      <w:bookmarkStart w:id="619" w:name="_Toc208974548"/>
      <w:bookmarkStart w:id="620" w:name="_Toc210589414"/>
      <w:r w:rsidRPr="002B3F36">
        <w:t>Route Option 3</w:t>
      </w:r>
      <w:bookmarkEnd w:id="615"/>
      <w:bookmarkEnd w:id="616"/>
      <w:bookmarkEnd w:id="617"/>
      <w:bookmarkEnd w:id="618"/>
      <w:bookmarkEnd w:id="619"/>
      <w:bookmarkEnd w:id="620"/>
    </w:p>
    <w:p w14:paraId="3D2AF01C" w14:textId="77777777" w:rsidR="00F61F8E" w:rsidRPr="002B3F36" w:rsidRDefault="000F264B">
      <w:pPr>
        <w:pStyle w:val="ReportBodyPar"/>
      </w:pPr>
      <w:r w:rsidRPr="002B3F36">
        <w:t xml:space="preserve">Route Option 3 has a total </w:t>
      </w:r>
      <w:r w:rsidRPr="002B3F36">
        <w:rPr>
          <w:rStyle w:val="affffb"/>
          <w:b w:val="0"/>
        </w:rPr>
        <w:t>construction length of 360.66 km</w:t>
      </w:r>
      <w:r w:rsidRPr="002B3F36">
        <w:t xml:space="preserve"> with </w:t>
      </w:r>
      <w:r w:rsidRPr="002B3F36">
        <w:rPr>
          <w:rStyle w:val="affffb"/>
          <w:b w:val="0"/>
        </w:rPr>
        <w:t>10 dividing points</w:t>
      </w:r>
      <w:r w:rsidRPr="002B3F36">
        <w:t xml:space="preserve">, </w:t>
      </w:r>
      <w:r w:rsidRPr="002B3F36">
        <w:rPr>
          <w:rStyle w:val="affffb"/>
          <w:b w:val="0"/>
        </w:rPr>
        <w:t>10 railway overpasses</w:t>
      </w:r>
      <w:r w:rsidRPr="002B3F36">
        <w:t xml:space="preserve">, </w:t>
      </w:r>
      <w:r w:rsidRPr="002B3F36">
        <w:rPr>
          <w:rStyle w:val="affffb"/>
          <w:b w:val="0"/>
        </w:rPr>
        <w:t>28 bridges</w:t>
      </w:r>
      <w:r w:rsidRPr="002B3F36">
        <w:t xml:space="preserve">, </w:t>
      </w:r>
      <w:r w:rsidRPr="002B3F36">
        <w:rPr>
          <w:rStyle w:val="affffb"/>
          <w:b w:val="0"/>
        </w:rPr>
        <w:t>4 cattle crossings</w:t>
      </w:r>
      <w:r w:rsidRPr="002B3F36">
        <w:t xml:space="preserve">, </w:t>
      </w:r>
      <w:r w:rsidRPr="002B3F36">
        <w:rPr>
          <w:rStyle w:val="affffb"/>
          <w:b w:val="0"/>
        </w:rPr>
        <w:t>6 railway crossings</w:t>
      </w:r>
      <w:r w:rsidRPr="002B3F36">
        <w:t xml:space="preserve">, and </w:t>
      </w:r>
      <w:r w:rsidRPr="002B3F36">
        <w:rPr>
          <w:rStyle w:val="affffb"/>
          <w:b w:val="0"/>
        </w:rPr>
        <w:t>130 culverts</w:t>
      </w:r>
      <w:r w:rsidRPr="002B3F36">
        <w:t xml:space="preserve">, at an </w:t>
      </w:r>
      <w:r w:rsidRPr="002B3F36">
        <w:rPr>
          <w:rStyle w:val="affffb"/>
          <w:b w:val="0"/>
        </w:rPr>
        <w:t>estimated cost of 650.1 billion KZT</w:t>
      </w:r>
      <w:r w:rsidRPr="002B3F36">
        <w:t>.</w:t>
      </w:r>
    </w:p>
    <w:p w14:paraId="334A2948" w14:textId="77777777" w:rsidR="00F61F8E" w:rsidRPr="002B3F36" w:rsidRDefault="00F61F8E">
      <w:pPr>
        <w:pStyle w:val="ReportBodyPar"/>
      </w:pPr>
    </w:p>
    <w:p w14:paraId="3F1E7118" w14:textId="4264FA61" w:rsidR="00F61F8E" w:rsidRPr="002B3F36" w:rsidRDefault="000F264B">
      <w:pPr>
        <w:pStyle w:val="ReportBodyPar"/>
      </w:pPr>
      <w:r w:rsidRPr="002B3F36">
        <w:t xml:space="preserve">This alignment connects </w:t>
      </w:r>
      <w:r w:rsidR="00DC414E" w:rsidRPr="002B3F36">
        <w:t>to a junction leading to</w:t>
      </w:r>
      <w:r w:rsidR="00EF045E" w:rsidRPr="002B3F36">
        <w:rPr>
          <w:rStyle w:val="affffb"/>
          <w:b w:val="0"/>
        </w:rPr>
        <w:t xml:space="preserve"> </w:t>
      </w:r>
      <w:r w:rsidRPr="002B3F36">
        <w:rPr>
          <w:rStyle w:val="affffb"/>
          <w:b w:val="0"/>
        </w:rPr>
        <w:t>Mointy Station</w:t>
      </w:r>
      <w:r w:rsidRPr="002B3F36">
        <w:t xml:space="preserve"> with a new </w:t>
      </w:r>
      <w:r w:rsidRPr="002B3F36">
        <w:rPr>
          <w:rStyle w:val="affffb"/>
          <w:b w:val="0"/>
        </w:rPr>
        <w:t>pre-junction station</w:t>
      </w:r>
      <w:r w:rsidRPr="002B3F36">
        <w:t xml:space="preserve"> and proceeds through </w:t>
      </w:r>
      <w:r w:rsidRPr="002B3F36">
        <w:rPr>
          <w:rStyle w:val="affffb"/>
          <w:b w:val="0"/>
        </w:rPr>
        <w:t>Karazhal Station</w:t>
      </w:r>
      <w:r w:rsidRPr="002B3F36">
        <w:t xml:space="preserve">, which requires </w:t>
      </w:r>
      <w:r w:rsidRPr="002B3F36">
        <w:rPr>
          <w:rStyle w:val="affffb"/>
          <w:b w:val="0"/>
        </w:rPr>
        <w:t>major reconstruction works</w:t>
      </w:r>
      <w:r w:rsidRPr="002B3F36">
        <w:t xml:space="preserve"> due to its confined site conditions. The route passes through </w:t>
      </w:r>
      <w:r w:rsidRPr="002B3F36">
        <w:rPr>
          <w:rStyle w:val="affffb"/>
          <w:b w:val="0"/>
        </w:rPr>
        <w:t>rivers, watercourses, and mountainous terrain</w:t>
      </w:r>
      <w:r w:rsidRPr="002B3F36">
        <w:t xml:space="preserve"> but predominantly traverses </w:t>
      </w:r>
      <w:r w:rsidRPr="002B3F36">
        <w:rPr>
          <w:rStyle w:val="affffb"/>
          <w:b w:val="0"/>
        </w:rPr>
        <w:t>low-lying areas</w:t>
      </w:r>
      <w:r w:rsidRPr="002B3F36">
        <w:t xml:space="preserve"> characterized by </w:t>
      </w:r>
      <w:r w:rsidRPr="002B3F36">
        <w:rPr>
          <w:rStyle w:val="affffb"/>
          <w:b w:val="0"/>
        </w:rPr>
        <w:t>weak soil foundations</w:t>
      </w:r>
      <w:r w:rsidRPr="002B3F36">
        <w:t xml:space="preserve">, requiring </w:t>
      </w:r>
      <w:r w:rsidRPr="002B3F36">
        <w:rPr>
          <w:rStyle w:val="affffb"/>
          <w:b w:val="0"/>
        </w:rPr>
        <w:t>substantial ground improvement measures</w:t>
      </w:r>
      <w:r w:rsidRPr="002B3F36">
        <w:t>.</w:t>
      </w:r>
    </w:p>
    <w:p w14:paraId="0DE57991" w14:textId="77777777" w:rsidR="00F61F8E" w:rsidRPr="002B3F36" w:rsidRDefault="00F61F8E">
      <w:pPr>
        <w:pStyle w:val="ReportBodyPar"/>
      </w:pPr>
    </w:p>
    <w:p w14:paraId="2EE22FE6" w14:textId="1896DC63" w:rsidR="00F61F8E" w:rsidRPr="002B3F36" w:rsidRDefault="000F264B">
      <w:pPr>
        <w:pStyle w:val="ReportBodyPar"/>
      </w:pPr>
      <w:r w:rsidRPr="002B3F36">
        <w:t xml:space="preserve">The </w:t>
      </w:r>
      <w:r w:rsidRPr="002B3F36">
        <w:rPr>
          <w:rStyle w:val="affffb"/>
          <w:b w:val="0"/>
        </w:rPr>
        <w:t>high frequency of curves</w:t>
      </w:r>
      <w:r w:rsidRPr="002B3F36">
        <w:t xml:space="preserve">, combined with </w:t>
      </w:r>
      <w:r w:rsidRPr="002B3F36">
        <w:rPr>
          <w:rStyle w:val="affffb"/>
          <w:b w:val="0"/>
        </w:rPr>
        <w:t>soil stabilization needs</w:t>
      </w:r>
      <w:r w:rsidRPr="002B3F36">
        <w:t xml:space="preserve"> and </w:t>
      </w:r>
      <w:r w:rsidRPr="002B3F36">
        <w:rPr>
          <w:rStyle w:val="affffb"/>
          <w:b w:val="0"/>
        </w:rPr>
        <w:t>challenging reconstruction conditions</w:t>
      </w:r>
      <w:r w:rsidRPr="002B3F36">
        <w:t xml:space="preserve"> at Karazhal Station, increases both </w:t>
      </w:r>
      <w:r w:rsidRPr="002B3F36">
        <w:rPr>
          <w:rStyle w:val="affffb"/>
          <w:b w:val="0"/>
        </w:rPr>
        <w:t>construction complexity</w:t>
      </w:r>
      <w:r w:rsidRPr="002B3F36">
        <w:t xml:space="preserve"> and </w:t>
      </w:r>
      <w:r w:rsidRPr="002B3F36">
        <w:rPr>
          <w:rStyle w:val="affffb"/>
          <w:b w:val="0"/>
        </w:rPr>
        <w:t>life-cycle operational costs</w:t>
      </w:r>
      <w:r w:rsidRPr="002B3F36">
        <w:t>, making this alignment less technically and financially favorable.</w:t>
      </w:r>
    </w:p>
    <w:p w14:paraId="5E20ADEC" w14:textId="21EE245E" w:rsidR="00F61F8E" w:rsidRPr="002B3F36" w:rsidRDefault="000F264B" w:rsidP="00DC2DBA">
      <w:pPr>
        <w:pStyle w:val="41"/>
      </w:pPr>
      <w:bookmarkStart w:id="621" w:name="_Toc208973739"/>
      <w:bookmarkStart w:id="622" w:name="_Toc208973939"/>
      <w:bookmarkStart w:id="623" w:name="_Toc208974139"/>
      <w:bookmarkStart w:id="624" w:name="_Toc208974341"/>
      <w:bookmarkStart w:id="625" w:name="_Toc208974549"/>
      <w:bookmarkStart w:id="626" w:name="_Toc210589415"/>
      <w:r w:rsidRPr="002B3F36">
        <w:lastRenderedPageBreak/>
        <w:t>Route Option 4</w:t>
      </w:r>
      <w:bookmarkEnd w:id="621"/>
      <w:bookmarkEnd w:id="622"/>
      <w:bookmarkEnd w:id="623"/>
      <w:bookmarkEnd w:id="624"/>
      <w:bookmarkEnd w:id="625"/>
      <w:bookmarkEnd w:id="626"/>
    </w:p>
    <w:p w14:paraId="26BD27E1" w14:textId="68CD4304" w:rsidR="00F61F8E" w:rsidRPr="002B3F36" w:rsidRDefault="000F264B">
      <w:pPr>
        <w:pStyle w:val="ReportBodyPar"/>
      </w:pPr>
      <w:r w:rsidRPr="002B3F36">
        <w:t xml:space="preserve">Route Option 4 represents the </w:t>
      </w:r>
      <w:r w:rsidRPr="002B3F36">
        <w:rPr>
          <w:rStyle w:val="affffb"/>
          <w:b w:val="0"/>
        </w:rPr>
        <w:t>shortest alignment</w:t>
      </w:r>
      <w:r w:rsidRPr="002B3F36">
        <w:t xml:space="preserve"> at </w:t>
      </w:r>
      <w:r w:rsidRPr="002B3F36">
        <w:rPr>
          <w:rStyle w:val="affffb"/>
          <w:b w:val="0"/>
        </w:rPr>
        <w:t>322.</w:t>
      </w:r>
      <w:r w:rsidR="005C152A">
        <w:rPr>
          <w:rStyle w:val="affffb"/>
          <w:b w:val="0"/>
        </w:rPr>
        <w:t>2</w:t>
      </w:r>
      <w:r w:rsidRPr="002B3F36">
        <w:rPr>
          <w:rStyle w:val="affffb"/>
          <w:b w:val="0"/>
        </w:rPr>
        <w:t xml:space="preserve"> km</w:t>
      </w:r>
      <w:r w:rsidRPr="002B3F36">
        <w:t xml:space="preserve"> with </w:t>
      </w:r>
      <w:r w:rsidRPr="002B3F36">
        <w:rPr>
          <w:rStyle w:val="affffb"/>
          <w:b w:val="0"/>
        </w:rPr>
        <w:t>1</w:t>
      </w:r>
      <w:r w:rsidR="003E1A24">
        <w:rPr>
          <w:rStyle w:val="affffb"/>
          <w:b w:val="0"/>
        </w:rPr>
        <w:t>7</w:t>
      </w:r>
      <w:r w:rsidRPr="002B3F36">
        <w:rPr>
          <w:rStyle w:val="affffb"/>
          <w:b w:val="0"/>
        </w:rPr>
        <w:t xml:space="preserve"> dividing points</w:t>
      </w:r>
      <w:r w:rsidRPr="002B3F36">
        <w:t xml:space="preserve">, </w:t>
      </w:r>
      <w:r w:rsidRPr="002B3F36">
        <w:rPr>
          <w:rStyle w:val="affffb"/>
          <w:b w:val="0"/>
        </w:rPr>
        <w:t>8 railway overpasses</w:t>
      </w:r>
      <w:r w:rsidRPr="002B3F36">
        <w:t xml:space="preserve">, </w:t>
      </w:r>
      <w:r w:rsidRPr="002B3F36">
        <w:rPr>
          <w:rStyle w:val="affffb"/>
          <w:b w:val="0"/>
        </w:rPr>
        <w:t>42 bridges</w:t>
      </w:r>
      <w:r w:rsidRPr="002B3F36">
        <w:t xml:space="preserve">, </w:t>
      </w:r>
      <w:r w:rsidRPr="002B3F36">
        <w:rPr>
          <w:rStyle w:val="affffb"/>
          <w:b w:val="0"/>
        </w:rPr>
        <w:t>10 cattle crossings</w:t>
      </w:r>
      <w:r w:rsidRPr="002B3F36">
        <w:t xml:space="preserve">, </w:t>
      </w:r>
      <w:r w:rsidRPr="002B3F36">
        <w:rPr>
          <w:rStyle w:val="affffb"/>
          <w:b w:val="0"/>
        </w:rPr>
        <w:t>8 railway crossings</w:t>
      </w:r>
      <w:r w:rsidRPr="002B3F36">
        <w:t xml:space="preserve">, and </w:t>
      </w:r>
      <w:r w:rsidRPr="002B3F36">
        <w:rPr>
          <w:rStyle w:val="affffb"/>
          <w:b w:val="0"/>
        </w:rPr>
        <w:t>113 culverts</w:t>
      </w:r>
      <w:r w:rsidRPr="002B3F36">
        <w:t xml:space="preserve">, carrying an </w:t>
      </w:r>
      <w:r w:rsidRPr="002B3F36">
        <w:rPr>
          <w:rStyle w:val="affffb"/>
          <w:b w:val="0"/>
        </w:rPr>
        <w:t>estimated cost of 724 billion KZT</w:t>
      </w:r>
      <w:r w:rsidRPr="002B3F36">
        <w:t xml:space="preserve">. </w:t>
      </w:r>
    </w:p>
    <w:p w14:paraId="41AFA0DB" w14:textId="77777777" w:rsidR="00F61F8E" w:rsidRPr="002B3F36" w:rsidRDefault="00F61F8E">
      <w:pPr>
        <w:pStyle w:val="ReportBodyPar"/>
      </w:pPr>
    </w:p>
    <w:p w14:paraId="72E982A0" w14:textId="77777777" w:rsidR="00CA6D71" w:rsidRPr="002B3F36" w:rsidRDefault="000F264B" w:rsidP="00CA6D71">
      <w:pPr>
        <w:pStyle w:val="ReportBodyPar"/>
      </w:pPr>
      <w:r w:rsidRPr="002B3F36">
        <w:t xml:space="preserve">Developed as a </w:t>
      </w:r>
      <w:r w:rsidRPr="002B3F36">
        <w:rPr>
          <w:rStyle w:val="affffb"/>
          <w:b w:val="0"/>
        </w:rPr>
        <w:t>modified version of Route Option 1</w:t>
      </w:r>
      <w:r w:rsidR="00557EE8" w:rsidRPr="002B3F36">
        <w:rPr>
          <w:rStyle w:val="affffb"/>
          <w:b w:val="0"/>
        </w:rPr>
        <w:t>, maintaining the eastern version unvaried,</w:t>
      </w:r>
      <w:r w:rsidRPr="002B3F36">
        <w:t xml:space="preserve"> with </w:t>
      </w:r>
      <w:r w:rsidRPr="002B3F36">
        <w:rPr>
          <w:rStyle w:val="affffb"/>
          <w:b w:val="0"/>
        </w:rPr>
        <w:t>realignment and curve straightening</w:t>
      </w:r>
      <w:r w:rsidR="00557EE8" w:rsidRPr="002B3F36">
        <w:rPr>
          <w:rStyle w:val="affffb"/>
          <w:b w:val="0"/>
        </w:rPr>
        <w:t xml:space="preserve"> in the western part</w:t>
      </w:r>
      <w:r w:rsidRPr="002B3F36">
        <w:t xml:space="preserve">, this option demands </w:t>
      </w:r>
      <w:r w:rsidRPr="002B3F36">
        <w:rPr>
          <w:rStyle w:val="affffb"/>
          <w:b w:val="0"/>
        </w:rPr>
        <w:t>higher volumes of drilling and blasting</w:t>
      </w:r>
      <w:r w:rsidRPr="002B3F36">
        <w:t xml:space="preserve"> but provides </w:t>
      </w:r>
      <w:r w:rsidRPr="002B3F36">
        <w:rPr>
          <w:rStyle w:val="affffb"/>
          <w:b w:val="0"/>
        </w:rPr>
        <w:t>significant operational advantages</w:t>
      </w:r>
      <w:r w:rsidRPr="002B3F36">
        <w:t xml:space="preserve"> through its </w:t>
      </w:r>
      <w:r w:rsidRPr="002B3F36">
        <w:rPr>
          <w:rStyle w:val="affffb"/>
          <w:b w:val="0"/>
        </w:rPr>
        <w:t>proximity to populated areas</w:t>
      </w:r>
      <w:r w:rsidRPr="002B3F36">
        <w:t xml:space="preserve">, </w:t>
      </w:r>
      <w:r w:rsidRPr="002B3F36">
        <w:rPr>
          <w:rStyle w:val="affffb"/>
          <w:b w:val="0"/>
        </w:rPr>
        <w:t>bypassing of mineral extraction zones</w:t>
      </w:r>
      <w:r w:rsidRPr="002B3F36">
        <w:t xml:space="preserve">, and </w:t>
      </w:r>
      <w:r w:rsidRPr="002B3F36">
        <w:rPr>
          <w:rStyle w:val="affffb"/>
          <w:b w:val="0"/>
        </w:rPr>
        <w:t>improved accessibility for railway maintenance and personnel</w:t>
      </w:r>
      <w:r w:rsidRPr="002B3F36">
        <w:t xml:space="preserve">. Moreover, the design enables </w:t>
      </w:r>
      <w:r w:rsidRPr="002B3F36">
        <w:rPr>
          <w:rStyle w:val="affffb"/>
          <w:b w:val="0"/>
        </w:rPr>
        <w:t>through-train operations in both directions</w:t>
      </w:r>
      <w:r w:rsidRPr="002B3F36">
        <w:t xml:space="preserve">, significantly increasing the </w:t>
      </w:r>
      <w:r w:rsidRPr="002B3F36">
        <w:rPr>
          <w:rStyle w:val="affffb"/>
          <w:b w:val="0"/>
        </w:rPr>
        <w:t>route’s carrying capacity</w:t>
      </w:r>
      <w:r w:rsidRPr="002B3F36">
        <w:t xml:space="preserve"> and operational efficiency. Despite its </w:t>
      </w:r>
      <w:r w:rsidRPr="002B3F36">
        <w:rPr>
          <w:rStyle w:val="affffb"/>
          <w:b w:val="0"/>
        </w:rPr>
        <w:t>higher construction cost</w:t>
      </w:r>
      <w:r w:rsidRPr="002B3F36">
        <w:t xml:space="preserve"> and </w:t>
      </w:r>
      <w:r w:rsidRPr="002B3F36">
        <w:rPr>
          <w:rStyle w:val="affffb"/>
          <w:b w:val="0"/>
        </w:rPr>
        <w:t>engineering demands</w:t>
      </w:r>
      <w:r w:rsidRPr="002B3F36">
        <w:t xml:space="preserve">, this option offers the </w:t>
      </w:r>
      <w:r w:rsidRPr="002B3F36">
        <w:rPr>
          <w:rStyle w:val="affffb"/>
          <w:b w:val="0"/>
        </w:rPr>
        <w:t>shortest alignment</w:t>
      </w:r>
      <w:r w:rsidRPr="002B3F36">
        <w:t xml:space="preserve"> with the </w:t>
      </w:r>
      <w:r w:rsidRPr="002B3F36">
        <w:rPr>
          <w:rStyle w:val="affffb"/>
          <w:b w:val="0"/>
        </w:rPr>
        <w:t>highest long-term operational benefits</w:t>
      </w:r>
      <w:r w:rsidRPr="002B3F36">
        <w:t>.</w:t>
      </w:r>
      <w:r w:rsidR="00CA6D71" w:rsidRPr="002B3F36">
        <w:t xml:space="preserve"> </w:t>
      </w:r>
      <w:r w:rsidR="00CA6D71" w:rsidRPr="00A846C7">
        <w:t>As for Option 1, m</w:t>
      </w:r>
      <w:r w:rsidR="00CA6D71" w:rsidRPr="00A846C7">
        <w:rPr>
          <w:rFonts w:eastAsia="Times New Roman"/>
          <w:color w:val="222222"/>
          <w:lang w:eastAsia="en-PH"/>
        </w:rPr>
        <w:t>ost of the mountainous terrain and rock outcrops near Mointy and in the east section of the project will still be avoided.</w:t>
      </w:r>
    </w:p>
    <w:p w14:paraId="5BAFD588" w14:textId="77777777" w:rsidR="00F61F8E" w:rsidRPr="002B3F36" w:rsidRDefault="00F61F8E">
      <w:pPr>
        <w:pStyle w:val="ReportBodyPar"/>
      </w:pPr>
    </w:p>
    <w:p w14:paraId="039F9F79" w14:textId="53FF3A8D" w:rsidR="00F61F8E" w:rsidRPr="002B3F36" w:rsidRDefault="00517A3E" w:rsidP="000E123E">
      <w:pPr>
        <w:pStyle w:val="CaptionTable"/>
        <w:rPr>
          <w:i/>
          <w:iCs/>
          <w:color w:val="1F497D"/>
          <w:sz w:val="18"/>
          <w:szCs w:val="18"/>
        </w:rPr>
      </w:pPr>
      <w:bookmarkStart w:id="627" w:name="_Toc210589550"/>
      <w:r w:rsidRPr="002B3F36">
        <w:t xml:space="preserve">Table </w:t>
      </w:r>
      <w:r w:rsidR="00F30C2C" w:rsidRPr="002B3F36">
        <w:fldChar w:fldCharType="begin"/>
      </w:r>
      <w:r w:rsidR="00F30C2C" w:rsidRPr="002B3F36">
        <w:rPr>
          <w:noProof/>
        </w:rPr>
        <w:instrText xml:space="preserve"> SEQ Table \* ARABIC </w:instrText>
      </w:r>
      <w:r w:rsidR="00F30C2C" w:rsidRPr="002B3F36">
        <w:fldChar w:fldCharType="separate"/>
      </w:r>
      <w:r w:rsidR="00A023DA">
        <w:rPr>
          <w:noProof/>
        </w:rPr>
        <w:t>6</w:t>
      </w:r>
      <w:r w:rsidR="00F30C2C" w:rsidRPr="002B3F36">
        <w:fldChar w:fldCharType="end"/>
      </w:r>
      <w:r w:rsidRPr="002B3F36">
        <w:t xml:space="preserve">: </w:t>
      </w:r>
      <w:r w:rsidR="000F264B" w:rsidRPr="002B3F36">
        <w:t>Technical Parameters of the Route Options</w:t>
      </w:r>
      <w:bookmarkEnd w:id="627"/>
    </w:p>
    <w:tbl>
      <w:tblPr>
        <w:tblW w:w="9160" w:type="dxa"/>
        <w:jc w:val="center"/>
        <w:tblLook w:val="04A0" w:firstRow="1" w:lastRow="0" w:firstColumn="1" w:lastColumn="0" w:noHBand="0" w:noVBand="1"/>
      </w:tblPr>
      <w:tblGrid>
        <w:gridCol w:w="3240"/>
        <w:gridCol w:w="1480"/>
        <w:gridCol w:w="1480"/>
        <w:gridCol w:w="1480"/>
        <w:gridCol w:w="1480"/>
      </w:tblGrid>
      <w:tr w:rsidR="00F61F8E" w:rsidRPr="002B3F36" w14:paraId="4293C11D" w14:textId="77777777" w:rsidTr="00F82096">
        <w:trPr>
          <w:trHeight w:val="624"/>
          <w:tblHeader/>
          <w:jc w:val="center"/>
        </w:trPr>
        <w:tc>
          <w:tcPr>
            <w:tcW w:w="3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B58900"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Parameter</w:t>
            </w:r>
          </w:p>
        </w:tc>
        <w:tc>
          <w:tcPr>
            <w:tcW w:w="14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85586A3"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Route Option #1</w:t>
            </w:r>
          </w:p>
        </w:tc>
        <w:tc>
          <w:tcPr>
            <w:tcW w:w="14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41AF98C"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Route Option #2</w:t>
            </w:r>
          </w:p>
        </w:tc>
        <w:tc>
          <w:tcPr>
            <w:tcW w:w="14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9E463FF"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Route Option #3</w:t>
            </w:r>
          </w:p>
        </w:tc>
        <w:tc>
          <w:tcPr>
            <w:tcW w:w="14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9DD1C4E"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Route Option #4</w:t>
            </w:r>
          </w:p>
        </w:tc>
      </w:tr>
      <w:tr w:rsidR="00F61F8E" w:rsidRPr="002B3F36" w14:paraId="637AF930"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39645B23"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Construction length (km)</w:t>
            </w:r>
          </w:p>
        </w:tc>
        <w:tc>
          <w:tcPr>
            <w:tcW w:w="1480" w:type="dxa"/>
            <w:tcBorders>
              <w:top w:val="nil"/>
              <w:left w:val="nil"/>
              <w:bottom w:val="single" w:sz="4" w:space="0" w:color="auto"/>
              <w:right w:val="single" w:sz="4" w:space="0" w:color="auto"/>
            </w:tcBorders>
            <w:vAlign w:val="center"/>
            <w:hideMark/>
          </w:tcPr>
          <w:p w14:paraId="5A09333E"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357.2</w:t>
            </w:r>
          </w:p>
        </w:tc>
        <w:tc>
          <w:tcPr>
            <w:tcW w:w="1480" w:type="dxa"/>
            <w:tcBorders>
              <w:top w:val="nil"/>
              <w:left w:val="nil"/>
              <w:bottom w:val="single" w:sz="4" w:space="0" w:color="auto"/>
              <w:right w:val="single" w:sz="4" w:space="0" w:color="auto"/>
            </w:tcBorders>
            <w:vAlign w:val="center"/>
            <w:hideMark/>
          </w:tcPr>
          <w:p w14:paraId="2DFFB01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366.02</w:t>
            </w:r>
          </w:p>
        </w:tc>
        <w:tc>
          <w:tcPr>
            <w:tcW w:w="1480" w:type="dxa"/>
            <w:tcBorders>
              <w:top w:val="nil"/>
              <w:left w:val="nil"/>
              <w:bottom w:val="single" w:sz="4" w:space="0" w:color="auto"/>
              <w:right w:val="single" w:sz="4" w:space="0" w:color="auto"/>
            </w:tcBorders>
            <w:vAlign w:val="center"/>
            <w:hideMark/>
          </w:tcPr>
          <w:p w14:paraId="4512F84F"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360.66</w:t>
            </w:r>
          </w:p>
        </w:tc>
        <w:tc>
          <w:tcPr>
            <w:tcW w:w="1480" w:type="dxa"/>
            <w:tcBorders>
              <w:top w:val="nil"/>
              <w:left w:val="nil"/>
              <w:bottom w:val="single" w:sz="4" w:space="0" w:color="auto"/>
              <w:right w:val="single" w:sz="4" w:space="0" w:color="auto"/>
            </w:tcBorders>
            <w:vAlign w:val="center"/>
            <w:hideMark/>
          </w:tcPr>
          <w:p w14:paraId="03CCD102" w14:textId="2590D17D"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322.</w:t>
            </w:r>
            <w:r w:rsidR="005C152A">
              <w:rPr>
                <w:rFonts w:ascii="Arial" w:eastAsia="Times New Roman" w:hAnsi="Arial" w:cs="Arial"/>
                <w:color w:val="000000"/>
                <w:sz w:val="20"/>
                <w:szCs w:val="20"/>
                <w:lang w:val="en-PH" w:eastAsia="en-PH"/>
              </w:rPr>
              <w:t>2</w:t>
            </w:r>
          </w:p>
        </w:tc>
      </w:tr>
      <w:tr w:rsidR="00F61F8E" w:rsidRPr="002B3F36" w14:paraId="5FD6DB3D"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7FB6A0DE"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Dividing points (no.)</w:t>
            </w:r>
          </w:p>
        </w:tc>
        <w:tc>
          <w:tcPr>
            <w:tcW w:w="1480" w:type="dxa"/>
            <w:tcBorders>
              <w:top w:val="nil"/>
              <w:left w:val="nil"/>
              <w:bottom w:val="single" w:sz="4" w:space="0" w:color="auto"/>
              <w:right w:val="single" w:sz="4" w:space="0" w:color="auto"/>
            </w:tcBorders>
            <w:vAlign w:val="center"/>
            <w:hideMark/>
          </w:tcPr>
          <w:p w14:paraId="1C465D3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11</w:t>
            </w:r>
          </w:p>
        </w:tc>
        <w:tc>
          <w:tcPr>
            <w:tcW w:w="1480" w:type="dxa"/>
            <w:tcBorders>
              <w:top w:val="nil"/>
              <w:left w:val="nil"/>
              <w:bottom w:val="single" w:sz="4" w:space="0" w:color="auto"/>
              <w:right w:val="single" w:sz="4" w:space="0" w:color="auto"/>
            </w:tcBorders>
            <w:vAlign w:val="center"/>
            <w:hideMark/>
          </w:tcPr>
          <w:p w14:paraId="52729E22"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11</w:t>
            </w:r>
          </w:p>
        </w:tc>
        <w:tc>
          <w:tcPr>
            <w:tcW w:w="1480" w:type="dxa"/>
            <w:tcBorders>
              <w:top w:val="nil"/>
              <w:left w:val="nil"/>
              <w:bottom w:val="single" w:sz="4" w:space="0" w:color="auto"/>
              <w:right w:val="single" w:sz="4" w:space="0" w:color="auto"/>
            </w:tcBorders>
            <w:vAlign w:val="center"/>
            <w:hideMark/>
          </w:tcPr>
          <w:p w14:paraId="12295D10"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10</w:t>
            </w:r>
          </w:p>
        </w:tc>
        <w:tc>
          <w:tcPr>
            <w:tcW w:w="1480" w:type="dxa"/>
            <w:tcBorders>
              <w:top w:val="nil"/>
              <w:left w:val="nil"/>
              <w:bottom w:val="single" w:sz="4" w:space="0" w:color="auto"/>
              <w:right w:val="single" w:sz="4" w:space="0" w:color="auto"/>
            </w:tcBorders>
            <w:vAlign w:val="center"/>
            <w:hideMark/>
          </w:tcPr>
          <w:p w14:paraId="57E3F911"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11</w:t>
            </w:r>
          </w:p>
        </w:tc>
      </w:tr>
      <w:tr w:rsidR="00F61F8E" w:rsidRPr="002B3F36" w14:paraId="725A55FD"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50A599BC"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Railway overpasses (no.)</w:t>
            </w:r>
          </w:p>
        </w:tc>
        <w:tc>
          <w:tcPr>
            <w:tcW w:w="1480" w:type="dxa"/>
            <w:tcBorders>
              <w:top w:val="nil"/>
              <w:left w:val="nil"/>
              <w:bottom w:val="single" w:sz="4" w:space="0" w:color="auto"/>
              <w:right w:val="single" w:sz="4" w:space="0" w:color="auto"/>
            </w:tcBorders>
            <w:vAlign w:val="center"/>
            <w:hideMark/>
          </w:tcPr>
          <w:p w14:paraId="7C07B4AF"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8</w:t>
            </w:r>
          </w:p>
        </w:tc>
        <w:tc>
          <w:tcPr>
            <w:tcW w:w="1480" w:type="dxa"/>
            <w:tcBorders>
              <w:top w:val="nil"/>
              <w:left w:val="nil"/>
              <w:bottom w:val="single" w:sz="4" w:space="0" w:color="auto"/>
              <w:right w:val="single" w:sz="4" w:space="0" w:color="auto"/>
            </w:tcBorders>
            <w:vAlign w:val="center"/>
            <w:hideMark/>
          </w:tcPr>
          <w:p w14:paraId="4EAB9349"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7</w:t>
            </w:r>
          </w:p>
        </w:tc>
        <w:tc>
          <w:tcPr>
            <w:tcW w:w="1480" w:type="dxa"/>
            <w:tcBorders>
              <w:top w:val="nil"/>
              <w:left w:val="nil"/>
              <w:bottom w:val="single" w:sz="4" w:space="0" w:color="auto"/>
              <w:right w:val="single" w:sz="4" w:space="0" w:color="auto"/>
            </w:tcBorders>
            <w:vAlign w:val="center"/>
            <w:hideMark/>
          </w:tcPr>
          <w:p w14:paraId="273E3F2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10</w:t>
            </w:r>
          </w:p>
        </w:tc>
        <w:tc>
          <w:tcPr>
            <w:tcW w:w="1480" w:type="dxa"/>
            <w:tcBorders>
              <w:top w:val="nil"/>
              <w:left w:val="nil"/>
              <w:bottom w:val="single" w:sz="4" w:space="0" w:color="auto"/>
              <w:right w:val="single" w:sz="4" w:space="0" w:color="auto"/>
            </w:tcBorders>
            <w:vAlign w:val="center"/>
            <w:hideMark/>
          </w:tcPr>
          <w:p w14:paraId="1A09504D"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8</w:t>
            </w:r>
          </w:p>
        </w:tc>
      </w:tr>
      <w:tr w:rsidR="00F61F8E" w:rsidRPr="002B3F36" w14:paraId="421B6E04"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0EA1B7B6"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Bridges (no.)</w:t>
            </w:r>
          </w:p>
        </w:tc>
        <w:tc>
          <w:tcPr>
            <w:tcW w:w="1480" w:type="dxa"/>
            <w:tcBorders>
              <w:top w:val="nil"/>
              <w:left w:val="nil"/>
              <w:bottom w:val="single" w:sz="4" w:space="0" w:color="auto"/>
              <w:right w:val="single" w:sz="4" w:space="0" w:color="auto"/>
            </w:tcBorders>
            <w:vAlign w:val="center"/>
            <w:hideMark/>
          </w:tcPr>
          <w:p w14:paraId="6D116AB3"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31</w:t>
            </w:r>
          </w:p>
        </w:tc>
        <w:tc>
          <w:tcPr>
            <w:tcW w:w="1480" w:type="dxa"/>
            <w:tcBorders>
              <w:top w:val="nil"/>
              <w:left w:val="nil"/>
              <w:bottom w:val="single" w:sz="4" w:space="0" w:color="auto"/>
              <w:right w:val="single" w:sz="4" w:space="0" w:color="auto"/>
            </w:tcBorders>
            <w:vAlign w:val="center"/>
            <w:hideMark/>
          </w:tcPr>
          <w:p w14:paraId="50374DF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33</w:t>
            </w:r>
          </w:p>
        </w:tc>
        <w:tc>
          <w:tcPr>
            <w:tcW w:w="1480" w:type="dxa"/>
            <w:tcBorders>
              <w:top w:val="nil"/>
              <w:left w:val="nil"/>
              <w:bottom w:val="single" w:sz="4" w:space="0" w:color="auto"/>
              <w:right w:val="single" w:sz="4" w:space="0" w:color="auto"/>
            </w:tcBorders>
            <w:vAlign w:val="center"/>
            <w:hideMark/>
          </w:tcPr>
          <w:p w14:paraId="74B6B6CC"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28</w:t>
            </w:r>
          </w:p>
        </w:tc>
        <w:tc>
          <w:tcPr>
            <w:tcW w:w="1480" w:type="dxa"/>
            <w:tcBorders>
              <w:top w:val="nil"/>
              <w:left w:val="nil"/>
              <w:bottom w:val="single" w:sz="4" w:space="0" w:color="auto"/>
              <w:right w:val="single" w:sz="4" w:space="0" w:color="auto"/>
            </w:tcBorders>
            <w:vAlign w:val="center"/>
            <w:hideMark/>
          </w:tcPr>
          <w:p w14:paraId="208FA78C"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42</w:t>
            </w:r>
          </w:p>
        </w:tc>
      </w:tr>
      <w:tr w:rsidR="00F61F8E" w:rsidRPr="002B3F36" w14:paraId="7D21CC45"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31586639"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Cattle crossings (no.)</w:t>
            </w:r>
          </w:p>
        </w:tc>
        <w:tc>
          <w:tcPr>
            <w:tcW w:w="1480" w:type="dxa"/>
            <w:tcBorders>
              <w:top w:val="nil"/>
              <w:left w:val="nil"/>
              <w:bottom w:val="single" w:sz="4" w:space="0" w:color="auto"/>
              <w:right w:val="single" w:sz="4" w:space="0" w:color="auto"/>
            </w:tcBorders>
            <w:vAlign w:val="center"/>
            <w:hideMark/>
          </w:tcPr>
          <w:p w14:paraId="27565939"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w:t>
            </w:r>
          </w:p>
        </w:tc>
        <w:tc>
          <w:tcPr>
            <w:tcW w:w="1480" w:type="dxa"/>
            <w:tcBorders>
              <w:top w:val="nil"/>
              <w:left w:val="nil"/>
              <w:bottom w:val="single" w:sz="4" w:space="0" w:color="auto"/>
              <w:right w:val="single" w:sz="4" w:space="0" w:color="auto"/>
            </w:tcBorders>
            <w:vAlign w:val="center"/>
            <w:hideMark/>
          </w:tcPr>
          <w:p w14:paraId="36A9A23F"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3</w:t>
            </w:r>
          </w:p>
        </w:tc>
        <w:tc>
          <w:tcPr>
            <w:tcW w:w="1480" w:type="dxa"/>
            <w:tcBorders>
              <w:top w:val="nil"/>
              <w:left w:val="nil"/>
              <w:bottom w:val="single" w:sz="4" w:space="0" w:color="auto"/>
              <w:right w:val="single" w:sz="4" w:space="0" w:color="auto"/>
            </w:tcBorders>
            <w:vAlign w:val="center"/>
            <w:hideMark/>
          </w:tcPr>
          <w:p w14:paraId="24C209C1"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4</w:t>
            </w:r>
          </w:p>
        </w:tc>
        <w:tc>
          <w:tcPr>
            <w:tcW w:w="1480" w:type="dxa"/>
            <w:tcBorders>
              <w:top w:val="nil"/>
              <w:left w:val="nil"/>
              <w:bottom w:val="single" w:sz="4" w:space="0" w:color="auto"/>
              <w:right w:val="single" w:sz="4" w:space="0" w:color="auto"/>
            </w:tcBorders>
            <w:vAlign w:val="center"/>
            <w:hideMark/>
          </w:tcPr>
          <w:p w14:paraId="42FCF3CD"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10</w:t>
            </w:r>
          </w:p>
        </w:tc>
      </w:tr>
      <w:tr w:rsidR="00F61F8E" w:rsidRPr="002B3F36" w14:paraId="6327A62E"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14A67A3D"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Railway crossings (no.)</w:t>
            </w:r>
          </w:p>
        </w:tc>
        <w:tc>
          <w:tcPr>
            <w:tcW w:w="1480" w:type="dxa"/>
            <w:tcBorders>
              <w:top w:val="nil"/>
              <w:left w:val="nil"/>
              <w:bottom w:val="single" w:sz="4" w:space="0" w:color="auto"/>
              <w:right w:val="single" w:sz="4" w:space="0" w:color="auto"/>
            </w:tcBorders>
            <w:vAlign w:val="center"/>
            <w:hideMark/>
          </w:tcPr>
          <w:p w14:paraId="51AC43B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7</w:t>
            </w:r>
          </w:p>
        </w:tc>
        <w:tc>
          <w:tcPr>
            <w:tcW w:w="1480" w:type="dxa"/>
            <w:tcBorders>
              <w:top w:val="nil"/>
              <w:left w:val="nil"/>
              <w:bottom w:val="single" w:sz="4" w:space="0" w:color="auto"/>
              <w:right w:val="single" w:sz="4" w:space="0" w:color="auto"/>
            </w:tcBorders>
            <w:vAlign w:val="center"/>
            <w:hideMark/>
          </w:tcPr>
          <w:p w14:paraId="58AE76E1"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8</w:t>
            </w:r>
          </w:p>
        </w:tc>
        <w:tc>
          <w:tcPr>
            <w:tcW w:w="1480" w:type="dxa"/>
            <w:tcBorders>
              <w:top w:val="nil"/>
              <w:left w:val="nil"/>
              <w:bottom w:val="single" w:sz="4" w:space="0" w:color="auto"/>
              <w:right w:val="single" w:sz="4" w:space="0" w:color="auto"/>
            </w:tcBorders>
            <w:vAlign w:val="center"/>
            <w:hideMark/>
          </w:tcPr>
          <w:p w14:paraId="381386CE"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6</w:t>
            </w:r>
          </w:p>
        </w:tc>
        <w:tc>
          <w:tcPr>
            <w:tcW w:w="1480" w:type="dxa"/>
            <w:tcBorders>
              <w:top w:val="nil"/>
              <w:left w:val="nil"/>
              <w:bottom w:val="single" w:sz="4" w:space="0" w:color="auto"/>
              <w:right w:val="single" w:sz="4" w:space="0" w:color="auto"/>
            </w:tcBorders>
            <w:vAlign w:val="center"/>
            <w:hideMark/>
          </w:tcPr>
          <w:p w14:paraId="60276A58"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8</w:t>
            </w:r>
          </w:p>
        </w:tc>
      </w:tr>
      <w:tr w:rsidR="00F61F8E" w:rsidRPr="002B3F36" w14:paraId="0DCC1244"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031F285A"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Culverts (no.)</w:t>
            </w:r>
          </w:p>
        </w:tc>
        <w:tc>
          <w:tcPr>
            <w:tcW w:w="1480" w:type="dxa"/>
            <w:tcBorders>
              <w:top w:val="nil"/>
              <w:left w:val="nil"/>
              <w:bottom w:val="single" w:sz="4" w:space="0" w:color="auto"/>
              <w:right w:val="single" w:sz="4" w:space="0" w:color="auto"/>
            </w:tcBorders>
            <w:vAlign w:val="center"/>
            <w:hideMark/>
          </w:tcPr>
          <w:p w14:paraId="5D5BBEEA"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134</w:t>
            </w:r>
          </w:p>
        </w:tc>
        <w:tc>
          <w:tcPr>
            <w:tcW w:w="1480" w:type="dxa"/>
            <w:tcBorders>
              <w:top w:val="nil"/>
              <w:left w:val="nil"/>
              <w:bottom w:val="single" w:sz="4" w:space="0" w:color="auto"/>
              <w:right w:val="single" w:sz="4" w:space="0" w:color="auto"/>
            </w:tcBorders>
            <w:vAlign w:val="center"/>
            <w:hideMark/>
          </w:tcPr>
          <w:p w14:paraId="23B7F605"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139</w:t>
            </w:r>
          </w:p>
        </w:tc>
        <w:tc>
          <w:tcPr>
            <w:tcW w:w="1480" w:type="dxa"/>
            <w:tcBorders>
              <w:top w:val="nil"/>
              <w:left w:val="nil"/>
              <w:bottom w:val="single" w:sz="4" w:space="0" w:color="auto"/>
              <w:right w:val="single" w:sz="4" w:space="0" w:color="auto"/>
            </w:tcBorders>
            <w:vAlign w:val="center"/>
            <w:hideMark/>
          </w:tcPr>
          <w:p w14:paraId="6365F495"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130</w:t>
            </w:r>
          </w:p>
        </w:tc>
        <w:tc>
          <w:tcPr>
            <w:tcW w:w="1480" w:type="dxa"/>
            <w:tcBorders>
              <w:top w:val="nil"/>
              <w:left w:val="nil"/>
              <w:bottom w:val="single" w:sz="4" w:space="0" w:color="auto"/>
              <w:right w:val="single" w:sz="4" w:space="0" w:color="auto"/>
            </w:tcBorders>
            <w:vAlign w:val="center"/>
            <w:hideMark/>
          </w:tcPr>
          <w:p w14:paraId="5964DF01"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113</w:t>
            </w:r>
          </w:p>
        </w:tc>
      </w:tr>
      <w:tr w:rsidR="00F61F8E" w:rsidRPr="002B3F36" w14:paraId="04A87760" w14:textId="77777777">
        <w:trPr>
          <w:trHeight w:val="312"/>
          <w:jc w:val="center"/>
        </w:trPr>
        <w:tc>
          <w:tcPr>
            <w:tcW w:w="3240" w:type="dxa"/>
            <w:tcBorders>
              <w:top w:val="nil"/>
              <w:left w:val="single" w:sz="4" w:space="0" w:color="auto"/>
              <w:bottom w:val="single" w:sz="4" w:space="0" w:color="auto"/>
              <w:right w:val="single" w:sz="4" w:space="0" w:color="auto"/>
            </w:tcBorders>
            <w:vAlign w:val="center"/>
            <w:hideMark/>
          </w:tcPr>
          <w:p w14:paraId="68E57991"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Estimated cost (billion KZT)</w:t>
            </w:r>
          </w:p>
        </w:tc>
        <w:tc>
          <w:tcPr>
            <w:tcW w:w="1480" w:type="dxa"/>
            <w:tcBorders>
              <w:top w:val="nil"/>
              <w:left w:val="nil"/>
              <w:bottom w:val="single" w:sz="4" w:space="0" w:color="auto"/>
              <w:right w:val="single" w:sz="4" w:space="0" w:color="auto"/>
            </w:tcBorders>
            <w:vAlign w:val="center"/>
            <w:hideMark/>
          </w:tcPr>
          <w:p w14:paraId="467598BA"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631.247</w:t>
            </w:r>
          </w:p>
        </w:tc>
        <w:tc>
          <w:tcPr>
            <w:tcW w:w="1480" w:type="dxa"/>
            <w:tcBorders>
              <w:top w:val="nil"/>
              <w:left w:val="nil"/>
              <w:bottom w:val="single" w:sz="4" w:space="0" w:color="auto"/>
              <w:right w:val="single" w:sz="4" w:space="0" w:color="auto"/>
            </w:tcBorders>
            <w:vAlign w:val="center"/>
            <w:hideMark/>
          </w:tcPr>
          <w:p w14:paraId="2870E460"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647.149</w:t>
            </w:r>
          </w:p>
        </w:tc>
        <w:tc>
          <w:tcPr>
            <w:tcW w:w="1480" w:type="dxa"/>
            <w:tcBorders>
              <w:top w:val="nil"/>
              <w:left w:val="nil"/>
              <w:bottom w:val="single" w:sz="4" w:space="0" w:color="auto"/>
              <w:right w:val="single" w:sz="4" w:space="0" w:color="auto"/>
            </w:tcBorders>
            <w:vAlign w:val="center"/>
            <w:hideMark/>
          </w:tcPr>
          <w:p w14:paraId="0DF5F153"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650.1</w:t>
            </w:r>
          </w:p>
        </w:tc>
        <w:tc>
          <w:tcPr>
            <w:tcW w:w="1480" w:type="dxa"/>
            <w:tcBorders>
              <w:top w:val="nil"/>
              <w:left w:val="nil"/>
              <w:bottom w:val="single" w:sz="4" w:space="0" w:color="auto"/>
              <w:right w:val="single" w:sz="4" w:space="0" w:color="auto"/>
            </w:tcBorders>
            <w:vAlign w:val="center"/>
            <w:hideMark/>
          </w:tcPr>
          <w:p w14:paraId="2F37A457"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724</w:t>
            </w:r>
          </w:p>
        </w:tc>
      </w:tr>
    </w:tbl>
    <w:p w14:paraId="4DF84237" w14:textId="77777777" w:rsidR="00F61F8E" w:rsidRPr="002B3F36" w:rsidRDefault="00F61F8E">
      <w:pPr>
        <w:pStyle w:val="ReportBodyPar"/>
      </w:pPr>
    </w:p>
    <w:p w14:paraId="4811157E" w14:textId="77777777" w:rsidR="00F61F8E" w:rsidRPr="002B3F36" w:rsidRDefault="00F61F8E">
      <w:pPr>
        <w:pStyle w:val="ReportBodyPar"/>
      </w:pPr>
    </w:p>
    <w:p w14:paraId="527250A0" w14:textId="77777777" w:rsidR="00F61F8E" w:rsidRPr="002B3F36" w:rsidRDefault="00F61F8E">
      <w:pPr>
        <w:pStyle w:val="ReportBodyPar"/>
      </w:pPr>
    </w:p>
    <w:p w14:paraId="068BD967" w14:textId="77777777" w:rsidR="00F61F8E" w:rsidRPr="002B3F36" w:rsidRDefault="00F61F8E">
      <w:pPr>
        <w:pStyle w:val="a5"/>
        <w:spacing w:line="300" w:lineRule="auto"/>
        <w:jc w:val="both"/>
        <w:rPr>
          <w:rFonts w:ascii="Arial" w:hAnsi="Arial" w:cs="Arial"/>
        </w:rPr>
        <w:sectPr w:rsidR="00F61F8E" w:rsidRPr="002B3F36">
          <w:pgSz w:w="11910" w:h="16850"/>
          <w:pgMar w:top="1040" w:right="1133" w:bottom="1300" w:left="1133" w:header="506" w:footer="1102" w:gutter="0"/>
          <w:cols w:space="720"/>
        </w:sectPr>
      </w:pPr>
    </w:p>
    <w:p w14:paraId="3E1FFEA3" w14:textId="77777777" w:rsidR="00F61F8E" w:rsidRPr="002B3F36" w:rsidRDefault="000F264B">
      <w:pPr>
        <w:spacing w:before="84"/>
        <w:ind w:left="2"/>
        <w:jc w:val="both"/>
        <w:rPr>
          <w:rFonts w:ascii="Arial" w:hAnsi="Arial" w:cs="Arial"/>
          <w:sz w:val="12"/>
        </w:rPr>
      </w:pPr>
      <w:r w:rsidRPr="002B3F36">
        <w:rPr>
          <w:rFonts w:ascii="Arial" w:hAnsi="Arial" w:cs="Arial"/>
          <w:b/>
          <w:color w:val="82877D"/>
          <w:sz w:val="12"/>
        </w:rPr>
        <w:lastRenderedPageBreak/>
        <w:t>SUPPLEMENTARY</w:t>
      </w:r>
      <w:r w:rsidRPr="002B3F36">
        <w:rPr>
          <w:rFonts w:ascii="Arial" w:hAnsi="Arial" w:cs="Arial"/>
          <w:b/>
          <w:color w:val="82877D"/>
          <w:spacing w:val="-6"/>
          <w:sz w:val="12"/>
        </w:rPr>
        <w:t xml:space="preserve"> </w:t>
      </w:r>
      <w:r w:rsidRPr="002B3F36">
        <w:rPr>
          <w:rFonts w:ascii="Arial" w:hAnsi="Arial" w:cs="Arial"/>
          <w:b/>
          <w:color w:val="82877D"/>
          <w:sz w:val="12"/>
        </w:rPr>
        <w:t>ENVIRONMENTAL</w:t>
      </w:r>
      <w:r w:rsidRPr="002B3F36">
        <w:rPr>
          <w:rFonts w:ascii="Arial" w:hAnsi="Arial" w:cs="Arial"/>
          <w:b/>
          <w:color w:val="82877D"/>
          <w:spacing w:val="-4"/>
          <w:sz w:val="12"/>
        </w:rPr>
        <w:t xml:space="preserve"> </w:t>
      </w:r>
      <w:r w:rsidRPr="002B3F36">
        <w:rPr>
          <w:rFonts w:ascii="Arial" w:hAnsi="Arial" w:cs="Arial"/>
          <w:b/>
          <w:color w:val="82877D"/>
          <w:sz w:val="12"/>
        </w:rPr>
        <w:t>&amp;</w:t>
      </w:r>
      <w:r w:rsidRPr="002B3F36">
        <w:rPr>
          <w:rFonts w:ascii="Arial" w:hAnsi="Arial" w:cs="Arial"/>
          <w:b/>
          <w:color w:val="82877D"/>
          <w:spacing w:val="-6"/>
          <w:sz w:val="12"/>
        </w:rPr>
        <w:t xml:space="preserve"> </w:t>
      </w:r>
      <w:r w:rsidRPr="002B3F36">
        <w:rPr>
          <w:rFonts w:ascii="Arial" w:hAnsi="Arial" w:cs="Arial"/>
          <w:b/>
          <w:color w:val="82877D"/>
          <w:sz w:val="12"/>
        </w:rPr>
        <w:t>SOCIAL</w:t>
      </w:r>
      <w:r w:rsidRPr="002B3F36">
        <w:rPr>
          <w:rFonts w:ascii="Arial" w:hAnsi="Arial" w:cs="Arial"/>
          <w:b/>
          <w:color w:val="82877D"/>
          <w:spacing w:val="-6"/>
          <w:sz w:val="12"/>
        </w:rPr>
        <w:t xml:space="preserve"> </w:t>
      </w:r>
      <w:r w:rsidRPr="002B3F36">
        <w:rPr>
          <w:rFonts w:ascii="Arial" w:hAnsi="Arial" w:cs="Arial"/>
          <w:b/>
          <w:color w:val="82877D"/>
          <w:sz w:val="12"/>
        </w:rPr>
        <w:t>IMPACT</w:t>
      </w:r>
      <w:r w:rsidRPr="002B3F36">
        <w:rPr>
          <w:rFonts w:ascii="Arial" w:hAnsi="Arial" w:cs="Arial"/>
          <w:b/>
          <w:color w:val="82877D"/>
          <w:spacing w:val="-6"/>
          <w:sz w:val="12"/>
        </w:rPr>
        <w:t xml:space="preserve"> </w:t>
      </w:r>
      <w:r w:rsidRPr="002B3F36">
        <w:rPr>
          <w:rFonts w:ascii="Arial" w:hAnsi="Arial" w:cs="Arial"/>
          <w:b/>
          <w:color w:val="82877D"/>
          <w:sz w:val="12"/>
        </w:rPr>
        <w:t>ASSESSMENT</w:t>
      </w:r>
      <w:r w:rsidRPr="002B3F36">
        <w:rPr>
          <w:rFonts w:ascii="Arial" w:hAnsi="Arial" w:cs="Arial"/>
          <w:b/>
          <w:color w:val="82877D"/>
          <w:spacing w:val="-6"/>
          <w:sz w:val="12"/>
        </w:rPr>
        <w:t xml:space="preserve"> </w:t>
      </w:r>
      <w:r w:rsidRPr="002B3F36">
        <w:rPr>
          <w:rFonts w:ascii="Arial" w:hAnsi="Arial" w:cs="Arial"/>
          <w:b/>
          <w:color w:val="82877D"/>
          <w:sz w:val="12"/>
        </w:rPr>
        <w:t>(ESIA)</w:t>
      </w:r>
      <w:r w:rsidRPr="002B3F36">
        <w:rPr>
          <w:rFonts w:ascii="Arial" w:hAnsi="Arial" w:cs="Arial"/>
          <w:b/>
          <w:color w:val="82877D"/>
          <w:spacing w:val="-6"/>
          <w:sz w:val="12"/>
        </w:rPr>
        <w:t xml:space="preserve"> </w:t>
      </w:r>
      <w:r w:rsidRPr="002B3F36">
        <w:rPr>
          <w:rFonts w:ascii="Arial" w:hAnsi="Arial" w:cs="Arial"/>
          <w:b/>
          <w:color w:val="82877D"/>
          <w:sz w:val="12"/>
        </w:rPr>
        <w:t>FOR</w:t>
      </w:r>
      <w:r w:rsidRPr="002B3F36">
        <w:rPr>
          <w:rFonts w:ascii="Arial" w:hAnsi="Arial" w:cs="Arial"/>
          <w:b/>
          <w:color w:val="82877D"/>
          <w:spacing w:val="-1"/>
          <w:sz w:val="12"/>
        </w:rPr>
        <w:t xml:space="preserve"> </w:t>
      </w:r>
      <w:r w:rsidRPr="002B3F36">
        <w:rPr>
          <w:rFonts w:ascii="Arial" w:hAnsi="Arial" w:cs="Arial"/>
          <w:color w:val="82877D"/>
          <w:sz w:val="12"/>
        </w:rPr>
        <w:t>ALMATY</w:t>
      </w:r>
      <w:r w:rsidRPr="002B3F36">
        <w:rPr>
          <w:rFonts w:ascii="Arial" w:hAnsi="Arial" w:cs="Arial"/>
          <w:color w:val="82877D"/>
          <w:spacing w:val="-7"/>
          <w:sz w:val="12"/>
        </w:rPr>
        <w:t xml:space="preserve"> </w:t>
      </w:r>
      <w:r w:rsidRPr="002B3F36">
        <w:rPr>
          <w:rFonts w:ascii="Arial" w:hAnsi="Arial" w:cs="Arial"/>
          <w:color w:val="82877D"/>
          <w:sz w:val="12"/>
        </w:rPr>
        <w:t>RAILROAD</w:t>
      </w:r>
      <w:r w:rsidRPr="002B3F36">
        <w:rPr>
          <w:rFonts w:ascii="Arial" w:hAnsi="Arial" w:cs="Arial"/>
          <w:color w:val="82877D"/>
          <w:spacing w:val="-5"/>
          <w:sz w:val="12"/>
        </w:rPr>
        <w:t xml:space="preserve"> </w:t>
      </w:r>
      <w:r w:rsidRPr="002B3F36">
        <w:rPr>
          <w:rFonts w:ascii="Arial" w:hAnsi="Arial" w:cs="Arial"/>
          <w:color w:val="82877D"/>
          <w:sz w:val="12"/>
        </w:rPr>
        <w:t>BYPASS PROJECT, KAZAKHSTAN</w:t>
      </w:r>
    </w:p>
    <w:p w14:paraId="6C789239" w14:textId="77777777" w:rsidR="00F61F8E" w:rsidRPr="002B3F36" w:rsidRDefault="000F264B">
      <w:pPr>
        <w:spacing w:before="84"/>
        <w:ind w:left="2"/>
        <w:jc w:val="both"/>
        <w:rPr>
          <w:rFonts w:ascii="Arial" w:hAnsi="Arial" w:cs="Arial"/>
          <w:sz w:val="12"/>
        </w:rPr>
      </w:pPr>
      <w:r w:rsidRPr="002B3F36">
        <w:rPr>
          <w:rFonts w:ascii="Arial" w:hAnsi="Arial" w:cs="Arial"/>
          <w:color w:val="82877D"/>
          <w:sz w:val="12"/>
        </w:rPr>
        <w:t>PROJECT</w:t>
      </w:r>
      <w:r w:rsidRPr="002B3F36">
        <w:rPr>
          <w:rFonts w:ascii="Arial" w:hAnsi="Arial" w:cs="Arial"/>
          <w:color w:val="82877D"/>
          <w:spacing w:val="-7"/>
          <w:sz w:val="12"/>
        </w:rPr>
        <w:t xml:space="preserve"> </w:t>
      </w:r>
      <w:r w:rsidRPr="002B3F36">
        <w:rPr>
          <w:rFonts w:ascii="Arial" w:hAnsi="Arial" w:cs="Arial"/>
          <w:color w:val="82877D"/>
          <w:spacing w:val="-2"/>
          <w:sz w:val="12"/>
        </w:rPr>
        <w:t>DESCRIPTION</w:t>
      </w:r>
    </w:p>
    <w:p w14:paraId="37F6B2CC" w14:textId="77777777" w:rsidR="00F61F8E" w:rsidRPr="002B3F36" w:rsidRDefault="00F61F8E">
      <w:pPr>
        <w:jc w:val="both"/>
        <w:rPr>
          <w:rFonts w:ascii="Arial" w:hAnsi="Arial" w:cs="Arial"/>
          <w:sz w:val="12"/>
        </w:rPr>
        <w:sectPr w:rsidR="00F61F8E" w:rsidRPr="002B3F36">
          <w:headerReference w:type="default" r:id="rId44"/>
          <w:footerReference w:type="even" r:id="rId45"/>
          <w:footerReference w:type="first" r:id="rId46"/>
          <w:pgSz w:w="16850" w:h="11910" w:orient="landscape"/>
          <w:pgMar w:top="420" w:right="708" w:bottom="1200" w:left="850" w:header="0" w:footer="1006" w:gutter="0"/>
          <w:cols w:num="2" w:space="720" w:equalWidth="0">
            <w:col w:w="7121" w:space="6587"/>
            <w:col w:w="1584"/>
          </w:cols>
        </w:sectPr>
      </w:pPr>
    </w:p>
    <w:p w14:paraId="0E361A4C" w14:textId="77777777" w:rsidR="00F61F8E" w:rsidRPr="002B3F36" w:rsidRDefault="000F264B">
      <w:pPr>
        <w:pStyle w:val="ReportBodyPar"/>
      </w:pPr>
      <w:r w:rsidRPr="002B3F36">
        <w:rPr>
          <w:rFonts w:eastAsia="Times New Roman"/>
          <w:noProof/>
          <w:color w:val="000000"/>
          <w:lang w:eastAsia="ru-RU"/>
        </w:rPr>
        <w:drawing>
          <wp:inline distT="0" distB="0" distL="0" distR="0" wp14:anchorId="4C31C530" wp14:editId="62ED3F8A">
            <wp:extent cx="9552238" cy="5848350"/>
            <wp:effectExtent l="19050" t="19050" r="11430" b="19050"/>
            <wp:docPr id="1033"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47" cstate="print"/>
                    <a:srcRect t="1528" r="1107"/>
                    <a:stretch/>
                  </pic:blipFill>
                  <pic:spPr>
                    <a:xfrm>
                      <a:off x="0" y="0"/>
                      <a:ext cx="9552238" cy="5848350"/>
                    </a:xfrm>
                    <a:prstGeom prst="rect">
                      <a:avLst/>
                    </a:prstGeom>
                    <a:ln w="3175">
                      <a:solidFill>
                        <a:schemeClr val="tx1"/>
                      </a:solidFill>
                    </a:ln>
                  </pic:spPr>
                </pic:pic>
              </a:graphicData>
            </a:graphic>
          </wp:inline>
        </w:drawing>
      </w:r>
    </w:p>
    <w:p w14:paraId="07C12D54" w14:textId="3FC16481" w:rsidR="00F61F8E" w:rsidRPr="002B3F36" w:rsidRDefault="00EE44C4" w:rsidP="008F08BA">
      <w:pPr>
        <w:pStyle w:val="FigureCaption"/>
        <w:rPr>
          <w:rFonts w:cs="Arial"/>
        </w:rPr>
      </w:pPr>
      <w:bookmarkStart w:id="628" w:name="_Toc210589600"/>
      <w:r w:rsidRPr="002B3F36">
        <w:rPr>
          <w:rFonts w:cs="Arial"/>
        </w:rPr>
        <w:t xml:space="preserve">Figure </w:t>
      </w:r>
      <w:r w:rsidR="00CF113E" w:rsidRPr="002B3F36">
        <w:rPr>
          <w:rFonts w:cs="Arial"/>
        </w:rPr>
        <w:fldChar w:fldCharType="begin"/>
      </w:r>
      <w:r w:rsidR="00CF113E" w:rsidRPr="002B3F36">
        <w:rPr>
          <w:rFonts w:cs="Arial"/>
        </w:rPr>
        <w:instrText xml:space="preserve"> SEQ Figure \* ARABIC </w:instrText>
      </w:r>
      <w:r w:rsidR="00CF113E" w:rsidRPr="002B3F36">
        <w:rPr>
          <w:rFonts w:cs="Arial"/>
        </w:rPr>
        <w:fldChar w:fldCharType="separate"/>
      </w:r>
      <w:r w:rsidR="002B3F36">
        <w:rPr>
          <w:rFonts w:cs="Arial"/>
          <w:noProof/>
        </w:rPr>
        <w:t>11</w:t>
      </w:r>
      <w:r w:rsidR="00CF113E" w:rsidRPr="002B3F36">
        <w:rPr>
          <w:rFonts w:cs="Arial"/>
        </w:rPr>
        <w:fldChar w:fldCharType="end"/>
      </w:r>
      <w:r w:rsidR="000F264B" w:rsidRPr="002B3F36">
        <w:rPr>
          <w:rFonts w:cs="Arial"/>
        </w:rPr>
        <w:t>:</w:t>
      </w:r>
      <w:r w:rsidR="006D654A" w:rsidRPr="002B3F36">
        <w:rPr>
          <w:rFonts w:cs="Arial"/>
        </w:rPr>
        <w:t xml:space="preserve"> </w:t>
      </w:r>
      <w:r w:rsidR="000F264B" w:rsidRPr="002B3F36">
        <w:rPr>
          <w:rFonts w:cs="Arial"/>
        </w:rPr>
        <w:t>Railway Route Options</w:t>
      </w:r>
      <w:bookmarkEnd w:id="628"/>
    </w:p>
    <w:p w14:paraId="18F4AD1C" w14:textId="77777777" w:rsidR="00F61F8E" w:rsidRPr="002B3F36" w:rsidRDefault="00F61F8E">
      <w:pPr>
        <w:pStyle w:val="ReportBodyPar"/>
        <w:sectPr w:rsidR="00F61F8E" w:rsidRPr="002B3F36">
          <w:type w:val="continuous"/>
          <w:pgSz w:w="16850" w:h="11910" w:orient="landscape"/>
          <w:pgMar w:top="840" w:right="708" w:bottom="1000" w:left="850" w:header="0" w:footer="1006" w:gutter="0"/>
          <w:cols w:space="720"/>
        </w:sectPr>
      </w:pPr>
    </w:p>
    <w:p w14:paraId="7DA1CA7C" w14:textId="77777777" w:rsidR="00F61F8E" w:rsidRPr="002B3F36" w:rsidRDefault="00F61F8E">
      <w:pPr>
        <w:pStyle w:val="ReportBodyPar"/>
      </w:pPr>
      <w:bookmarkStart w:id="629" w:name="_bookmark65"/>
      <w:bookmarkEnd w:id="629"/>
    </w:p>
    <w:p w14:paraId="6EE325EF" w14:textId="68F9A37C" w:rsidR="00F61F8E" w:rsidRPr="002B3F36" w:rsidRDefault="000F264B" w:rsidP="003A18DB">
      <w:pPr>
        <w:pStyle w:val="41"/>
      </w:pPr>
      <w:bookmarkStart w:id="630" w:name="_Toc208973740"/>
      <w:bookmarkStart w:id="631" w:name="_Toc208973940"/>
      <w:bookmarkStart w:id="632" w:name="_Toc208974140"/>
      <w:bookmarkStart w:id="633" w:name="_Toc208974342"/>
      <w:bookmarkStart w:id="634" w:name="_Toc208974550"/>
      <w:bookmarkStart w:id="635" w:name="_Toc210589416"/>
      <w:r w:rsidRPr="002B3F36">
        <w:t>The Preferred Option</w:t>
      </w:r>
      <w:bookmarkEnd w:id="630"/>
      <w:bookmarkEnd w:id="631"/>
      <w:bookmarkEnd w:id="632"/>
      <w:bookmarkEnd w:id="633"/>
      <w:bookmarkEnd w:id="634"/>
      <w:bookmarkEnd w:id="635"/>
    </w:p>
    <w:p w14:paraId="1B3324E2" w14:textId="60B903C0" w:rsidR="00F61F8E" w:rsidRPr="002B3F36" w:rsidRDefault="000F264B" w:rsidP="00DC2DBA">
      <w:pPr>
        <w:pStyle w:val="ReportBodyPar"/>
      </w:pPr>
      <w:r w:rsidRPr="002B3F36">
        <w:t xml:space="preserve">The evaluation of the four route alternatives for the </w:t>
      </w:r>
      <w:r w:rsidR="0060649C" w:rsidRPr="002B3F36">
        <w:t xml:space="preserve">Mointy – Kyzylzhar </w:t>
      </w:r>
      <w:r w:rsidRPr="002B3F36">
        <w:t>railway section was conducted using a structured set of engineering, economic, and operational indicators to ensure technical feasibility, cost-effectiveness, and long-term operational sustainability. Central to the assessment were parameters such as the total construction length, based on both feasibility study data and cartographic surveys, as these directly influence capital investment, construction duration, and subsequent operating costs. Routes with shorter overall lengths and reduced curved sections were generally preferred because they minimize travel times, energy consumption, and track maintenance requirements, while increasing operational safety and efficiency</w:t>
      </w:r>
      <w:r w:rsidR="00CA6D71" w:rsidRPr="002B3F36">
        <w:t xml:space="preserve">, </w:t>
      </w:r>
      <w:r w:rsidR="00CA6D71" w:rsidRPr="00A846C7">
        <w:t xml:space="preserve">without resulting </w:t>
      </w:r>
      <w:r w:rsidR="00EF045E" w:rsidRPr="00A846C7">
        <w:t>substantial</w:t>
      </w:r>
      <w:r w:rsidR="00CA6D71" w:rsidRPr="00A846C7">
        <w:t xml:space="preserve"> environmental impacts in case of proper mitigation measures</w:t>
      </w:r>
      <w:r w:rsidRPr="002B3F36">
        <w:t>.</w:t>
      </w:r>
    </w:p>
    <w:p w14:paraId="141AAAAD" w14:textId="77777777" w:rsidR="00F61F8E" w:rsidRPr="002B3F36" w:rsidRDefault="00F61F8E" w:rsidP="00DC2DBA">
      <w:pPr>
        <w:pStyle w:val="ReportBodyPar"/>
      </w:pPr>
    </w:p>
    <w:p w14:paraId="5E1267A4" w14:textId="71E68843" w:rsidR="00F61F8E" w:rsidRPr="002B3F36" w:rsidRDefault="000F264B" w:rsidP="00DC2DBA">
      <w:pPr>
        <w:pStyle w:val="ReportBodyPar"/>
      </w:pPr>
      <w:r w:rsidRPr="002B3F36">
        <w:t>Operational capacity considerations also played a major role. The line through</w:t>
      </w:r>
      <w:r w:rsidR="0005126C" w:rsidRPr="002B3F36">
        <w:t>o</w:t>
      </w:r>
      <w:r w:rsidRPr="002B3F36">
        <w:t>ut capacity, expressed in train pairs per day, along with the maximum and minimum haul section lengths, was analyzed to determine how each alignment would handle projected freight volumes over time. Related to this were the number of separating points, receiving and dispatch track lengths, and the presence of at-grade railway crossings, all of which affect scheduling flexibility, network integration, and potential delays during operations.</w:t>
      </w:r>
    </w:p>
    <w:p w14:paraId="031EF2A5" w14:textId="77777777" w:rsidR="00F61F8E" w:rsidRPr="002B3F36" w:rsidRDefault="00F61F8E" w:rsidP="00DC2DBA">
      <w:pPr>
        <w:pStyle w:val="ReportBodyPar"/>
      </w:pPr>
    </w:p>
    <w:p w14:paraId="554F6547" w14:textId="77777777" w:rsidR="00F61F8E" w:rsidRPr="002B3F36" w:rsidRDefault="000F264B" w:rsidP="00DC2DBA">
      <w:pPr>
        <w:pStyle w:val="ReportBodyPar"/>
      </w:pPr>
      <w:r w:rsidRPr="002B3F36">
        <w:t>From a structural and construction perspective, indicators such as the total number of artificial structures, including bridges, railway overpasses, cattle crossings, and drainage culverts, were critical in estimating both the engineering complexity and construction costs for each route. Routes requiring extensive drilling and blasting works in mountainous or rocky terrain were assigned higher cost and risk profiles, given the additional safety measures, specialized equipment, and environmental controls needed for such works.</w:t>
      </w:r>
    </w:p>
    <w:p w14:paraId="61ED3D9E" w14:textId="77777777" w:rsidR="00F61F8E" w:rsidRPr="002B3F36" w:rsidRDefault="00F61F8E" w:rsidP="00DC2DBA">
      <w:pPr>
        <w:pStyle w:val="ReportBodyPar"/>
      </w:pPr>
    </w:p>
    <w:p w14:paraId="73CEF67F" w14:textId="51DA05E0" w:rsidR="00F61F8E" w:rsidRPr="002B3F36" w:rsidRDefault="000F264B">
      <w:pPr>
        <w:pStyle w:val="ReportBodyPar"/>
      </w:pPr>
      <w:r w:rsidRPr="002B3F36">
        <w:t>Finally, financial parameters such as the total capital expenditure for construction, additional costs associated with station reconstruction, and spatial constraints affecting station works were integrated with relative cost comparisons among options. This allowed the study to balance construction feasibility with operational efficiency and environmental impact, ultimately identifying the alignment that provided the best trade-off between cost, performance, and sustainability objectives. The comparison Table is shown below</w:t>
      </w:r>
    </w:p>
    <w:p w14:paraId="65D359C0" w14:textId="77777777" w:rsidR="00F61F8E" w:rsidRPr="002B3F36" w:rsidRDefault="00F61F8E">
      <w:pPr>
        <w:pStyle w:val="ReportBodyPar"/>
      </w:pPr>
    </w:p>
    <w:p w14:paraId="7826FF13" w14:textId="2DED905F" w:rsidR="00F61F8E" w:rsidRPr="002B3F36" w:rsidRDefault="00517A3E" w:rsidP="000E123E">
      <w:pPr>
        <w:pStyle w:val="CaptionTable"/>
      </w:pPr>
      <w:bookmarkStart w:id="636" w:name="_Toc210589551"/>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7</w:t>
      </w:r>
      <w:r w:rsidR="00CF113E" w:rsidRPr="002B3F36">
        <w:fldChar w:fldCharType="end"/>
      </w:r>
      <w:r w:rsidRPr="002B3F36">
        <w:rPr>
          <w:rStyle w:val="fontstyle21"/>
          <w:color w:val="auto"/>
          <w:sz w:val="24"/>
          <w:szCs w:val="24"/>
        </w:rPr>
        <w:t>:</w:t>
      </w:r>
      <w:r w:rsidR="006D654A" w:rsidRPr="002B3F36">
        <w:rPr>
          <w:rStyle w:val="fontstyle21"/>
          <w:color w:val="auto"/>
          <w:sz w:val="24"/>
          <w:szCs w:val="24"/>
        </w:rPr>
        <w:t xml:space="preserve"> </w:t>
      </w:r>
      <w:r w:rsidR="000F264B" w:rsidRPr="002B3F36">
        <w:rPr>
          <w:rStyle w:val="fontstyle21"/>
          <w:color w:val="auto"/>
          <w:sz w:val="24"/>
          <w:szCs w:val="24"/>
        </w:rPr>
        <w:t>Comparison of routes by their technical and economic indicators</w:t>
      </w:r>
      <w:bookmarkEnd w:id="636"/>
    </w:p>
    <w:tbl>
      <w:tblPr>
        <w:tblW w:w="98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94"/>
        <w:gridCol w:w="2826"/>
        <w:gridCol w:w="900"/>
        <w:gridCol w:w="862"/>
        <w:gridCol w:w="990"/>
        <w:gridCol w:w="850"/>
        <w:gridCol w:w="1134"/>
        <w:gridCol w:w="1349"/>
      </w:tblGrid>
      <w:tr w:rsidR="002E3FE6" w:rsidRPr="002B3F36" w14:paraId="51695F5A" w14:textId="77777777" w:rsidTr="00F82096">
        <w:trPr>
          <w:tblHeader/>
        </w:trPr>
        <w:tc>
          <w:tcPr>
            <w:tcW w:w="894"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0B14846D" w14:textId="77777777" w:rsidR="002E3FE6" w:rsidRPr="002B3F36" w:rsidRDefault="002E3FE6">
            <w:pPr>
              <w:jc w:val="center"/>
              <w:rPr>
                <w:rFonts w:ascii="Arial" w:hAnsi="Arial" w:cs="Arial"/>
                <w:b/>
                <w:color w:val="000000"/>
                <w:sz w:val="20"/>
                <w:szCs w:val="20"/>
              </w:rPr>
            </w:pPr>
            <w:r w:rsidRPr="002B3F36">
              <w:rPr>
                <w:rFonts w:ascii="Arial" w:hAnsi="Arial" w:cs="Arial"/>
                <w:b/>
                <w:color w:val="000000"/>
                <w:sz w:val="20"/>
                <w:szCs w:val="20"/>
              </w:rPr>
              <w:t>No.</w:t>
            </w:r>
          </w:p>
        </w:tc>
        <w:tc>
          <w:tcPr>
            <w:tcW w:w="282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3D360ADE" w14:textId="420EA12D" w:rsidR="002E3FE6" w:rsidRPr="002B3F36" w:rsidRDefault="002E3FE6">
            <w:pPr>
              <w:jc w:val="center"/>
              <w:rPr>
                <w:rFonts w:ascii="Arial" w:hAnsi="Arial" w:cs="Arial"/>
                <w:b/>
                <w:color w:val="000000"/>
                <w:sz w:val="20"/>
                <w:szCs w:val="20"/>
              </w:rPr>
            </w:pPr>
            <w:r w:rsidRPr="002B3F36">
              <w:rPr>
                <w:rFonts w:ascii="Arial" w:hAnsi="Arial" w:cs="Arial"/>
                <w:b/>
                <w:color w:val="000000"/>
                <w:sz w:val="20"/>
                <w:szCs w:val="20"/>
              </w:rPr>
              <w:t>Criteria/Indicators/</w:t>
            </w:r>
          </w:p>
          <w:p w14:paraId="2D28FB47" w14:textId="5D4BAF1A" w:rsidR="002E3FE6" w:rsidRPr="002B3F36" w:rsidRDefault="002E3FE6">
            <w:pPr>
              <w:jc w:val="center"/>
              <w:rPr>
                <w:rFonts w:ascii="Arial" w:hAnsi="Arial" w:cs="Arial"/>
                <w:b/>
                <w:color w:val="000000"/>
                <w:sz w:val="20"/>
                <w:szCs w:val="20"/>
              </w:rPr>
            </w:pPr>
            <w:r w:rsidRPr="002B3F36">
              <w:rPr>
                <w:rFonts w:ascii="Arial" w:hAnsi="Arial" w:cs="Arial"/>
                <w:b/>
                <w:color w:val="000000"/>
                <w:sz w:val="20"/>
                <w:szCs w:val="20"/>
              </w:rPr>
              <w:t>Considerations</w:t>
            </w:r>
          </w:p>
        </w:tc>
        <w:tc>
          <w:tcPr>
            <w:tcW w:w="900"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183C96AE" w14:textId="77777777" w:rsidR="002E3FE6" w:rsidRPr="002B3F36" w:rsidRDefault="002E3FE6">
            <w:pPr>
              <w:jc w:val="center"/>
              <w:rPr>
                <w:rFonts w:ascii="Arial" w:hAnsi="Arial" w:cs="Arial"/>
                <w:b/>
                <w:color w:val="000000"/>
                <w:sz w:val="20"/>
                <w:szCs w:val="20"/>
              </w:rPr>
            </w:pPr>
            <w:r w:rsidRPr="002B3F36">
              <w:rPr>
                <w:rFonts w:ascii="Arial" w:hAnsi="Arial" w:cs="Arial"/>
                <w:b/>
                <w:color w:val="000000"/>
                <w:sz w:val="20"/>
                <w:szCs w:val="20"/>
              </w:rPr>
              <w:t xml:space="preserve">Unit. </w:t>
            </w:r>
            <w:r w:rsidRPr="002B3F36">
              <w:rPr>
                <w:rFonts w:ascii="Arial" w:hAnsi="Arial" w:cs="Arial"/>
                <w:b/>
                <w:color w:val="000000"/>
                <w:sz w:val="20"/>
                <w:szCs w:val="20"/>
              </w:rPr>
              <w:br/>
              <w:t>meas.</w:t>
            </w:r>
          </w:p>
        </w:tc>
        <w:tc>
          <w:tcPr>
            <w:tcW w:w="3836"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6D5A6A" w14:textId="77777777" w:rsidR="002E3FE6" w:rsidRPr="002B3F36" w:rsidRDefault="002E3FE6">
            <w:pPr>
              <w:jc w:val="center"/>
              <w:rPr>
                <w:rFonts w:ascii="Arial" w:hAnsi="Arial" w:cs="Arial"/>
                <w:b/>
                <w:color w:val="000000"/>
                <w:sz w:val="20"/>
                <w:szCs w:val="20"/>
              </w:rPr>
            </w:pPr>
            <w:r w:rsidRPr="002B3F36">
              <w:rPr>
                <w:rFonts w:ascii="Arial" w:hAnsi="Arial" w:cs="Arial"/>
                <w:b/>
                <w:color w:val="000000"/>
                <w:sz w:val="20"/>
                <w:szCs w:val="20"/>
              </w:rPr>
              <w:t>Options</w:t>
            </w:r>
          </w:p>
        </w:tc>
        <w:tc>
          <w:tcPr>
            <w:tcW w:w="1349"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6932801A" w14:textId="77777777" w:rsidR="002E3FE6" w:rsidRPr="002B3F36" w:rsidRDefault="002E3FE6">
            <w:pPr>
              <w:jc w:val="center"/>
              <w:rPr>
                <w:rFonts w:ascii="Arial" w:hAnsi="Arial" w:cs="Arial"/>
                <w:b/>
                <w:color w:val="000000"/>
                <w:sz w:val="20"/>
                <w:szCs w:val="20"/>
              </w:rPr>
            </w:pPr>
            <w:r w:rsidRPr="002B3F36">
              <w:rPr>
                <w:rFonts w:ascii="Arial" w:hAnsi="Arial" w:cs="Arial"/>
                <w:b/>
                <w:color w:val="000000"/>
                <w:sz w:val="20"/>
                <w:szCs w:val="20"/>
              </w:rPr>
              <w:t>Preferred option</w:t>
            </w:r>
          </w:p>
        </w:tc>
      </w:tr>
      <w:tr w:rsidR="002E3FE6" w:rsidRPr="002B3F36" w14:paraId="4F726ECC" w14:textId="77777777" w:rsidTr="00F82096">
        <w:trPr>
          <w:tblHeader/>
        </w:trPr>
        <w:tc>
          <w:tcPr>
            <w:tcW w:w="894" w:type="dxa"/>
            <w:vMerge/>
            <w:tcBorders>
              <w:left w:val="single" w:sz="4" w:space="0" w:color="auto"/>
              <w:bottom w:val="single" w:sz="4" w:space="0" w:color="auto"/>
              <w:right w:val="single" w:sz="4" w:space="0" w:color="auto"/>
            </w:tcBorders>
            <w:vAlign w:val="center"/>
          </w:tcPr>
          <w:p w14:paraId="527BEDD7" w14:textId="77777777" w:rsidR="002E3FE6" w:rsidRPr="002B3F36" w:rsidRDefault="002E3FE6">
            <w:pPr>
              <w:jc w:val="center"/>
              <w:rPr>
                <w:rFonts w:ascii="Arial" w:hAnsi="Arial" w:cs="Arial"/>
                <w:color w:val="000000"/>
                <w:sz w:val="20"/>
                <w:szCs w:val="20"/>
              </w:rPr>
            </w:pPr>
          </w:p>
        </w:tc>
        <w:tc>
          <w:tcPr>
            <w:tcW w:w="2826" w:type="dxa"/>
            <w:vMerge/>
            <w:tcBorders>
              <w:left w:val="single" w:sz="4" w:space="0" w:color="auto"/>
              <w:bottom w:val="single" w:sz="4" w:space="0" w:color="auto"/>
              <w:right w:val="single" w:sz="4" w:space="0" w:color="auto"/>
            </w:tcBorders>
            <w:vAlign w:val="center"/>
          </w:tcPr>
          <w:p w14:paraId="77602B64" w14:textId="77777777" w:rsidR="002E3FE6" w:rsidRPr="002B3F36" w:rsidRDefault="002E3FE6">
            <w:pPr>
              <w:rPr>
                <w:rFonts w:ascii="Arial" w:hAnsi="Arial" w:cs="Arial"/>
                <w:color w:val="000000"/>
                <w:sz w:val="20"/>
                <w:szCs w:val="20"/>
              </w:rPr>
            </w:pPr>
          </w:p>
        </w:tc>
        <w:tc>
          <w:tcPr>
            <w:tcW w:w="900" w:type="dxa"/>
            <w:vMerge/>
            <w:tcBorders>
              <w:left w:val="single" w:sz="4" w:space="0" w:color="auto"/>
              <w:bottom w:val="single" w:sz="4" w:space="0" w:color="auto"/>
              <w:right w:val="single" w:sz="4" w:space="0" w:color="auto"/>
            </w:tcBorders>
            <w:vAlign w:val="center"/>
          </w:tcPr>
          <w:p w14:paraId="3F6D96CF" w14:textId="77777777" w:rsidR="002E3FE6" w:rsidRPr="002B3F36" w:rsidRDefault="002E3FE6">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3F6A39" w14:textId="77777777" w:rsidR="002E3FE6" w:rsidRPr="002B3F36" w:rsidRDefault="002E3FE6">
            <w:pPr>
              <w:jc w:val="center"/>
              <w:rPr>
                <w:rFonts w:ascii="Arial" w:hAnsi="Arial" w:cs="Arial"/>
                <w:color w:val="000000"/>
                <w:sz w:val="20"/>
                <w:szCs w:val="20"/>
              </w:rPr>
            </w:pPr>
            <w:r w:rsidRPr="002B3F36">
              <w:rPr>
                <w:rFonts w:ascii="Arial" w:hAnsi="Arial" w:cs="Arial"/>
                <w:color w:val="000000"/>
                <w:sz w:val="20"/>
                <w:szCs w:val="20"/>
              </w:rPr>
              <w:t>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B038C" w14:textId="77777777" w:rsidR="002E3FE6" w:rsidRPr="002B3F36" w:rsidRDefault="002E3FE6">
            <w:pPr>
              <w:jc w:val="center"/>
              <w:rPr>
                <w:rFonts w:ascii="Arial" w:hAnsi="Arial" w:cs="Arial"/>
                <w:color w:val="000000"/>
                <w:sz w:val="20"/>
                <w:szCs w:val="20"/>
              </w:rPr>
            </w:pPr>
            <w:r w:rsidRPr="002B3F36">
              <w:rPr>
                <w:rFonts w:ascii="Arial" w:hAnsi="Arial" w:cs="Arial"/>
                <w:color w:val="000000"/>
                <w:sz w:val="20"/>
                <w:szCs w:val="20"/>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23C87B" w14:textId="77777777" w:rsidR="002E3FE6" w:rsidRPr="002B3F36" w:rsidRDefault="002E3FE6">
            <w:pPr>
              <w:jc w:val="center"/>
              <w:rPr>
                <w:rFonts w:ascii="Arial" w:hAnsi="Arial" w:cs="Arial"/>
                <w:color w:val="000000"/>
                <w:sz w:val="20"/>
                <w:szCs w:val="20"/>
              </w:rPr>
            </w:pPr>
            <w:r w:rsidRPr="002B3F36">
              <w:rPr>
                <w:rFonts w:ascii="Arial" w:hAnsi="Arial" w:cs="Arial"/>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CF007B" w14:textId="77777777" w:rsidR="002E3FE6" w:rsidRPr="002B3F36" w:rsidRDefault="002E3FE6">
            <w:pPr>
              <w:jc w:val="center"/>
              <w:rPr>
                <w:rFonts w:ascii="Arial" w:hAnsi="Arial" w:cs="Arial"/>
                <w:color w:val="000000"/>
                <w:sz w:val="20"/>
                <w:szCs w:val="20"/>
              </w:rPr>
            </w:pPr>
            <w:r w:rsidRPr="002B3F36">
              <w:rPr>
                <w:rFonts w:ascii="Arial" w:hAnsi="Arial" w:cs="Arial"/>
                <w:color w:val="000000"/>
                <w:sz w:val="20"/>
                <w:szCs w:val="20"/>
              </w:rPr>
              <w:t>4</w:t>
            </w:r>
          </w:p>
        </w:tc>
        <w:tc>
          <w:tcPr>
            <w:tcW w:w="1349" w:type="dxa"/>
            <w:vMerge/>
            <w:tcBorders>
              <w:left w:val="single" w:sz="4" w:space="0" w:color="auto"/>
              <w:bottom w:val="single" w:sz="4" w:space="0" w:color="auto"/>
              <w:right w:val="single" w:sz="4" w:space="0" w:color="auto"/>
            </w:tcBorders>
            <w:vAlign w:val="center"/>
          </w:tcPr>
          <w:p w14:paraId="01525ACF" w14:textId="77777777" w:rsidR="002E3FE6" w:rsidRPr="002B3F36" w:rsidRDefault="002E3FE6">
            <w:pPr>
              <w:jc w:val="center"/>
              <w:rPr>
                <w:rFonts w:ascii="Arial" w:hAnsi="Arial" w:cs="Arial"/>
                <w:color w:val="000000"/>
                <w:sz w:val="20"/>
                <w:szCs w:val="20"/>
              </w:rPr>
            </w:pPr>
          </w:p>
        </w:tc>
      </w:tr>
      <w:tr w:rsidR="00F61F8E" w:rsidRPr="002B3F36" w14:paraId="102E2AB0"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74115968"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w:t>
            </w:r>
          </w:p>
        </w:tc>
        <w:tc>
          <w:tcPr>
            <w:tcW w:w="2826" w:type="dxa"/>
            <w:tcBorders>
              <w:top w:val="single" w:sz="4" w:space="0" w:color="auto"/>
              <w:left w:val="single" w:sz="4" w:space="0" w:color="auto"/>
              <w:bottom w:val="single" w:sz="4" w:space="0" w:color="auto"/>
              <w:right w:val="single" w:sz="4" w:space="0" w:color="auto"/>
            </w:tcBorders>
            <w:vAlign w:val="center"/>
            <w:hideMark/>
          </w:tcPr>
          <w:p w14:paraId="589FD328"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Total Construction Length (Feasibility Study Data)</w:t>
            </w:r>
          </w:p>
        </w:tc>
        <w:tc>
          <w:tcPr>
            <w:tcW w:w="900" w:type="dxa"/>
            <w:tcBorders>
              <w:top w:val="single" w:sz="4" w:space="0" w:color="auto"/>
              <w:left w:val="single" w:sz="4" w:space="0" w:color="auto"/>
              <w:bottom w:val="single" w:sz="4" w:space="0" w:color="auto"/>
              <w:right w:val="single" w:sz="4" w:space="0" w:color="auto"/>
            </w:tcBorders>
            <w:vAlign w:val="center"/>
            <w:hideMark/>
          </w:tcPr>
          <w:p w14:paraId="0674806C"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km</w:t>
            </w:r>
          </w:p>
        </w:tc>
        <w:tc>
          <w:tcPr>
            <w:tcW w:w="862" w:type="dxa"/>
            <w:tcBorders>
              <w:top w:val="single" w:sz="4" w:space="0" w:color="auto"/>
              <w:left w:val="single" w:sz="4" w:space="0" w:color="auto"/>
              <w:bottom w:val="single" w:sz="4" w:space="0" w:color="auto"/>
              <w:right w:val="single" w:sz="4" w:space="0" w:color="auto"/>
            </w:tcBorders>
            <w:vAlign w:val="center"/>
            <w:hideMark/>
          </w:tcPr>
          <w:p w14:paraId="3E6F6F60"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358.2</w:t>
            </w:r>
          </w:p>
        </w:tc>
        <w:tc>
          <w:tcPr>
            <w:tcW w:w="990" w:type="dxa"/>
            <w:tcBorders>
              <w:top w:val="single" w:sz="4" w:space="0" w:color="auto"/>
              <w:left w:val="single" w:sz="4" w:space="0" w:color="auto"/>
              <w:bottom w:val="single" w:sz="4" w:space="0" w:color="auto"/>
              <w:right w:val="single" w:sz="4" w:space="0" w:color="auto"/>
            </w:tcBorders>
            <w:vAlign w:val="center"/>
          </w:tcPr>
          <w:p w14:paraId="54107BEF" w14:textId="77777777" w:rsidR="00F61F8E" w:rsidRPr="002B3F36" w:rsidRDefault="000F264B">
            <w:pPr>
              <w:jc w:val="center"/>
              <w:rPr>
                <w:rFonts w:ascii="Arial" w:hAnsi="Arial" w:cs="Arial"/>
                <w:sz w:val="20"/>
                <w:szCs w:val="20"/>
              </w:rPr>
            </w:pPr>
            <w:r w:rsidRPr="002B3F36">
              <w:rPr>
                <w:rFonts w:ascii="Arial" w:hAnsi="Arial" w:cs="Arial"/>
                <w:sz w:val="20"/>
                <w:szCs w:val="20"/>
              </w:rPr>
              <w:t>366.5</w:t>
            </w:r>
          </w:p>
        </w:tc>
        <w:tc>
          <w:tcPr>
            <w:tcW w:w="850" w:type="dxa"/>
            <w:tcBorders>
              <w:top w:val="single" w:sz="4" w:space="0" w:color="auto"/>
              <w:left w:val="single" w:sz="4" w:space="0" w:color="auto"/>
              <w:bottom w:val="single" w:sz="4" w:space="0" w:color="auto"/>
              <w:right w:val="single" w:sz="4" w:space="0" w:color="auto"/>
            </w:tcBorders>
            <w:vAlign w:val="center"/>
          </w:tcPr>
          <w:p w14:paraId="176F534C" w14:textId="77777777" w:rsidR="00F61F8E" w:rsidRPr="002B3F36" w:rsidRDefault="000F264B">
            <w:pPr>
              <w:jc w:val="center"/>
              <w:rPr>
                <w:rFonts w:ascii="Arial" w:hAnsi="Arial" w:cs="Arial"/>
                <w:sz w:val="20"/>
                <w:szCs w:val="20"/>
              </w:rPr>
            </w:pPr>
            <w:r w:rsidRPr="002B3F36">
              <w:rPr>
                <w:rFonts w:ascii="Arial" w:hAnsi="Arial" w:cs="Arial"/>
                <w:sz w:val="20"/>
                <w:szCs w:val="20"/>
              </w:rPr>
              <w:t>360,0</w:t>
            </w:r>
          </w:p>
        </w:tc>
        <w:tc>
          <w:tcPr>
            <w:tcW w:w="1134" w:type="dxa"/>
            <w:tcBorders>
              <w:top w:val="single" w:sz="4" w:space="0" w:color="auto"/>
              <w:left w:val="single" w:sz="4" w:space="0" w:color="auto"/>
              <w:bottom w:val="single" w:sz="4" w:space="0" w:color="auto"/>
              <w:right w:val="single" w:sz="4" w:space="0" w:color="auto"/>
            </w:tcBorders>
            <w:vAlign w:val="center"/>
          </w:tcPr>
          <w:p w14:paraId="24DB4B6D" w14:textId="65867EB9" w:rsidR="00F61F8E" w:rsidRPr="002B3F36" w:rsidRDefault="000F264B">
            <w:pPr>
              <w:jc w:val="center"/>
              <w:rPr>
                <w:rFonts w:ascii="Arial" w:hAnsi="Arial" w:cs="Arial"/>
                <w:sz w:val="20"/>
                <w:szCs w:val="20"/>
              </w:rPr>
            </w:pPr>
            <w:r w:rsidRPr="002B3F36">
              <w:rPr>
                <w:rFonts w:ascii="Arial" w:hAnsi="Arial" w:cs="Arial"/>
                <w:sz w:val="20"/>
                <w:szCs w:val="20"/>
              </w:rPr>
              <w:t>322.</w:t>
            </w:r>
            <w:r w:rsidR="005C152A">
              <w:rPr>
                <w:rFonts w:ascii="Arial" w:hAnsi="Arial" w:cs="Arial"/>
                <w:sz w:val="20"/>
                <w:szCs w:val="20"/>
              </w:rPr>
              <w:t>2</w:t>
            </w:r>
          </w:p>
        </w:tc>
        <w:tc>
          <w:tcPr>
            <w:tcW w:w="1349" w:type="dxa"/>
            <w:tcBorders>
              <w:top w:val="single" w:sz="4" w:space="0" w:color="auto"/>
              <w:left w:val="single" w:sz="4" w:space="0" w:color="auto"/>
              <w:bottom w:val="single" w:sz="4" w:space="0" w:color="auto"/>
              <w:right w:val="single" w:sz="4" w:space="0" w:color="auto"/>
            </w:tcBorders>
            <w:vAlign w:val="center"/>
          </w:tcPr>
          <w:p w14:paraId="0BE94CA6"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66401901" w14:textId="77777777" w:rsidTr="00F82096">
        <w:tc>
          <w:tcPr>
            <w:tcW w:w="894" w:type="dxa"/>
            <w:tcBorders>
              <w:top w:val="single" w:sz="4" w:space="0" w:color="auto"/>
              <w:left w:val="single" w:sz="4" w:space="0" w:color="auto"/>
              <w:bottom w:val="single" w:sz="4" w:space="0" w:color="auto"/>
              <w:right w:val="single" w:sz="4" w:space="0" w:color="auto"/>
            </w:tcBorders>
            <w:vAlign w:val="center"/>
          </w:tcPr>
          <w:p w14:paraId="5628661F" w14:textId="77777777" w:rsidR="00F61F8E" w:rsidRPr="002B3F36" w:rsidRDefault="00F61F8E">
            <w:pPr>
              <w:jc w:val="center"/>
              <w:rPr>
                <w:rFonts w:ascii="Arial" w:hAnsi="Arial" w:cs="Arial"/>
                <w:color w:val="000000"/>
                <w:sz w:val="20"/>
                <w:szCs w:val="20"/>
              </w:rPr>
            </w:pPr>
          </w:p>
        </w:tc>
        <w:tc>
          <w:tcPr>
            <w:tcW w:w="2826" w:type="dxa"/>
            <w:tcBorders>
              <w:top w:val="single" w:sz="4" w:space="0" w:color="auto"/>
              <w:left w:val="single" w:sz="4" w:space="0" w:color="auto"/>
              <w:bottom w:val="single" w:sz="4" w:space="0" w:color="auto"/>
              <w:right w:val="single" w:sz="4" w:space="0" w:color="auto"/>
            </w:tcBorders>
            <w:vAlign w:val="center"/>
          </w:tcPr>
          <w:p w14:paraId="66E29857"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Construction Length Based on Cartographic Survey (New Construction)</w:t>
            </w:r>
          </w:p>
        </w:tc>
        <w:tc>
          <w:tcPr>
            <w:tcW w:w="900" w:type="dxa"/>
            <w:tcBorders>
              <w:top w:val="single" w:sz="4" w:space="0" w:color="auto"/>
              <w:left w:val="single" w:sz="4" w:space="0" w:color="auto"/>
              <w:bottom w:val="single" w:sz="4" w:space="0" w:color="auto"/>
              <w:right w:val="single" w:sz="4" w:space="0" w:color="auto"/>
            </w:tcBorders>
            <w:vAlign w:val="center"/>
          </w:tcPr>
          <w:p w14:paraId="1DFB1CB8"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458993E3"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366</w:t>
            </w:r>
          </w:p>
        </w:tc>
        <w:tc>
          <w:tcPr>
            <w:tcW w:w="990" w:type="dxa"/>
            <w:tcBorders>
              <w:top w:val="single" w:sz="4" w:space="0" w:color="auto"/>
              <w:left w:val="single" w:sz="4" w:space="0" w:color="auto"/>
              <w:bottom w:val="single" w:sz="4" w:space="0" w:color="auto"/>
              <w:right w:val="single" w:sz="4" w:space="0" w:color="auto"/>
            </w:tcBorders>
            <w:vAlign w:val="center"/>
          </w:tcPr>
          <w:p w14:paraId="49FB4B86" w14:textId="77777777" w:rsidR="00F61F8E" w:rsidRPr="002B3F36" w:rsidRDefault="000F264B">
            <w:pPr>
              <w:jc w:val="center"/>
              <w:rPr>
                <w:rFonts w:ascii="Arial" w:hAnsi="Arial" w:cs="Arial"/>
                <w:sz w:val="20"/>
                <w:szCs w:val="20"/>
              </w:rPr>
            </w:pPr>
            <w:r w:rsidRPr="002B3F36">
              <w:rPr>
                <w:rFonts w:ascii="Arial" w:hAnsi="Arial" w:cs="Arial"/>
                <w:sz w:val="20"/>
                <w:szCs w:val="20"/>
              </w:rPr>
              <w:t>263</w:t>
            </w:r>
          </w:p>
        </w:tc>
        <w:tc>
          <w:tcPr>
            <w:tcW w:w="850" w:type="dxa"/>
            <w:tcBorders>
              <w:top w:val="single" w:sz="4" w:space="0" w:color="auto"/>
              <w:left w:val="single" w:sz="4" w:space="0" w:color="auto"/>
              <w:bottom w:val="single" w:sz="4" w:space="0" w:color="auto"/>
              <w:right w:val="single" w:sz="4" w:space="0" w:color="auto"/>
            </w:tcBorders>
            <w:vAlign w:val="center"/>
          </w:tcPr>
          <w:p w14:paraId="488D2846" w14:textId="77777777" w:rsidR="00F61F8E" w:rsidRPr="002B3F36" w:rsidRDefault="000F264B">
            <w:pPr>
              <w:jc w:val="center"/>
              <w:rPr>
                <w:rFonts w:ascii="Arial" w:hAnsi="Arial" w:cs="Arial"/>
                <w:sz w:val="20"/>
                <w:szCs w:val="20"/>
              </w:rPr>
            </w:pPr>
            <w:r w:rsidRPr="002B3F36">
              <w:rPr>
                <w:rFonts w:ascii="Arial" w:hAnsi="Arial" w:cs="Arial"/>
                <w:sz w:val="20"/>
                <w:szCs w:val="20"/>
              </w:rPr>
              <w:t>341</w:t>
            </w:r>
          </w:p>
        </w:tc>
        <w:tc>
          <w:tcPr>
            <w:tcW w:w="1134" w:type="dxa"/>
            <w:tcBorders>
              <w:top w:val="single" w:sz="4" w:space="0" w:color="auto"/>
              <w:left w:val="single" w:sz="4" w:space="0" w:color="auto"/>
              <w:bottom w:val="single" w:sz="4" w:space="0" w:color="auto"/>
              <w:right w:val="single" w:sz="4" w:space="0" w:color="auto"/>
            </w:tcBorders>
            <w:vAlign w:val="center"/>
          </w:tcPr>
          <w:p w14:paraId="6A4EE20A" w14:textId="73B86B40" w:rsidR="00F61F8E" w:rsidRPr="002B3F36" w:rsidRDefault="000F264B">
            <w:pPr>
              <w:jc w:val="center"/>
              <w:rPr>
                <w:rFonts w:ascii="Arial" w:hAnsi="Arial" w:cs="Arial"/>
                <w:sz w:val="20"/>
                <w:szCs w:val="20"/>
              </w:rPr>
            </w:pPr>
            <w:r w:rsidRPr="002B3F36">
              <w:rPr>
                <w:rFonts w:ascii="Arial" w:hAnsi="Arial" w:cs="Arial"/>
                <w:sz w:val="20"/>
                <w:szCs w:val="20"/>
              </w:rPr>
              <w:t>322.</w:t>
            </w:r>
            <w:r w:rsidR="005C152A">
              <w:rPr>
                <w:rFonts w:ascii="Arial" w:hAnsi="Arial" w:cs="Arial"/>
                <w:sz w:val="20"/>
                <w:szCs w:val="20"/>
              </w:rPr>
              <w:t>2</w:t>
            </w:r>
          </w:p>
        </w:tc>
        <w:tc>
          <w:tcPr>
            <w:tcW w:w="1349" w:type="dxa"/>
            <w:tcBorders>
              <w:top w:val="single" w:sz="4" w:space="0" w:color="auto"/>
              <w:left w:val="single" w:sz="4" w:space="0" w:color="auto"/>
              <w:bottom w:val="single" w:sz="4" w:space="0" w:color="auto"/>
              <w:right w:val="single" w:sz="4" w:space="0" w:color="auto"/>
            </w:tcBorders>
            <w:vAlign w:val="center"/>
          </w:tcPr>
          <w:p w14:paraId="6F4286F3"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13CB6DE7"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440C179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2</w:t>
            </w:r>
          </w:p>
        </w:tc>
        <w:tc>
          <w:tcPr>
            <w:tcW w:w="2826" w:type="dxa"/>
            <w:tcBorders>
              <w:top w:val="single" w:sz="4" w:space="0" w:color="auto"/>
              <w:left w:val="single" w:sz="4" w:space="0" w:color="auto"/>
              <w:bottom w:val="single" w:sz="4" w:space="0" w:color="auto"/>
              <w:right w:val="single" w:sz="4" w:space="0" w:color="auto"/>
            </w:tcBorders>
            <w:vAlign w:val="center"/>
            <w:hideMark/>
          </w:tcPr>
          <w:p w14:paraId="1EF2396D"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Length of Straight Railway Sections</w:t>
            </w:r>
          </w:p>
        </w:tc>
        <w:tc>
          <w:tcPr>
            <w:tcW w:w="900" w:type="dxa"/>
            <w:tcBorders>
              <w:top w:val="single" w:sz="4" w:space="0" w:color="auto"/>
              <w:left w:val="single" w:sz="4" w:space="0" w:color="auto"/>
              <w:bottom w:val="single" w:sz="4" w:space="0" w:color="auto"/>
              <w:right w:val="single" w:sz="4" w:space="0" w:color="auto"/>
            </w:tcBorders>
            <w:vAlign w:val="center"/>
            <w:hideMark/>
          </w:tcPr>
          <w:p w14:paraId="4D91D334"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km</w:t>
            </w:r>
          </w:p>
        </w:tc>
        <w:tc>
          <w:tcPr>
            <w:tcW w:w="862" w:type="dxa"/>
            <w:tcBorders>
              <w:top w:val="single" w:sz="4" w:space="0" w:color="auto"/>
              <w:left w:val="single" w:sz="4" w:space="0" w:color="auto"/>
              <w:bottom w:val="single" w:sz="4" w:space="0" w:color="auto"/>
              <w:right w:val="single" w:sz="4" w:space="0" w:color="auto"/>
            </w:tcBorders>
            <w:vAlign w:val="center"/>
            <w:hideMark/>
          </w:tcPr>
          <w:p w14:paraId="6E604C1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293.3</w:t>
            </w:r>
          </w:p>
        </w:tc>
        <w:tc>
          <w:tcPr>
            <w:tcW w:w="990" w:type="dxa"/>
            <w:tcBorders>
              <w:top w:val="single" w:sz="4" w:space="0" w:color="auto"/>
              <w:left w:val="single" w:sz="4" w:space="0" w:color="auto"/>
              <w:bottom w:val="single" w:sz="4" w:space="0" w:color="auto"/>
              <w:right w:val="single" w:sz="4" w:space="0" w:color="auto"/>
            </w:tcBorders>
            <w:vAlign w:val="center"/>
          </w:tcPr>
          <w:p w14:paraId="7F5475F5" w14:textId="77777777" w:rsidR="00F61F8E" w:rsidRPr="002B3F36" w:rsidRDefault="000F264B">
            <w:pPr>
              <w:jc w:val="center"/>
              <w:rPr>
                <w:rFonts w:ascii="Arial" w:hAnsi="Arial" w:cs="Arial"/>
                <w:sz w:val="20"/>
                <w:szCs w:val="20"/>
              </w:rPr>
            </w:pPr>
            <w:r w:rsidRPr="002B3F36">
              <w:rPr>
                <w:rFonts w:ascii="Arial" w:hAnsi="Arial" w:cs="Arial"/>
                <w:sz w:val="20"/>
                <w:szCs w:val="20"/>
              </w:rPr>
              <w:t>291.9</w:t>
            </w:r>
          </w:p>
        </w:tc>
        <w:tc>
          <w:tcPr>
            <w:tcW w:w="850" w:type="dxa"/>
            <w:tcBorders>
              <w:top w:val="single" w:sz="4" w:space="0" w:color="auto"/>
              <w:left w:val="single" w:sz="4" w:space="0" w:color="auto"/>
              <w:bottom w:val="single" w:sz="4" w:space="0" w:color="auto"/>
              <w:right w:val="single" w:sz="4" w:space="0" w:color="auto"/>
            </w:tcBorders>
            <w:vAlign w:val="center"/>
          </w:tcPr>
          <w:p w14:paraId="663E2339" w14:textId="77777777" w:rsidR="00F61F8E" w:rsidRPr="002B3F36" w:rsidRDefault="000F264B">
            <w:pPr>
              <w:jc w:val="center"/>
              <w:rPr>
                <w:rFonts w:ascii="Arial" w:hAnsi="Arial" w:cs="Arial"/>
                <w:sz w:val="20"/>
                <w:szCs w:val="20"/>
              </w:rPr>
            </w:pPr>
            <w:r w:rsidRPr="002B3F36">
              <w:rPr>
                <w:rFonts w:ascii="Arial" w:hAnsi="Arial" w:cs="Arial"/>
                <w:sz w:val="20"/>
                <w:szCs w:val="20"/>
              </w:rPr>
              <w:t>272.2</w:t>
            </w:r>
          </w:p>
        </w:tc>
        <w:tc>
          <w:tcPr>
            <w:tcW w:w="1134" w:type="dxa"/>
            <w:tcBorders>
              <w:top w:val="single" w:sz="4" w:space="0" w:color="auto"/>
              <w:left w:val="single" w:sz="4" w:space="0" w:color="auto"/>
              <w:bottom w:val="single" w:sz="4" w:space="0" w:color="auto"/>
              <w:right w:val="single" w:sz="4" w:space="0" w:color="auto"/>
            </w:tcBorders>
            <w:vAlign w:val="center"/>
          </w:tcPr>
          <w:p w14:paraId="78DA3F35" w14:textId="77777777" w:rsidR="00F61F8E" w:rsidRPr="002B3F36" w:rsidRDefault="000F264B">
            <w:pPr>
              <w:jc w:val="center"/>
              <w:rPr>
                <w:rFonts w:ascii="Arial" w:hAnsi="Arial" w:cs="Arial"/>
                <w:sz w:val="20"/>
                <w:szCs w:val="20"/>
              </w:rPr>
            </w:pPr>
            <w:r w:rsidRPr="002B3F36">
              <w:rPr>
                <w:rFonts w:ascii="Arial" w:hAnsi="Arial" w:cs="Arial"/>
                <w:sz w:val="20"/>
                <w:szCs w:val="20"/>
              </w:rPr>
              <w:t>257,594</w:t>
            </w:r>
          </w:p>
        </w:tc>
        <w:tc>
          <w:tcPr>
            <w:tcW w:w="1349" w:type="dxa"/>
            <w:tcBorders>
              <w:top w:val="single" w:sz="4" w:space="0" w:color="auto"/>
              <w:left w:val="single" w:sz="4" w:space="0" w:color="auto"/>
              <w:bottom w:val="single" w:sz="4" w:space="0" w:color="auto"/>
              <w:right w:val="single" w:sz="4" w:space="0" w:color="auto"/>
            </w:tcBorders>
            <w:vAlign w:val="center"/>
          </w:tcPr>
          <w:p w14:paraId="67B7DDF8"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66BE4EFC"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7E440597"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3</w:t>
            </w:r>
          </w:p>
        </w:tc>
        <w:tc>
          <w:tcPr>
            <w:tcW w:w="2826" w:type="dxa"/>
            <w:tcBorders>
              <w:top w:val="single" w:sz="4" w:space="0" w:color="auto"/>
              <w:left w:val="single" w:sz="4" w:space="0" w:color="auto"/>
              <w:bottom w:val="single" w:sz="4" w:space="0" w:color="auto"/>
              <w:right w:val="single" w:sz="4" w:space="0" w:color="auto"/>
            </w:tcBorders>
            <w:vAlign w:val="center"/>
            <w:hideMark/>
          </w:tcPr>
          <w:p w14:paraId="1297676C"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Length of Curved Railway Sections</w:t>
            </w:r>
          </w:p>
        </w:tc>
        <w:tc>
          <w:tcPr>
            <w:tcW w:w="900" w:type="dxa"/>
            <w:tcBorders>
              <w:top w:val="single" w:sz="4" w:space="0" w:color="auto"/>
              <w:left w:val="single" w:sz="4" w:space="0" w:color="auto"/>
              <w:bottom w:val="single" w:sz="4" w:space="0" w:color="auto"/>
              <w:right w:val="single" w:sz="4" w:space="0" w:color="auto"/>
            </w:tcBorders>
            <w:vAlign w:val="center"/>
            <w:hideMark/>
          </w:tcPr>
          <w:p w14:paraId="55674D8F"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km</w:t>
            </w:r>
          </w:p>
        </w:tc>
        <w:tc>
          <w:tcPr>
            <w:tcW w:w="862" w:type="dxa"/>
            <w:tcBorders>
              <w:top w:val="single" w:sz="4" w:space="0" w:color="auto"/>
              <w:left w:val="single" w:sz="4" w:space="0" w:color="auto"/>
              <w:bottom w:val="single" w:sz="4" w:space="0" w:color="auto"/>
              <w:right w:val="single" w:sz="4" w:space="0" w:color="auto"/>
            </w:tcBorders>
            <w:vAlign w:val="center"/>
            <w:hideMark/>
          </w:tcPr>
          <w:p w14:paraId="7717510B"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64.9</w:t>
            </w:r>
          </w:p>
        </w:tc>
        <w:tc>
          <w:tcPr>
            <w:tcW w:w="990" w:type="dxa"/>
            <w:tcBorders>
              <w:top w:val="single" w:sz="4" w:space="0" w:color="auto"/>
              <w:left w:val="single" w:sz="4" w:space="0" w:color="auto"/>
              <w:bottom w:val="single" w:sz="4" w:space="0" w:color="auto"/>
              <w:right w:val="single" w:sz="4" w:space="0" w:color="auto"/>
            </w:tcBorders>
            <w:vAlign w:val="center"/>
          </w:tcPr>
          <w:p w14:paraId="548D1AFD" w14:textId="77777777" w:rsidR="00F61F8E" w:rsidRPr="002B3F36" w:rsidRDefault="000F264B">
            <w:pPr>
              <w:jc w:val="center"/>
              <w:rPr>
                <w:rFonts w:ascii="Arial" w:hAnsi="Arial" w:cs="Arial"/>
                <w:sz w:val="20"/>
                <w:szCs w:val="20"/>
              </w:rPr>
            </w:pPr>
            <w:r w:rsidRPr="002B3F36">
              <w:rPr>
                <w:rFonts w:ascii="Arial" w:hAnsi="Arial" w:cs="Arial"/>
                <w:sz w:val="20"/>
                <w:szCs w:val="20"/>
              </w:rPr>
              <w:t>74.6</w:t>
            </w:r>
          </w:p>
        </w:tc>
        <w:tc>
          <w:tcPr>
            <w:tcW w:w="850" w:type="dxa"/>
            <w:tcBorders>
              <w:top w:val="single" w:sz="4" w:space="0" w:color="auto"/>
              <w:left w:val="single" w:sz="4" w:space="0" w:color="auto"/>
              <w:bottom w:val="single" w:sz="4" w:space="0" w:color="auto"/>
              <w:right w:val="single" w:sz="4" w:space="0" w:color="auto"/>
            </w:tcBorders>
            <w:vAlign w:val="center"/>
          </w:tcPr>
          <w:p w14:paraId="44514FD3" w14:textId="77777777" w:rsidR="00F61F8E" w:rsidRPr="002B3F36" w:rsidRDefault="000F264B">
            <w:pPr>
              <w:jc w:val="center"/>
              <w:rPr>
                <w:rFonts w:ascii="Arial" w:hAnsi="Arial" w:cs="Arial"/>
                <w:sz w:val="20"/>
                <w:szCs w:val="20"/>
              </w:rPr>
            </w:pPr>
            <w:r w:rsidRPr="002B3F36">
              <w:rPr>
                <w:rFonts w:ascii="Arial" w:hAnsi="Arial" w:cs="Arial"/>
                <w:sz w:val="20"/>
                <w:szCs w:val="20"/>
              </w:rPr>
              <w:t>88.3</w:t>
            </w:r>
          </w:p>
        </w:tc>
        <w:tc>
          <w:tcPr>
            <w:tcW w:w="1134" w:type="dxa"/>
            <w:tcBorders>
              <w:top w:val="single" w:sz="4" w:space="0" w:color="auto"/>
              <w:left w:val="single" w:sz="4" w:space="0" w:color="auto"/>
              <w:bottom w:val="single" w:sz="4" w:space="0" w:color="auto"/>
              <w:right w:val="single" w:sz="4" w:space="0" w:color="auto"/>
            </w:tcBorders>
            <w:vAlign w:val="center"/>
          </w:tcPr>
          <w:p w14:paraId="7E702B6A" w14:textId="77777777" w:rsidR="00F61F8E" w:rsidRPr="002B3F36" w:rsidRDefault="000F264B">
            <w:pPr>
              <w:jc w:val="center"/>
              <w:rPr>
                <w:rFonts w:ascii="Arial" w:hAnsi="Arial" w:cs="Arial"/>
                <w:sz w:val="20"/>
                <w:szCs w:val="20"/>
              </w:rPr>
            </w:pPr>
            <w:r w:rsidRPr="002B3F36">
              <w:rPr>
                <w:rFonts w:ascii="Arial" w:hAnsi="Arial" w:cs="Arial"/>
                <w:sz w:val="20"/>
                <w:szCs w:val="20"/>
              </w:rPr>
              <w:t>65,344</w:t>
            </w:r>
          </w:p>
        </w:tc>
        <w:tc>
          <w:tcPr>
            <w:tcW w:w="1349" w:type="dxa"/>
            <w:tcBorders>
              <w:top w:val="single" w:sz="4" w:space="0" w:color="auto"/>
              <w:left w:val="single" w:sz="4" w:space="0" w:color="auto"/>
              <w:bottom w:val="single" w:sz="4" w:space="0" w:color="auto"/>
              <w:right w:val="single" w:sz="4" w:space="0" w:color="auto"/>
            </w:tcBorders>
            <w:vAlign w:val="center"/>
          </w:tcPr>
          <w:p w14:paraId="303E7293"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4ECDD1B8"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2DE914BB"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4</w:t>
            </w:r>
          </w:p>
        </w:tc>
        <w:tc>
          <w:tcPr>
            <w:tcW w:w="2826" w:type="dxa"/>
            <w:tcBorders>
              <w:top w:val="single" w:sz="4" w:space="0" w:color="auto"/>
              <w:left w:val="single" w:sz="4" w:space="0" w:color="auto"/>
              <w:bottom w:val="single" w:sz="4" w:space="0" w:color="auto"/>
              <w:right w:val="single" w:sz="4" w:space="0" w:color="auto"/>
            </w:tcBorders>
            <w:vAlign w:val="center"/>
            <w:hideMark/>
          </w:tcPr>
          <w:p w14:paraId="61CD1516"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Number of Separating Points (Passing Loops and Sidings)</w:t>
            </w:r>
          </w:p>
        </w:tc>
        <w:tc>
          <w:tcPr>
            <w:tcW w:w="900" w:type="dxa"/>
            <w:tcBorders>
              <w:top w:val="single" w:sz="4" w:space="0" w:color="auto"/>
              <w:left w:val="single" w:sz="4" w:space="0" w:color="auto"/>
              <w:bottom w:val="single" w:sz="4" w:space="0" w:color="auto"/>
              <w:right w:val="single" w:sz="4" w:space="0" w:color="auto"/>
            </w:tcBorders>
            <w:vAlign w:val="center"/>
            <w:hideMark/>
          </w:tcPr>
          <w:p w14:paraId="13AECDF4"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no.</w:t>
            </w:r>
          </w:p>
        </w:tc>
        <w:tc>
          <w:tcPr>
            <w:tcW w:w="862" w:type="dxa"/>
            <w:tcBorders>
              <w:top w:val="single" w:sz="4" w:space="0" w:color="auto"/>
              <w:left w:val="single" w:sz="4" w:space="0" w:color="auto"/>
              <w:bottom w:val="single" w:sz="4" w:space="0" w:color="auto"/>
              <w:right w:val="single" w:sz="4" w:space="0" w:color="auto"/>
            </w:tcBorders>
            <w:vAlign w:val="center"/>
            <w:hideMark/>
          </w:tcPr>
          <w:p w14:paraId="341FBEC4"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11</w:t>
            </w:r>
          </w:p>
        </w:tc>
        <w:tc>
          <w:tcPr>
            <w:tcW w:w="990" w:type="dxa"/>
            <w:tcBorders>
              <w:top w:val="single" w:sz="4" w:space="0" w:color="auto"/>
              <w:left w:val="single" w:sz="4" w:space="0" w:color="auto"/>
              <w:bottom w:val="single" w:sz="4" w:space="0" w:color="auto"/>
              <w:right w:val="single" w:sz="4" w:space="0" w:color="auto"/>
            </w:tcBorders>
            <w:vAlign w:val="center"/>
          </w:tcPr>
          <w:p w14:paraId="40E636BA" w14:textId="77777777" w:rsidR="00F61F8E" w:rsidRPr="002B3F36" w:rsidRDefault="000F264B">
            <w:pPr>
              <w:jc w:val="center"/>
              <w:rPr>
                <w:rFonts w:ascii="Arial" w:hAnsi="Arial" w:cs="Arial"/>
                <w:sz w:val="20"/>
                <w:szCs w:val="20"/>
              </w:rPr>
            </w:pPr>
            <w:r w:rsidRPr="002B3F36">
              <w:rPr>
                <w:rFonts w:ascii="Arial" w:hAnsi="Arial" w:cs="Arial"/>
                <w:sz w:val="20"/>
                <w:szCs w:val="20"/>
              </w:rPr>
              <w:t>11</w:t>
            </w:r>
          </w:p>
        </w:tc>
        <w:tc>
          <w:tcPr>
            <w:tcW w:w="850" w:type="dxa"/>
            <w:tcBorders>
              <w:top w:val="single" w:sz="4" w:space="0" w:color="auto"/>
              <w:left w:val="single" w:sz="4" w:space="0" w:color="auto"/>
              <w:bottom w:val="single" w:sz="4" w:space="0" w:color="auto"/>
              <w:right w:val="single" w:sz="4" w:space="0" w:color="auto"/>
            </w:tcBorders>
            <w:vAlign w:val="center"/>
          </w:tcPr>
          <w:p w14:paraId="5ACE4906" w14:textId="77777777" w:rsidR="00F61F8E" w:rsidRPr="002B3F36" w:rsidRDefault="000F264B">
            <w:pPr>
              <w:jc w:val="center"/>
              <w:rPr>
                <w:rFonts w:ascii="Arial" w:hAnsi="Arial" w:cs="Arial"/>
                <w:sz w:val="20"/>
                <w:szCs w:val="20"/>
              </w:rPr>
            </w:pPr>
            <w:r w:rsidRPr="002B3F36">
              <w:rPr>
                <w:rFonts w:ascii="Arial" w:hAnsi="Arial" w:cs="Arial"/>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36D441A6" w14:textId="77777777" w:rsidR="00F61F8E" w:rsidRPr="002B3F36" w:rsidRDefault="000F264B">
            <w:pPr>
              <w:jc w:val="center"/>
              <w:rPr>
                <w:rFonts w:ascii="Arial" w:hAnsi="Arial" w:cs="Arial"/>
                <w:sz w:val="20"/>
                <w:szCs w:val="20"/>
              </w:rPr>
            </w:pPr>
            <w:r w:rsidRPr="002B3F36">
              <w:rPr>
                <w:rFonts w:ascii="Arial" w:hAnsi="Arial" w:cs="Arial"/>
                <w:sz w:val="20"/>
                <w:szCs w:val="20"/>
              </w:rPr>
              <w:t>23</w:t>
            </w:r>
          </w:p>
        </w:tc>
        <w:tc>
          <w:tcPr>
            <w:tcW w:w="1349" w:type="dxa"/>
            <w:tcBorders>
              <w:top w:val="single" w:sz="4" w:space="0" w:color="auto"/>
              <w:left w:val="single" w:sz="4" w:space="0" w:color="auto"/>
              <w:bottom w:val="single" w:sz="4" w:space="0" w:color="auto"/>
              <w:right w:val="single" w:sz="4" w:space="0" w:color="auto"/>
            </w:tcBorders>
            <w:vAlign w:val="center"/>
          </w:tcPr>
          <w:p w14:paraId="07E74850" w14:textId="77777777" w:rsidR="00F61F8E" w:rsidRPr="002B3F36" w:rsidRDefault="000F264B">
            <w:pPr>
              <w:jc w:val="center"/>
              <w:rPr>
                <w:rFonts w:ascii="Arial" w:hAnsi="Arial" w:cs="Arial"/>
                <w:sz w:val="20"/>
                <w:szCs w:val="20"/>
              </w:rPr>
            </w:pPr>
            <w:r w:rsidRPr="002B3F36">
              <w:rPr>
                <w:rFonts w:ascii="Arial" w:hAnsi="Arial" w:cs="Arial"/>
                <w:sz w:val="20"/>
                <w:szCs w:val="20"/>
              </w:rPr>
              <w:t>1, 4 option</w:t>
            </w:r>
          </w:p>
        </w:tc>
      </w:tr>
      <w:tr w:rsidR="00F61F8E" w:rsidRPr="002B3F36" w14:paraId="6E0C2493"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48F36393"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4.1.</w:t>
            </w:r>
          </w:p>
        </w:tc>
        <w:tc>
          <w:tcPr>
            <w:tcW w:w="2826" w:type="dxa"/>
            <w:tcBorders>
              <w:top w:val="single" w:sz="4" w:space="0" w:color="auto"/>
              <w:left w:val="single" w:sz="4" w:space="0" w:color="auto"/>
              <w:bottom w:val="single" w:sz="4" w:space="0" w:color="auto"/>
              <w:right w:val="single" w:sz="4" w:space="0" w:color="auto"/>
            </w:tcBorders>
            <w:vAlign w:val="center"/>
            <w:hideMark/>
          </w:tcPr>
          <w:p w14:paraId="3C3FCF2D"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Maximum Length of Individual Haul Sections</w:t>
            </w:r>
          </w:p>
        </w:tc>
        <w:tc>
          <w:tcPr>
            <w:tcW w:w="900" w:type="dxa"/>
            <w:tcBorders>
              <w:top w:val="single" w:sz="4" w:space="0" w:color="auto"/>
              <w:left w:val="single" w:sz="4" w:space="0" w:color="auto"/>
              <w:bottom w:val="single" w:sz="4" w:space="0" w:color="auto"/>
              <w:right w:val="single" w:sz="4" w:space="0" w:color="auto"/>
            </w:tcBorders>
            <w:vAlign w:val="center"/>
            <w:hideMark/>
          </w:tcPr>
          <w:p w14:paraId="76FBC3D7"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m</w:t>
            </w:r>
          </w:p>
        </w:tc>
        <w:tc>
          <w:tcPr>
            <w:tcW w:w="862" w:type="dxa"/>
            <w:tcBorders>
              <w:top w:val="single" w:sz="4" w:space="0" w:color="auto"/>
              <w:left w:val="single" w:sz="4" w:space="0" w:color="auto"/>
              <w:bottom w:val="single" w:sz="4" w:space="0" w:color="auto"/>
              <w:right w:val="single" w:sz="4" w:space="0" w:color="auto"/>
            </w:tcBorders>
            <w:vAlign w:val="center"/>
            <w:hideMark/>
          </w:tcPr>
          <w:p w14:paraId="33950EC9"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34100</w:t>
            </w:r>
          </w:p>
        </w:tc>
        <w:tc>
          <w:tcPr>
            <w:tcW w:w="990" w:type="dxa"/>
            <w:tcBorders>
              <w:top w:val="single" w:sz="4" w:space="0" w:color="auto"/>
              <w:left w:val="single" w:sz="4" w:space="0" w:color="auto"/>
              <w:bottom w:val="single" w:sz="4" w:space="0" w:color="auto"/>
              <w:right w:val="single" w:sz="4" w:space="0" w:color="auto"/>
            </w:tcBorders>
            <w:vAlign w:val="center"/>
          </w:tcPr>
          <w:p w14:paraId="7864FC46" w14:textId="77777777" w:rsidR="00F61F8E" w:rsidRPr="002B3F36" w:rsidRDefault="000F264B">
            <w:pPr>
              <w:jc w:val="center"/>
              <w:rPr>
                <w:rFonts w:ascii="Arial" w:hAnsi="Arial" w:cs="Arial"/>
                <w:sz w:val="20"/>
                <w:szCs w:val="20"/>
              </w:rPr>
            </w:pPr>
            <w:r w:rsidRPr="002B3F36">
              <w:rPr>
                <w:rFonts w:ascii="Arial" w:hAnsi="Arial" w:cs="Arial"/>
                <w:sz w:val="20"/>
                <w:szCs w:val="20"/>
              </w:rPr>
              <w:t>36400</w:t>
            </w:r>
          </w:p>
        </w:tc>
        <w:tc>
          <w:tcPr>
            <w:tcW w:w="850" w:type="dxa"/>
            <w:tcBorders>
              <w:top w:val="single" w:sz="4" w:space="0" w:color="auto"/>
              <w:left w:val="single" w:sz="4" w:space="0" w:color="auto"/>
              <w:bottom w:val="single" w:sz="4" w:space="0" w:color="auto"/>
              <w:right w:val="single" w:sz="4" w:space="0" w:color="auto"/>
            </w:tcBorders>
            <w:vAlign w:val="center"/>
          </w:tcPr>
          <w:p w14:paraId="552EFFAA" w14:textId="77777777" w:rsidR="00F61F8E" w:rsidRPr="002B3F36" w:rsidRDefault="000F264B">
            <w:pPr>
              <w:jc w:val="center"/>
              <w:rPr>
                <w:rFonts w:ascii="Arial" w:hAnsi="Arial" w:cs="Arial"/>
                <w:sz w:val="20"/>
                <w:szCs w:val="20"/>
              </w:rPr>
            </w:pPr>
            <w:r w:rsidRPr="002B3F36">
              <w:rPr>
                <w:rFonts w:ascii="Arial" w:hAnsi="Arial" w:cs="Arial"/>
                <w:sz w:val="20"/>
                <w:szCs w:val="20"/>
              </w:rPr>
              <w:t>35400</w:t>
            </w:r>
          </w:p>
        </w:tc>
        <w:tc>
          <w:tcPr>
            <w:tcW w:w="1134" w:type="dxa"/>
            <w:tcBorders>
              <w:top w:val="single" w:sz="4" w:space="0" w:color="auto"/>
              <w:left w:val="single" w:sz="4" w:space="0" w:color="auto"/>
              <w:bottom w:val="single" w:sz="4" w:space="0" w:color="auto"/>
              <w:right w:val="single" w:sz="4" w:space="0" w:color="auto"/>
            </w:tcBorders>
            <w:vAlign w:val="center"/>
          </w:tcPr>
          <w:p w14:paraId="07130EE1" w14:textId="77777777" w:rsidR="00F61F8E" w:rsidRPr="002B3F36" w:rsidRDefault="000F264B">
            <w:pPr>
              <w:jc w:val="center"/>
              <w:rPr>
                <w:rFonts w:ascii="Arial" w:hAnsi="Arial" w:cs="Arial"/>
                <w:sz w:val="20"/>
                <w:szCs w:val="20"/>
              </w:rPr>
            </w:pPr>
            <w:r w:rsidRPr="002B3F36">
              <w:rPr>
                <w:rFonts w:ascii="Arial" w:hAnsi="Arial" w:cs="Arial"/>
                <w:sz w:val="20"/>
                <w:szCs w:val="20"/>
              </w:rPr>
              <w:t>14800</w:t>
            </w:r>
          </w:p>
        </w:tc>
        <w:tc>
          <w:tcPr>
            <w:tcW w:w="1349" w:type="dxa"/>
            <w:tcBorders>
              <w:top w:val="single" w:sz="4" w:space="0" w:color="auto"/>
              <w:left w:val="single" w:sz="4" w:space="0" w:color="auto"/>
              <w:bottom w:val="single" w:sz="4" w:space="0" w:color="auto"/>
              <w:right w:val="single" w:sz="4" w:space="0" w:color="auto"/>
            </w:tcBorders>
            <w:vAlign w:val="center"/>
          </w:tcPr>
          <w:p w14:paraId="012E735B"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644B1ABA"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62E41649"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4.2.</w:t>
            </w:r>
          </w:p>
        </w:tc>
        <w:tc>
          <w:tcPr>
            <w:tcW w:w="2826" w:type="dxa"/>
            <w:tcBorders>
              <w:top w:val="single" w:sz="4" w:space="0" w:color="auto"/>
              <w:left w:val="single" w:sz="4" w:space="0" w:color="auto"/>
              <w:bottom w:val="single" w:sz="4" w:space="0" w:color="auto"/>
              <w:right w:val="single" w:sz="4" w:space="0" w:color="auto"/>
            </w:tcBorders>
            <w:vAlign w:val="center"/>
            <w:hideMark/>
          </w:tcPr>
          <w:p w14:paraId="6337CFB3"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Minimum Length of Individual Haul Sections</w:t>
            </w:r>
          </w:p>
        </w:tc>
        <w:tc>
          <w:tcPr>
            <w:tcW w:w="900" w:type="dxa"/>
            <w:tcBorders>
              <w:top w:val="single" w:sz="4" w:space="0" w:color="auto"/>
              <w:left w:val="single" w:sz="4" w:space="0" w:color="auto"/>
              <w:bottom w:val="single" w:sz="4" w:space="0" w:color="auto"/>
              <w:right w:val="single" w:sz="4" w:space="0" w:color="auto"/>
            </w:tcBorders>
            <w:vAlign w:val="center"/>
            <w:hideMark/>
          </w:tcPr>
          <w:p w14:paraId="6F27F66B"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m</w:t>
            </w:r>
          </w:p>
        </w:tc>
        <w:tc>
          <w:tcPr>
            <w:tcW w:w="862" w:type="dxa"/>
            <w:tcBorders>
              <w:top w:val="single" w:sz="4" w:space="0" w:color="auto"/>
              <w:left w:val="single" w:sz="4" w:space="0" w:color="auto"/>
              <w:bottom w:val="single" w:sz="4" w:space="0" w:color="auto"/>
              <w:right w:val="single" w:sz="4" w:space="0" w:color="auto"/>
            </w:tcBorders>
            <w:vAlign w:val="center"/>
            <w:hideMark/>
          </w:tcPr>
          <w:p w14:paraId="6B255264"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23300</w:t>
            </w:r>
          </w:p>
        </w:tc>
        <w:tc>
          <w:tcPr>
            <w:tcW w:w="990" w:type="dxa"/>
            <w:tcBorders>
              <w:top w:val="single" w:sz="4" w:space="0" w:color="auto"/>
              <w:left w:val="single" w:sz="4" w:space="0" w:color="auto"/>
              <w:bottom w:val="single" w:sz="4" w:space="0" w:color="auto"/>
              <w:right w:val="single" w:sz="4" w:space="0" w:color="auto"/>
            </w:tcBorders>
            <w:vAlign w:val="center"/>
          </w:tcPr>
          <w:p w14:paraId="11D6B959" w14:textId="77777777" w:rsidR="00F61F8E" w:rsidRPr="002B3F36" w:rsidRDefault="000F264B">
            <w:pPr>
              <w:jc w:val="center"/>
              <w:rPr>
                <w:rFonts w:ascii="Arial" w:hAnsi="Arial" w:cs="Arial"/>
                <w:sz w:val="20"/>
                <w:szCs w:val="20"/>
              </w:rPr>
            </w:pPr>
            <w:r w:rsidRPr="002B3F36">
              <w:rPr>
                <w:rFonts w:ascii="Arial" w:hAnsi="Arial" w:cs="Arial"/>
                <w:sz w:val="20"/>
                <w:szCs w:val="20"/>
              </w:rPr>
              <w:t>23300</w:t>
            </w:r>
          </w:p>
        </w:tc>
        <w:tc>
          <w:tcPr>
            <w:tcW w:w="850" w:type="dxa"/>
            <w:tcBorders>
              <w:top w:val="single" w:sz="4" w:space="0" w:color="auto"/>
              <w:left w:val="single" w:sz="4" w:space="0" w:color="auto"/>
              <w:bottom w:val="single" w:sz="4" w:space="0" w:color="auto"/>
              <w:right w:val="single" w:sz="4" w:space="0" w:color="auto"/>
            </w:tcBorders>
            <w:vAlign w:val="center"/>
          </w:tcPr>
          <w:p w14:paraId="759137E9" w14:textId="77777777" w:rsidR="00F61F8E" w:rsidRPr="002B3F36" w:rsidRDefault="000F264B">
            <w:pPr>
              <w:jc w:val="center"/>
              <w:rPr>
                <w:rFonts w:ascii="Arial" w:hAnsi="Arial" w:cs="Arial"/>
                <w:sz w:val="20"/>
                <w:szCs w:val="20"/>
              </w:rPr>
            </w:pPr>
            <w:r w:rsidRPr="002B3F36">
              <w:rPr>
                <w:rFonts w:ascii="Arial" w:hAnsi="Arial" w:cs="Arial"/>
                <w:sz w:val="20"/>
                <w:szCs w:val="20"/>
              </w:rPr>
              <w:t>24600</w:t>
            </w:r>
          </w:p>
        </w:tc>
        <w:tc>
          <w:tcPr>
            <w:tcW w:w="1134" w:type="dxa"/>
            <w:tcBorders>
              <w:top w:val="single" w:sz="4" w:space="0" w:color="auto"/>
              <w:left w:val="single" w:sz="4" w:space="0" w:color="auto"/>
              <w:bottom w:val="single" w:sz="4" w:space="0" w:color="auto"/>
              <w:right w:val="single" w:sz="4" w:space="0" w:color="auto"/>
            </w:tcBorders>
            <w:vAlign w:val="center"/>
          </w:tcPr>
          <w:p w14:paraId="5F1AE8C4" w14:textId="77777777" w:rsidR="00F61F8E" w:rsidRPr="002B3F36" w:rsidRDefault="000F264B">
            <w:pPr>
              <w:jc w:val="center"/>
              <w:rPr>
                <w:rFonts w:ascii="Arial" w:hAnsi="Arial" w:cs="Arial"/>
                <w:sz w:val="20"/>
                <w:szCs w:val="20"/>
              </w:rPr>
            </w:pPr>
            <w:r w:rsidRPr="002B3F36">
              <w:rPr>
                <w:rFonts w:ascii="Arial" w:hAnsi="Arial" w:cs="Arial"/>
                <w:sz w:val="20"/>
                <w:szCs w:val="20"/>
              </w:rPr>
              <w:t>7700</w:t>
            </w:r>
          </w:p>
        </w:tc>
        <w:tc>
          <w:tcPr>
            <w:tcW w:w="1349" w:type="dxa"/>
            <w:tcBorders>
              <w:top w:val="single" w:sz="4" w:space="0" w:color="auto"/>
              <w:left w:val="single" w:sz="4" w:space="0" w:color="auto"/>
              <w:bottom w:val="single" w:sz="4" w:space="0" w:color="auto"/>
              <w:right w:val="single" w:sz="4" w:space="0" w:color="auto"/>
            </w:tcBorders>
            <w:vAlign w:val="center"/>
          </w:tcPr>
          <w:p w14:paraId="2660A29D" w14:textId="77777777" w:rsidR="00F61F8E" w:rsidRPr="002B3F36" w:rsidRDefault="000F264B">
            <w:pPr>
              <w:jc w:val="center"/>
              <w:rPr>
                <w:rFonts w:ascii="Arial" w:hAnsi="Arial" w:cs="Arial"/>
                <w:sz w:val="20"/>
                <w:szCs w:val="20"/>
              </w:rPr>
            </w:pPr>
            <w:r w:rsidRPr="002B3F36">
              <w:rPr>
                <w:rFonts w:ascii="Arial" w:hAnsi="Arial" w:cs="Arial"/>
                <w:sz w:val="20"/>
                <w:szCs w:val="20"/>
              </w:rPr>
              <w:t>1, 4 option</w:t>
            </w:r>
          </w:p>
        </w:tc>
      </w:tr>
      <w:tr w:rsidR="00F61F8E" w:rsidRPr="002B3F36" w14:paraId="4D65BC4D"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304D4C87"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lastRenderedPageBreak/>
              <w:t>5</w:t>
            </w:r>
          </w:p>
        </w:tc>
        <w:tc>
          <w:tcPr>
            <w:tcW w:w="2826" w:type="dxa"/>
            <w:tcBorders>
              <w:top w:val="single" w:sz="4" w:space="0" w:color="auto"/>
              <w:left w:val="single" w:sz="4" w:space="0" w:color="auto"/>
              <w:bottom w:val="single" w:sz="4" w:space="0" w:color="auto"/>
              <w:right w:val="single" w:sz="4" w:space="0" w:color="auto"/>
            </w:tcBorders>
            <w:vAlign w:val="center"/>
            <w:hideMark/>
          </w:tcPr>
          <w:p w14:paraId="207DB3A8"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Line Throughput Capacity (Estimated Range)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161FAFE"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Pairs of trains</w:t>
            </w:r>
          </w:p>
        </w:tc>
        <w:tc>
          <w:tcPr>
            <w:tcW w:w="862" w:type="dxa"/>
            <w:tcBorders>
              <w:top w:val="single" w:sz="4" w:space="0" w:color="auto"/>
              <w:left w:val="single" w:sz="4" w:space="0" w:color="auto"/>
              <w:bottom w:val="single" w:sz="4" w:space="0" w:color="auto"/>
              <w:right w:val="single" w:sz="4" w:space="0" w:color="auto"/>
            </w:tcBorders>
            <w:vAlign w:val="center"/>
            <w:hideMark/>
          </w:tcPr>
          <w:p w14:paraId="76E69645"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44-46</w:t>
            </w:r>
          </w:p>
        </w:tc>
        <w:tc>
          <w:tcPr>
            <w:tcW w:w="990" w:type="dxa"/>
            <w:tcBorders>
              <w:top w:val="single" w:sz="4" w:space="0" w:color="auto"/>
              <w:left w:val="single" w:sz="4" w:space="0" w:color="auto"/>
              <w:bottom w:val="single" w:sz="4" w:space="0" w:color="auto"/>
              <w:right w:val="single" w:sz="4" w:space="0" w:color="auto"/>
            </w:tcBorders>
            <w:vAlign w:val="center"/>
          </w:tcPr>
          <w:p w14:paraId="071FD785" w14:textId="77777777" w:rsidR="00F61F8E" w:rsidRPr="002B3F36" w:rsidRDefault="000F264B">
            <w:pPr>
              <w:jc w:val="center"/>
              <w:rPr>
                <w:rFonts w:ascii="Arial" w:hAnsi="Arial" w:cs="Arial"/>
                <w:sz w:val="20"/>
                <w:szCs w:val="20"/>
              </w:rPr>
            </w:pPr>
            <w:r w:rsidRPr="002B3F36">
              <w:rPr>
                <w:rFonts w:ascii="Arial" w:hAnsi="Arial" w:cs="Arial"/>
                <w:sz w:val="20"/>
                <w:szCs w:val="20"/>
              </w:rPr>
              <w:t>42-44</w:t>
            </w:r>
          </w:p>
        </w:tc>
        <w:tc>
          <w:tcPr>
            <w:tcW w:w="850" w:type="dxa"/>
            <w:tcBorders>
              <w:top w:val="single" w:sz="4" w:space="0" w:color="auto"/>
              <w:left w:val="single" w:sz="4" w:space="0" w:color="auto"/>
              <w:bottom w:val="single" w:sz="4" w:space="0" w:color="auto"/>
              <w:right w:val="single" w:sz="4" w:space="0" w:color="auto"/>
            </w:tcBorders>
            <w:vAlign w:val="center"/>
          </w:tcPr>
          <w:p w14:paraId="6B9BC5EE" w14:textId="77777777" w:rsidR="00F61F8E" w:rsidRPr="002B3F36" w:rsidRDefault="000F264B">
            <w:pPr>
              <w:jc w:val="center"/>
              <w:rPr>
                <w:rFonts w:ascii="Arial" w:hAnsi="Arial" w:cs="Arial"/>
                <w:sz w:val="20"/>
                <w:szCs w:val="20"/>
              </w:rPr>
            </w:pPr>
            <w:r w:rsidRPr="002B3F36">
              <w:rPr>
                <w:rFonts w:ascii="Arial" w:hAnsi="Arial" w:cs="Arial"/>
                <w:sz w:val="20"/>
                <w:szCs w:val="20"/>
              </w:rPr>
              <w:t>40-42</w:t>
            </w:r>
          </w:p>
        </w:tc>
        <w:tc>
          <w:tcPr>
            <w:tcW w:w="1134" w:type="dxa"/>
            <w:tcBorders>
              <w:top w:val="single" w:sz="4" w:space="0" w:color="auto"/>
              <w:left w:val="single" w:sz="4" w:space="0" w:color="auto"/>
              <w:bottom w:val="single" w:sz="4" w:space="0" w:color="auto"/>
              <w:right w:val="single" w:sz="4" w:space="0" w:color="auto"/>
            </w:tcBorders>
            <w:vAlign w:val="center"/>
          </w:tcPr>
          <w:p w14:paraId="520539A4" w14:textId="77777777" w:rsidR="00F61F8E" w:rsidRPr="002B3F36" w:rsidRDefault="000F264B">
            <w:pPr>
              <w:jc w:val="center"/>
              <w:rPr>
                <w:rFonts w:ascii="Arial" w:hAnsi="Arial" w:cs="Arial"/>
                <w:sz w:val="20"/>
                <w:szCs w:val="20"/>
              </w:rPr>
            </w:pPr>
            <w:r w:rsidRPr="002B3F36">
              <w:rPr>
                <w:rFonts w:ascii="Arial" w:hAnsi="Arial" w:cs="Arial"/>
                <w:sz w:val="20"/>
                <w:szCs w:val="20"/>
              </w:rPr>
              <w:t>44-42</w:t>
            </w:r>
          </w:p>
        </w:tc>
        <w:tc>
          <w:tcPr>
            <w:tcW w:w="1349" w:type="dxa"/>
            <w:tcBorders>
              <w:top w:val="single" w:sz="4" w:space="0" w:color="auto"/>
              <w:left w:val="single" w:sz="4" w:space="0" w:color="auto"/>
              <w:bottom w:val="single" w:sz="4" w:space="0" w:color="auto"/>
              <w:right w:val="single" w:sz="4" w:space="0" w:color="auto"/>
            </w:tcBorders>
            <w:vAlign w:val="center"/>
          </w:tcPr>
          <w:p w14:paraId="2D811DEC" w14:textId="77777777" w:rsidR="00F61F8E" w:rsidRPr="002B3F36" w:rsidRDefault="000F264B">
            <w:pPr>
              <w:jc w:val="center"/>
              <w:rPr>
                <w:rFonts w:ascii="Arial" w:hAnsi="Arial" w:cs="Arial"/>
                <w:sz w:val="20"/>
                <w:szCs w:val="20"/>
              </w:rPr>
            </w:pPr>
            <w:r w:rsidRPr="002B3F36">
              <w:rPr>
                <w:rFonts w:ascii="Arial" w:hAnsi="Arial" w:cs="Arial"/>
                <w:sz w:val="20"/>
                <w:szCs w:val="20"/>
              </w:rPr>
              <w:t>1, 4 option</w:t>
            </w:r>
          </w:p>
        </w:tc>
      </w:tr>
      <w:tr w:rsidR="00F61F8E" w:rsidRPr="002B3F36" w14:paraId="5A116D8E"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52F5C072"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6</w:t>
            </w:r>
          </w:p>
        </w:tc>
        <w:tc>
          <w:tcPr>
            <w:tcW w:w="2826" w:type="dxa"/>
            <w:tcBorders>
              <w:top w:val="single" w:sz="4" w:space="0" w:color="auto"/>
              <w:left w:val="single" w:sz="4" w:space="0" w:color="auto"/>
              <w:bottom w:val="single" w:sz="4" w:space="0" w:color="auto"/>
              <w:right w:val="single" w:sz="4" w:space="0" w:color="auto"/>
            </w:tcBorders>
            <w:vAlign w:val="center"/>
            <w:hideMark/>
          </w:tcPr>
          <w:p w14:paraId="38E4B386"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Effective Length of Receiving and Dispatch Tracks</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C7FAE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m</w:t>
            </w:r>
          </w:p>
        </w:tc>
        <w:tc>
          <w:tcPr>
            <w:tcW w:w="862" w:type="dxa"/>
            <w:tcBorders>
              <w:top w:val="single" w:sz="4" w:space="0" w:color="auto"/>
              <w:left w:val="single" w:sz="4" w:space="0" w:color="auto"/>
              <w:bottom w:val="single" w:sz="4" w:space="0" w:color="auto"/>
              <w:right w:val="single" w:sz="4" w:space="0" w:color="auto"/>
            </w:tcBorders>
            <w:vAlign w:val="center"/>
            <w:hideMark/>
          </w:tcPr>
          <w:p w14:paraId="6AF1B7AD"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1250</w:t>
            </w:r>
          </w:p>
        </w:tc>
        <w:tc>
          <w:tcPr>
            <w:tcW w:w="990" w:type="dxa"/>
            <w:tcBorders>
              <w:top w:val="single" w:sz="4" w:space="0" w:color="auto"/>
              <w:left w:val="single" w:sz="4" w:space="0" w:color="auto"/>
              <w:bottom w:val="single" w:sz="4" w:space="0" w:color="auto"/>
              <w:right w:val="single" w:sz="4" w:space="0" w:color="auto"/>
            </w:tcBorders>
            <w:vAlign w:val="center"/>
          </w:tcPr>
          <w:p w14:paraId="56204B6D" w14:textId="77777777" w:rsidR="00F61F8E" w:rsidRPr="002B3F36" w:rsidRDefault="000F264B">
            <w:pPr>
              <w:jc w:val="center"/>
              <w:rPr>
                <w:rFonts w:ascii="Arial" w:hAnsi="Arial" w:cs="Arial"/>
                <w:sz w:val="20"/>
                <w:szCs w:val="20"/>
              </w:rPr>
            </w:pPr>
            <w:r w:rsidRPr="002B3F36">
              <w:rPr>
                <w:rFonts w:ascii="Arial" w:hAnsi="Arial" w:cs="Arial"/>
                <w:sz w:val="20"/>
                <w:szCs w:val="20"/>
              </w:rPr>
              <w:t>1250</w:t>
            </w:r>
          </w:p>
        </w:tc>
        <w:tc>
          <w:tcPr>
            <w:tcW w:w="850" w:type="dxa"/>
            <w:tcBorders>
              <w:top w:val="single" w:sz="4" w:space="0" w:color="auto"/>
              <w:left w:val="single" w:sz="4" w:space="0" w:color="auto"/>
              <w:bottom w:val="single" w:sz="4" w:space="0" w:color="auto"/>
              <w:right w:val="single" w:sz="4" w:space="0" w:color="auto"/>
            </w:tcBorders>
            <w:vAlign w:val="center"/>
          </w:tcPr>
          <w:p w14:paraId="2FFA7DE0" w14:textId="77777777" w:rsidR="00F61F8E" w:rsidRPr="002B3F36" w:rsidRDefault="000F264B">
            <w:pPr>
              <w:jc w:val="center"/>
              <w:rPr>
                <w:rFonts w:ascii="Arial" w:hAnsi="Arial" w:cs="Arial"/>
                <w:sz w:val="20"/>
                <w:szCs w:val="20"/>
              </w:rPr>
            </w:pPr>
            <w:r w:rsidRPr="002B3F36">
              <w:rPr>
                <w:rFonts w:ascii="Arial" w:hAnsi="Arial" w:cs="Arial"/>
                <w:sz w:val="20"/>
                <w:szCs w:val="20"/>
              </w:rPr>
              <w:t>1050</w:t>
            </w:r>
          </w:p>
        </w:tc>
        <w:tc>
          <w:tcPr>
            <w:tcW w:w="1134" w:type="dxa"/>
            <w:tcBorders>
              <w:top w:val="single" w:sz="4" w:space="0" w:color="auto"/>
              <w:left w:val="single" w:sz="4" w:space="0" w:color="auto"/>
              <w:bottom w:val="single" w:sz="4" w:space="0" w:color="auto"/>
              <w:right w:val="single" w:sz="4" w:space="0" w:color="auto"/>
            </w:tcBorders>
            <w:vAlign w:val="center"/>
          </w:tcPr>
          <w:p w14:paraId="37BBB5B8" w14:textId="77777777" w:rsidR="00F61F8E" w:rsidRPr="002B3F36" w:rsidRDefault="000F264B">
            <w:pPr>
              <w:jc w:val="center"/>
              <w:rPr>
                <w:rFonts w:ascii="Arial" w:hAnsi="Arial" w:cs="Arial"/>
                <w:sz w:val="20"/>
                <w:szCs w:val="20"/>
              </w:rPr>
            </w:pPr>
            <w:r w:rsidRPr="002B3F36">
              <w:rPr>
                <w:rFonts w:ascii="Arial" w:hAnsi="Arial" w:cs="Arial"/>
                <w:sz w:val="20"/>
                <w:szCs w:val="20"/>
              </w:rPr>
              <w:t>1050</w:t>
            </w:r>
          </w:p>
        </w:tc>
        <w:tc>
          <w:tcPr>
            <w:tcW w:w="1349" w:type="dxa"/>
            <w:tcBorders>
              <w:top w:val="single" w:sz="4" w:space="0" w:color="auto"/>
              <w:left w:val="single" w:sz="4" w:space="0" w:color="auto"/>
              <w:bottom w:val="single" w:sz="4" w:space="0" w:color="auto"/>
              <w:right w:val="single" w:sz="4" w:space="0" w:color="auto"/>
            </w:tcBorders>
            <w:vAlign w:val="center"/>
          </w:tcPr>
          <w:p w14:paraId="3737284A" w14:textId="77777777" w:rsidR="00F61F8E" w:rsidRPr="002B3F36" w:rsidRDefault="000F264B">
            <w:pPr>
              <w:jc w:val="center"/>
              <w:rPr>
                <w:rFonts w:ascii="Arial" w:hAnsi="Arial" w:cs="Arial"/>
                <w:sz w:val="20"/>
                <w:szCs w:val="20"/>
              </w:rPr>
            </w:pPr>
            <w:r w:rsidRPr="002B3F36">
              <w:rPr>
                <w:rFonts w:ascii="Arial" w:hAnsi="Arial" w:cs="Arial"/>
                <w:sz w:val="20"/>
                <w:szCs w:val="20"/>
              </w:rPr>
              <w:t>1, 4 option</w:t>
            </w:r>
          </w:p>
        </w:tc>
      </w:tr>
      <w:tr w:rsidR="00F61F8E" w:rsidRPr="002B3F36" w14:paraId="40AD0A3B"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69A4D625"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7</w:t>
            </w:r>
          </w:p>
        </w:tc>
        <w:tc>
          <w:tcPr>
            <w:tcW w:w="2826" w:type="dxa"/>
            <w:tcBorders>
              <w:top w:val="single" w:sz="4" w:space="0" w:color="auto"/>
              <w:left w:val="single" w:sz="4" w:space="0" w:color="auto"/>
              <w:bottom w:val="single" w:sz="4" w:space="0" w:color="auto"/>
              <w:right w:val="single" w:sz="4" w:space="0" w:color="auto"/>
            </w:tcBorders>
            <w:vAlign w:val="center"/>
            <w:hideMark/>
          </w:tcPr>
          <w:p w14:paraId="73B8496B"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Total Number of Artificial Structures (Aggregate)</w:t>
            </w:r>
          </w:p>
        </w:tc>
        <w:tc>
          <w:tcPr>
            <w:tcW w:w="900" w:type="dxa"/>
            <w:tcBorders>
              <w:top w:val="single" w:sz="4" w:space="0" w:color="auto"/>
              <w:left w:val="single" w:sz="4" w:space="0" w:color="auto"/>
              <w:bottom w:val="single" w:sz="4" w:space="0" w:color="auto"/>
              <w:right w:val="single" w:sz="4" w:space="0" w:color="auto"/>
            </w:tcBorders>
            <w:vAlign w:val="center"/>
          </w:tcPr>
          <w:p w14:paraId="7FE570FF"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202CF2D4" w14:textId="77777777" w:rsidR="00F61F8E" w:rsidRPr="002B3F36" w:rsidRDefault="000F264B">
            <w:pPr>
              <w:jc w:val="center"/>
              <w:rPr>
                <w:rFonts w:ascii="Arial" w:hAnsi="Arial" w:cs="Arial"/>
                <w:sz w:val="20"/>
                <w:szCs w:val="20"/>
              </w:rPr>
            </w:pPr>
            <w:r w:rsidRPr="002B3F36">
              <w:rPr>
                <w:rFonts w:ascii="Arial" w:hAnsi="Arial" w:cs="Arial"/>
                <w:sz w:val="20"/>
                <w:szCs w:val="20"/>
              </w:rPr>
              <w:t>176</w:t>
            </w:r>
          </w:p>
        </w:tc>
        <w:tc>
          <w:tcPr>
            <w:tcW w:w="990" w:type="dxa"/>
            <w:tcBorders>
              <w:top w:val="single" w:sz="4" w:space="0" w:color="auto"/>
              <w:left w:val="single" w:sz="4" w:space="0" w:color="auto"/>
              <w:bottom w:val="single" w:sz="4" w:space="0" w:color="auto"/>
              <w:right w:val="single" w:sz="4" w:space="0" w:color="auto"/>
            </w:tcBorders>
            <w:vAlign w:val="center"/>
          </w:tcPr>
          <w:p w14:paraId="776C8328" w14:textId="77777777" w:rsidR="00F61F8E" w:rsidRPr="002B3F36" w:rsidRDefault="000F264B">
            <w:pPr>
              <w:jc w:val="center"/>
              <w:rPr>
                <w:rFonts w:ascii="Arial" w:hAnsi="Arial" w:cs="Arial"/>
                <w:sz w:val="20"/>
                <w:szCs w:val="20"/>
              </w:rPr>
            </w:pPr>
            <w:r w:rsidRPr="002B3F36">
              <w:rPr>
                <w:rFonts w:ascii="Arial" w:hAnsi="Arial" w:cs="Arial"/>
                <w:sz w:val="20"/>
                <w:szCs w:val="20"/>
              </w:rPr>
              <w:t>182</w:t>
            </w:r>
          </w:p>
        </w:tc>
        <w:tc>
          <w:tcPr>
            <w:tcW w:w="850" w:type="dxa"/>
            <w:tcBorders>
              <w:top w:val="single" w:sz="4" w:space="0" w:color="auto"/>
              <w:left w:val="single" w:sz="4" w:space="0" w:color="auto"/>
              <w:bottom w:val="single" w:sz="4" w:space="0" w:color="auto"/>
              <w:right w:val="single" w:sz="4" w:space="0" w:color="auto"/>
            </w:tcBorders>
            <w:vAlign w:val="center"/>
          </w:tcPr>
          <w:p w14:paraId="18F09510" w14:textId="77777777" w:rsidR="00F61F8E" w:rsidRPr="002B3F36" w:rsidRDefault="000F264B">
            <w:pPr>
              <w:jc w:val="center"/>
              <w:rPr>
                <w:rFonts w:ascii="Arial" w:hAnsi="Arial" w:cs="Arial"/>
                <w:sz w:val="20"/>
                <w:szCs w:val="20"/>
              </w:rPr>
            </w:pPr>
            <w:r w:rsidRPr="002B3F36">
              <w:rPr>
                <w:rFonts w:ascii="Arial" w:hAnsi="Arial" w:cs="Arial"/>
                <w:sz w:val="20"/>
                <w:szCs w:val="20"/>
              </w:rPr>
              <w:t>172</w:t>
            </w:r>
          </w:p>
        </w:tc>
        <w:tc>
          <w:tcPr>
            <w:tcW w:w="1134" w:type="dxa"/>
            <w:tcBorders>
              <w:top w:val="single" w:sz="4" w:space="0" w:color="auto"/>
              <w:left w:val="single" w:sz="4" w:space="0" w:color="auto"/>
              <w:bottom w:val="single" w:sz="4" w:space="0" w:color="auto"/>
              <w:right w:val="single" w:sz="4" w:space="0" w:color="auto"/>
            </w:tcBorders>
            <w:vAlign w:val="center"/>
          </w:tcPr>
          <w:p w14:paraId="60934048" w14:textId="77777777" w:rsidR="00F61F8E" w:rsidRPr="002B3F36" w:rsidRDefault="000F264B">
            <w:pPr>
              <w:jc w:val="center"/>
              <w:rPr>
                <w:rFonts w:ascii="Arial" w:hAnsi="Arial" w:cs="Arial"/>
                <w:sz w:val="20"/>
                <w:szCs w:val="20"/>
              </w:rPr>
            </w:pPr>
            <w:r w:rsidRPr="002B3F36">
              <w:rPr>
                <w:rFonts w:ascii="Arial" w:hAnsi="Arial" w:cs="Arial"/>
                <w:sz w:val="20"/>
                <w:szCs w:val="20"/>
              </w:rPr>
              <w:t>172</w:t>
            </w:r>
          </w:p>
        </w:tc>
        <w:tc>
          <w:tcPr>
            <w:tcW w:w="1349" w:type="dxa"/>
            <w:tcBorders>
              <w:top w:val="single" w:sz="4" w:space="0" w:color="auto"/>
              <w:left w:val="single" w:sz="4" w:space="0" w:color="auto"/>
              <w:bottom w:val="single" w:sz="4" w:space="0" w:color="auto"/>
              <w:right w:val="single" w:sz="4" w:space="0" w:color="auto"/>
            </w:tcBorders>
            <w:vAlign w:val="center"/>
          </w:tcPr>
          <w:p w14:paraId="0C15F036" w14:textId="77777777" w:rsidR="00F61F8E" w:rsidRPr="002B3F36" w:rsidRDefault="000F264B">
            <w:pPr>
              <w:jc w:val="center"/>
              <w:rPr>
                <w:rFonts w:ascii="Arial" w:hAnsi="Arial" w:cs="Arial"/>
                <w:sz w:val="20"/>
                <w:szCs w:val="20"/>
              </w:rPr>
            </w:pPr>
            <w:r w:rsidRPr="002B3F36">
              <w:rPr>
                <w:rFonts w:ascii="Arial" w:hAnsi="Arial" w:cs="Arial"/>
                <w:sz w:val="20"/>
                <w:szCs w:val="20"/>
              </w:rPr>
              <w:t>3,4 option</w:t>
            </w:r>
          </w:p>
        </w:tc>
      </w:tr>
      <w:tr w:rsidR="00F61F8E" w:rsidRPr="002B3F36" w14:paraId="410FAF00"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496E3F44"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7.1.</w:t>
            </w:r>
          </w:p>
        </w:tc>
        <w:tc>
          <w:tcPr>
            <w:tcW w:w="2826" w:type="dxa"/>
            <w:tcBorders>
              <w:top w:val="single" w:sz="4" w:space="0" w:color="auto"/>
              <w:left w:val="single" w:sz="4" w:space="0" w:color="auto"/>
              <w:bottom w:val="single" w:sz="4" w:space="0" w:color="auto"/>
              <w:right w:val="single" w:sz="4" w:space="0" w:color="auto"/>
            </w:tcBorders>
            <w:vAlign w:val="center"/>
            <w:hideMark/>
          </w:tcPr>
          <w:p w14:paraId="257DF8A2"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Number of Railway Overpasses</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B82C06"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no.</w:t>
            </w:r>
          </w:p>
        </w:tc>
        <w:tc>
          <w:tcPr>
            <w:tcW w:w="862" w:type="dxa"/>
            <w:tcBorders>
              <w:top w:val="single" w:sz="4" w:space="0" w:color="auto"/>
              <w:left w:val="single" w:sz="4" w:space="0" w:color="auto"/>
              <w:bottom w:val="single" w:sz="4" w:space="0" w:color="auto"/>
              <w:right w:val="single" w:sz="4" w:space="0" w:color="auto"/>
            </w:tcBorders>
            <w:vAlign w:val="center"/>
            <w:hideMark/>
          </w:tcPr>
          <w:p w14:paraId="707DE5D3"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8</w:t>
            </w:r>
          </w:p>
        </w:tc>
        <w:tc>
          <w:tcPr>
            <w:tcW w:w="990" w:type="dxa"/>
            <w:tcBorders>
              <w:top w:val="single" w:sz="4" w:space="0" w:color="auto"/>
              <w:left w:val="single" w:sz="4" w:space="0" w:color="auto"/>
              <w:bottom w:val="single" w:sz="4" w:space="0" w:color="auto"/>
              <w:right w:val="single" w:sz="4" w:space="0" w:color="auto"/>
            </w:tcBorders>
            <w:vAlign w:val="center"/>
          </w:tcPr>
          <w:p w14:paraId="28E6D567" w14:textId="77777777" w:rsidR="00F61F8E" w:rsidRPr="002B3F36" w:rsidRDefault="000F264B">
            <w:pPr>
              <w:jc w:val="center"/>
              <w:rPr>
                <w:rFonts w:ascii="Arial" w:hAnsi="Arial" w:cs="Arial"/>
                <w:sz w:val="20"/>
                <w:szCs w:val="20"/>
              </w:rPr>
            </w:pPr>
            <w:r w:rsidRPr="002B3F36">
              <w:rPr>
                <w:rFonts w:ascii="Arial" w:hAnsi="Arial" w:cs="Arial"/>
                <w:sz w:val="20"/>
                <w:szCs w:val="20"/>
              </w:rPr>
              <w:t>7</w:t>
            </w:r>
          </w:p>
        </w:tc>
        <w:tc>
          <w:tcPr>
            <w:tcW w:w="850" w:type="dxa"/>
            <w:tcBorders>
              <w:top w:val="single" w:sz="4" w:space="0" w:color="auto"/>
              <w:left w:val="single" w:sz="4" w:space="0" w:color="auto"/>
              <w:bottom w:val="single" w:sz="4" w:space="0" w:color="auto"/>
              <w:right w:val="single" w:sz="4" w:space="0" w:color="auto"/>
            </w:tcBorders>
            <w:vAlign w:val="center"/>
          </w:tcPr>
          <w:p w14:paraId="3A958CBC" w14:textId="77777777" w:rsidR="00F61F8E" w:rsidRPr="002B3F36" w:rsidRDefault="000F264B">
            <w:pPr>
              <w:jc w:val="center"/>
              <w:rPr>
                <w:rFonts w:ascii="Arial" w:hAnsi="Arial" w:cs="Arial"/>
                <w:sz w:val="20"/>
                <w:szCs w:val="20"/>
              </w:rPr>
            </w:pPr>
            <w:r w:rsidRPr="002B3F36">
              <w:rPr>
                <w:rFonts w:ascii="Arial" w:hAnsi="Arial" w:cs="Arial"/>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1644EA9B" w14:textId="77777777" w:rsidR="00F61F8E" w:rsidRPr="002B3F36" w:rsidRDefault="000F264B">
            <w:pPr>
              <w:jc w:val="center"/>
              <w:rPr>
                <w:rFonts w:ascii="Arial" w:hAnsi="Arial" w:cs="Arial"/>
                <w:sz w:val="20"/>
                <w:szCs w:val="20"/>
              </w:rPr>
            </w:pPr>
            <w:r w:rsidRPr="002B3F36">
              <w:rPr>
                <w:rFonts w:ascii="Arial" w:hAnsi="Arial" w:cs="Arial"/>
                <w:sz w:val="20"/>
                <w:szCs w:val="20"/>
              </w:rPr>
              <w:t>2</w:t>
            </w:r>
          </w:p>
        </w:tc>
        <w:tc>
          <w:tcPr>
            <w:tcW w:w="1349" w:type="dxa"/>
            <w:tcBorders>
              <w:top w:val="single" w:sz="4" w:space="0" w:color="auto"/>
              <w:left w:val="single" w:sz="4" w:space="0" w:color="auto"/>
              <w:bottom w:val="single" w:sz="4" w:space="0" w:color="auto"/>
              <w:right w:val="single" w:sz="4" w:space="0" w:color="auto"/>
            </w:tcBorders>
            <w:vAlign w:val="center"/>
          </w:tcPr>
          <w:p w14:paraId="6CE8FBC5"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62F2DBDB"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11B96559"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7.2.</w:t>
            </w:r>
          </w:p>
        </w:tc>
        <w:tc>
          <w:tcPr>
            <w:tcW w:w="2826" w:type="dxa"/>
            <w:tcBorders>
              <w:top w:val="single" w:sz="4" w:space="0" w:color="auto"/>
              <w:left w:val="single" w:sz="4" w:space="0" w:color="auto"/>
              <w:bottom w:val="single" w:sz="4" w:space="0" w:color="auto"/>
              <w:right w:val="single" w:sz="4" w:space="0" w:color="auto"/>
            </w:tcBorders>
            <w:vAlign w:val="center"/>
            <w:hideMark/>
          </w:tcPr>
          <w:p w14:paraId="1071D2B7"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Number of Bridges</w:t>
            </w:r>
          </w:p>
        </w:tc>
        <w:tc>
          <w:tcPr>
            <w:tcW w:w="900" w:type="dxa"/>
            <w:tcBorders>
              <w:top w:val="single" w:sz="4" w:space="0" w:color="auto"/>
              <w:left w:val="single" w:sz="4" w:space="0" w:color="auto"/>
              <w:bottom w:val="single" w:sz="4" w:space="0" w:color="auto"/>
              <w:right w:val="single" w:sz="4" w:space="0" w:color="auto"/>
            </w:tcBorders>
            <w:vAlign w:val="center"/>
            <w:hideMark/>
          </w:tcPr>
          <w:p w14:paraId="79AD5F9D"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no.</w:t>
            </w:r>
          </w:p>
        </w:tc>
        <w:tc>
          <w:tcPr>
            <w:tcW w:w="862" w:type="dxa"/>
            <w:tcBorders>
              <w:top w:val="single" w:sz="4" w:space="0" w:color="auto"/>
              <w:left w:val="single" w:sz="4" w:space="0" w:color="auto"/>
              <w:bottom w:val="single" w:sz="4" w:space="0" w:color="auto"/>
              <w:right w:val="single" w:sz="4" w:space="0" w:color="auto"/>
            </w:tcBorders>
            <w:vAlign w:val="center"/>
            <w:hideMark/>
          </w:tcPr>
          <w:p w14:paraId="0B39FF87"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31</w:t>
            </w:r>
          </w:p>
        </w:tc>
        <w:tc>
          <w:tcPr>
            <w:tcW w:w="990" w:type="dxa"/>
            <w:tcBorders>
              <w:top w:val="single" w:sz="4" w:space="0" w:color="auto"/>
              <w:left w:val="single" w:sz="4" w:space="0" w:color="auto"/>
              <w:bottom w:val="single" w:sz="4" w:space="0" w:color="auto"/>
              <w:right w:val="single" w:sz="4" w:space="0" w:color="auto"/>
            </w:tcBorders>
            <w:vAlign w:val="center"/>
          </w:tcPr>
          <w:p w14:paraId="4B0C8A53" w14:textId="77777777" w:rsidR="00F61F8E" w:rsidRPr="002B3F36" w:rsidRDefault="000F264B">
            <w:pPr>
              <w:jc w:val="center"/>
              <w:rPr>
                <w:rFonts w:ascii="Arial" w:hAnsi="Arial" w:cs="Arial"/>
                <w:sz w:val="20"/>
                <w:szCs w:val="20"/>
              </w:rPr>
            </w:pPr>
            <w:r w:rsidRPr="002B3F36">
              <w:rPr>
                <w:rFonts w:ascii="Arial" w:hAnsi="Arial" w:cs="Arial"/>
                <w:sz w:val="20"/>
                <w:szCs w:val="20"/>
              </w:rPr>
              <w:t>33</w:t>
            </w:r>
          </w:p>
        </w:tc>
        <w:tc>
          <w:tcPr>
            <w:tcW w:w="850" w:type="dxa"/>
            <w:tcBorders>
              <w:top w:val="single" w:sz="4" w:space="0" w:color="auto"/>
              <w:left w:val="single" w:sz="4" w:space="0" w:color="auto"/>
              <w:bottom w:val="single" w:sz="4" w:space="0" w:color="auto"/>
              <w:right w:val="single" w:sz="4" w:space="0" w:color="auto"/>
            </w:tcBorders>
            <w:vAlign w:val="center"/>
          </w:tcPr>
          <w:p w14:paraId="3B237967" w14:textId="77777777" w:rsidR="00F61F8E" w:rsidRPr="002B3F36" w:rsidRDefault="000F264B">
            <w:pPr>
              <w:jc w:val="center"/>
              <w:rPr>
                <w:rFonts w:ascii="Arial" w:hAnsi="Arial" w:cs="Arial"/>
                <w:sz w:val="20"/>
                <w:szCs w:val="20"/>
              </w:rPr>
            </w:pPr>
            <w:r w:rsidRPr="002B3F36">
              <w:rPr>
                <w:rFonts w:ascii="Arial" w:hAnsi="Arial" w:cs="Arial"/>
                <w:sz w:val="20"/>
                <w:szCs w:val="20"/>
              </w:rPr>
              <w:t>28</w:t>
            </w:r>
          </w:p>
        </w:tc>
        <w:tc>
          <w:tcPr>
            <w:tcW w:w="1134" w:type="dxa"/>
            <w:tcBorders>
              <w:top w:val="single" w:sz="4" w:space="0" w:color="auto"/>
              <w:left w:val="single" w:sz="4" w:space="0" w:color="auto"/>
              <w:bottom w:val="single" w:sz="4" w:space="0" w:color="auto"/>
              <w:right w:val="single" w:sz="4" w:space="0" w:color="auto"/>
            </w:tcBorders>
            <w:vAlign w:val="center"/>
          </w:tcPr>
          <w:p w14:paraId="5AF549CB" w14:textId="77777777" w:rsidR="00F61F8E" w:rsidRPr="002B3F36" w:rsidRDefault="000F264B">
            <w:pPr>
              <w:jc w:val="center"/>
              <w:rPr>
                <w:rFonts w:ascii="Arial" w:hAnsi="Arial" w:cs="Arial"/>
                <w:sz w:val="20"/>
                <w:szCs w:val="20"/>
              </w:rPr>
            </w:pPr>
            <w:r w:rsidRPr="002B3F36">
              <w:rPr>
                <w:rFonts w:ascii="Arial" w:hAnsi="Arial" w:cs="Arial"/>
                <w:sz w:val="20"/>
                <w:szCs w:val="20"/>
              </w:rPr>
              <w:t>36</w:t>
            </w:r>
          </w:p>
        </w:tc>
        <w:tc>
          <w:tcPr>
            <w:tcW w:w="1349" w:type="dxa"/>
            <w:tcBorders>
              <w:top w:val="single" w:sz="4" w:space="0" w:color="auto"/>
              <w:left w:val="single" w:sz="4" w:space="0" w:color="auto"/>
              <w:bottom w:val="single" w:sz="4" w:space="0" w:color="auto"/>
              <w:right w:val="single" w:sz="4" w:space="0" w:color="auto"/>
            </w:tcBorders>
            <w:vAlign w:val="center"/>
          </w:tcPr>
          <w:p w14:paraId="0F1CE7BC"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77D503BF"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19E9421E"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7.3.</w:t>
            </w:r>
          </w:p>
        </w:tc>
        <w:tc>
          <w:tcPr>
            <w:tcW w:w="2826" w:type="dxa"/>
            <w:tcBorders>
              <w:top w:val="single" w:sz="4" w:space="0" w:color="auto"/>
              <w:left w:val="single" w:sz="4" w:space="0" w:color="auto"/>
              <w:bottom w:val="single" w:sz="4" w:space="0" w:color="auto"/>
              <w:right w:val="single" w:sz="4" w:space="0" w:color="auto"/>
            </w:tcBorders>
            <w:vAlign w:val="center"/>
            <w:hideMark/>
          </w:tcPr>
          <w:p w14:paraId="249A3F68"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Number of Cattle Crossings (Including Bridges and Tunnels for Livestock Passage)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C7F4FB3"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no.</w:t>
            </w:r>
          </w:p>
        </w:tc>
        <w:tc>
          <w:tcPr>
            <w:tcW w:w="862" w:type="dxa"/>
            <w:tcBorders>
              <w:top w:val="single" w:sz="4" w:space="0" w:color="auto"/>
              <w:left w:val="single" w:sz="4" w:space="0" w:color="auto"/>
              <w:bottom w:val="single" w:sz="4" w:space="0" w:color="auto"/>
              <w:right w:val="single" w:sz="4" w:space="0" w:color="auto"/>
            </w:tcBorders>
            <w:vAlign w:val="center"/>
            <w:hideMark/>
          </w:tcPr>
          <w:p w14:paraId="4B21547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6</w:t>
            </w:r>
          </w:p>
        </w:tc>
        <w:tc>
          <w:tcPr>
            <w:tcW w:w="990" w:type="dxa"/>
            <w:tcBorders>
              <w:top w:val="single" w:sz="4" w:space="0" w:color="auto"/>
              <w:left w:val="single" w:sz="4" w:space="0" w:color="auto"/>
              <w:bottom w:val="single" w:sz="4" w:space="0" w:color="auto"/>
              <w:right w:val="single" w:sz="4" w:space="0" w:color="auto"/>
            </w:tcBorders>
            <w:vAlign w:val="center"/>
          </w:tcPr>
          <w:p w14:paraId="58B2ACFA" w14:textId="77777777" w:rsidR="00F61F8E" w:rsidRPr="002B3F36" w:rsidRDefault="000F264B">
            <w:pPr>
              <w:jc w:val="center"/>
              <w:rPr>
                <w:rFonts w:ascii="Arial" w:hAnsi="Arial" w:cs="Arial"/>
                <w:sz w:val="20"/>
                <w:szCs w:val="20"/>
              </w:rPr>
            </w:pPr>
            <w:r w:rsidRPr="002B3F36">
              <w:rPr>
                <w:rFonts w:ascii="Arial" w:hAnsi="Arial" w:cs="Arial"/>
                <w:sz w:val="20"/>
                <w:szCs w:val="20"/>
              </w:rPr>
              <w:t>6</w:t>
            </w:r>
          </w:p>
        </w:tc>
        <w:tc>
          <w:tcPr>
            <w:tcW w:w="850" w:type="dxa"/>
            <w:tcBorders>
              <w:top w:val="single" w:sz="4" w:space="0" w:color="auto"/>
              <w:left w:val="single" w:sz="4" w:space="0" w:color="auto"/>
              <w:bottom w:val="single" w:sz="4" w:space="0" w:color="auto"/>
              <w:right w:val="single" w:sz="4" w:space="0" w:color="auto"/>
            </w:tcBorders>
            <w:vAlign w:val="center"/>
          </w:tcPr>
          <w:p w14:paraId="59A2D8CC" w14:textId="77777777" w:rsidR="00F61F8E" w:rsidRPr="002B3F36" w:rsidRDefault="000F264B">
            <w:pPr>
              <w:jc w:val="center"/>
              <w:rPr>
                <w:rFonts w:ascii="Arial" w:hAnsi="Arial" w:cs="Arial"/>
                <w:sz w:val="20"/>
                <w:szCs w:val="20"/>
              </w:rPr>
            </w:pPr>
            <w:r w:rsidRPr="002B3F36">
              <w:rPr>
                <w:rFonts w:ascii="Arial" w:hAnsi="Arial" w:cs="Arial"/>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5763EC1D" w14:textId="77777777" w:rsidR="00F61F8E" w:rsidRPr="002B3F36" w:rsidRDefault="000F264B">
            <w:pPr>
              <w:jc w:val="center"/>
              <w:rPr>
                <w:rFonts w:ascii="Arial" w:hAnsi="Arial" w:cs="Arial"/>
                <w:sz w:val="20"/>
                <w:szCs w:val="20"/>
              </w:rPr>
            </w:pPr>
            <w:r w:rsidRPr="002B3F36">
              <w:rPr>
                <w:rFonts w:ascii="Arial" w:hAnsi="Arial" w:cs="Arial"/>
                <w:sz w:val="20"/>
                <w:szCs w:val="20"/>
              </w:rPr>
              <w:t>21</w:t>
            </w:r>
          </w:p>
        </w:tc>
        <w:tc>
          <w:tcPr>
            <w:tcW w:w="1349" w:type="dxa"/>
            <w:tcBorders>
              <w:top w:val="single" w:sz="4" w:space="0" w:color="auto"/>
              <w:left w:val="single" w:sz="4" w:space="0" w:color="auto"/>
              <w:bottom w:val="single" w:sz="4" w:space="0" w:color="auto"/>
              <w:right w:val="single" w:sz="4" w:space="0" w:color="auto"/>
            </w:tcBorders>
            <w:vAlign w:val="center"/>
          </w:tcPr>
          <w:p w14:paraId="2F6604DB"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72F32AF9" w14:textId="77777777" w:rsidTr="00F82096">
        <w:tc>
          <w:tcPr>
            <w:tcW w:w="894" w:type="dxa"/>
            <w:tcBorders>
              <w:top w:val="single" w:sz="4" w:space="0" w:color="auto"/>
              <w:left w:val="single" w:sz="4" w:space="0" w:color="auto"/>
              <w:bottom w:val="single" w:sz="4" w:space="0" w:color="auto"/>
              <w:right w:val="single" w:sz="4" w:space="0" w:color="auto"/>
            </w:tcBorders>
            <w:vAlign w:val="center"/>
          </w:tcPr>
          <w:p w14:paraId="41FDAD73" w14:textId="77777777" w:rsidR="00F61F8E" w:rsidRPr="002B3F36" w:rsidRDefault="00F61F8E">
            <w:pPr>
              <w:jc w:val="center"/>
              <w:rPr>
                <w:rFonts w:ascii="Arial" w:hAnsi="Arial" w:cs="Arial"/>
                <w:color w:val="000000"/>
                <w:sz w:val="20"/>
                <w:szCs w:val="20"/>
              </w:rPr>
            </w:pPr>
          </w:p>
        </w:tc>
        <w:tc>
          <w:tcPr>
            <w:tcW w:w="2826" w:type="dxa"/>
            <w:tcBorders>
              <w:top w:val="single" w:sz="4" w:space="0" w:color="auto"/>
              <w:left w:val="single" w:sz="4" w:space="0" w:color="auto"/>
              <w:bottom w:val="single" w:sz="4" w:space="0" w:color="auto"/>
              <w:right w:val="single" w:sz="4" w:space="0" w:color="auto"/>
            </w:tcBorders>
            <w:vAlign w:val="center"/>
          </w:tcPr>
          <w:p w14:paraId="3BF3E061"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Number of Culverts and Drainage Pipes</w:t>
            </w:r>
          </w:p>
        </w:tc>
        <w:tc>
          <w:tcPr>
            <w:tcW w:w="900" w:type="dxa"/>
            <w:tcBorders>
              <w:top w:val="single" w:sz="4" w:space="0" w:color="auto"/>
              <w:left w:val="single" w:sz="4" w:space="0" w:color="auto"/>
              <w:bottom w:val="single" w:sz="4" w:space="0" w:color="auto"/>
              <w:right w:val="single" w:sz="4" w:space="0" w:color="auto"/>
            </w:tcBorders>
            <w:vAlign w:val="center"/>
          </w:tcPr>
          <w:p w14:paraId="15F3CDA5"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4524F5B4"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w:t>
            </w:r>
          </w:p>
        </w:tc>
        <w:tc>
          <w:tcPr>
            <w:tcW w:w="990" w:type="dxa"/>
            <w:tcBorders>
              <w:top w:val="single" w:sz="4" w:space="0" w:color="auto"/>
              <w:left w:val="single" w:sz="4" w:space="0" w:color="auto"/>
              <w:bottom w:val="single" w:sz="4" w:space="0" w:color="auto"/>
              <w:right w:val="single" w:sz="4" w:space="0" w:color="auto"/>
            </w:tcBorders>
            <w:vAlign w:val="center"/>
          </w:tcPr>
          <w:p w14:paraId="35F2CE29" w14:textId="77777777" w:rsidR="00F61F8E" w:rsidRPr="002B3F36" w:rsidRDefault="00F61F8E">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EDBD795" w14:textId="77777777" w:rsidR="00F61F8E" w:rsidRPr="002B3F36" w:rsidRDefault="00F61F8E">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12EA3D0F" w14:textId="77777777" w:rsidR="00F61F8E" w:rsidRPr="002B3F36" w:rsidRDefault="000F264B">
            <w:pPr>
              <w:jc w:val="center"/>
              <w:rPr>
                <w:rFonts w:ascii="Arial" w:hAnsi="Arial" w:cs="Arial"/>
                <w:sz w:val="20"/>
                <w:szCs w:val="20"/>
              </w:rPr>
            </w:pPr>
            <w:r w:rsidRPr="002B3F36">
              <w:rPr>
                <w:rFonts w:ascii="Arial" w:hAnsi="Arial" w:cs="Arial"/>
                <w:sz w:val="20"/>
                <w:szCs w:val="20"/>
              </w:rPr>
              <w:t>9</w:t>
            </w:r>
          </w:p>
        </w:tc>
        <w:tc>
          <w:tcPr>
            <w:tcW w:w="1349" w:type="dxa"/>
            <w:tcBorders>
              <w:top w:val="single" w:sz="4" w:space="0" w:color="auto"/>
              <w:left w:val="single" w:sz="4" w:space="0" w:color="auto"/>
              <w:bottom w:val="single" w:sz="4" w:space="0" w:color="auto"/>
              <w:right w:val="single" w:sz="4" w:space="0" w:color="auto"/>
            </w:tcBorders>
            <w:vAlign w:val="center"/>
          </w:tcPr>
          <w:p w14:paraId="3F351854" w14:textId="77777777" w:rsidR="00F61F8E" w:rsidRPr="002B3F36" w:rsidRDefault="00F61F8E">
            <w:pPr>
              <w:jc w:val="center"/>
              <w:rPr>
                <w:rFonts w:ascii="Arial" w:hAnsi="Arial" w:cs="Arial"/>
                <w:sz w:val="20"/>
                <w:szCs w:val="20"/>
              </w:rPr>
            </w:pPr>
          </w:p>
        </w:tc>
      </w:tr>
      <w:tr w:rsidR="00F61F8E" w:rsidRPr="002B3F36" w14:paraId="1F2972D4"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75C49833"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7.4.</w:t>
            </w:r>
          </w:p>
        </w:tc>
        <w:tc>
          <w:tcPr>
            <w:tcW w:w="2826" w:type="dxa"/>
            <w:tcBorders>
              <w:top w:val="single" w:sz="4" w:space="0" w:color="auto"/>
              <w:left w:val="single" w:sz="4" w:space="0" w:color="auto"/>
              <w:bottom w:val="single" w:sz="4" w:space="0" w:color="auto"/>
              <w:right w:val="single" w:sz="4" w:space="0" w:color="auto"/>
            </w:tcBorders>
            <w:vAlign w:val="center"/>
            <w:hideMark/>
          </w:tcPr>
          <w:p w14:paraId="120FE593"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Pipes</w:t>
            </w:r>
          </w:p>
        </w:tc>
        <w:tc>
          <w:tcPr>
            <w:tcW w:w="900" w:type="dxa"/>
            <w:tcBorders>
              <w:top w:val="single" w:sz="4" w:space="0" w:color="auto"/>
              <w:left w:val="single" w:sz="4" w:space="0" w:color="auto"/>
              <w:bottom w:val="single" w:sz="4" w:space="0" w:color="auto"/>
              <w:right w:val="single" w:sz="4" w:space="0" w:color="auto"/>
            </w:tcBorders>
            <w:vAlign w:val="center"/>
            <w:hideMark/>
          </w:tcPr>
          <w:p w14:paraId="06E6F46C"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no.</w:t>
            </w:r>
          </w:p>
        </w:tc>
        <w:tc>
          <w:tcPr>
            <w:tcW w:w="862" w:type="dxa"/>
            <w:tcBorders>
              <w:top w:val="single" w:sz="4" w:space="0" w:color="auto"/>
              <w:left w:val="single" w:sz="4" w:space="0" w:color="auto"/>
              <w:bottom w:val="single" w:sz="4" w:space="0" w:color="auto"/>
              <w:right w:val="single" w:sz="4" w:space="0" w:color="auto"/>
            </w:tcBorders>
            <w:vAlign w:val="center"/>
            <w:hideMark/>
          </w:tcPr>
          <w:p w14:paraId="653B99A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134</w:t>
            </w:r>
          </w:p>
        </w:tc>
        <w:tc>
          <w:tcPr>
            <w:tcW w:w="990" w:type="dxa"/>
            <w:tcBorders>
              <w:top w:val="single" w:sz="4" w:space="0" w:color="auto"/>
              <w:left w:val="single" w:sz="4" w:space="0" w:color="auto"/>
              <w:bottom w:val="single" w:sz="4" w:space="0" w:color="auto"/>
              <w:right w:val="single" w:sz="4" w:space="0" w:color="auto"/>
            </w:tcBorders>
            <w:vAlign w:val="center"/>
          </w:tcPr>
          <w:p w14:paraId="3A830512" w14:textId="77777777" w:rsidR="00F61F8E" w:rsidRPr="002B3F36" w:rsidRDefault="000F264B">
            <w:pPr>
              <w:jc w:val="center"/>
              <w:rPr>
                <w:rFonts w:ascii="Arial" w:hAnsi="Arial" w:cs="Arial"/>
                <w:sz w:val="20"/>
                <w:szCs w:val="20"/>
              </w:rPr>
            </w:pPr>
            <w:r w:rsidRPr="002B3F36">
              <w:rPr>
                <w:rFonts w:ascii="Arial" w:hAnsi="Arial" w:cs="Arial"/>
                <w:sz w:val="20"/>
                <w:szCs w:val="20"/>
              </w:rPr>
              <w:t>139</w:t>
            </w:r>
          </w:p>
        </w:tc>
        <w:tc>
          <w:tcPr>
            <w:tcW w:w="850" w:type="dxa"/>
            <w:tcBorders>
              <w:top w:val="single" w:sz="4" w:space="0" w:color="auto"/>
              <w:left w:val="single" w:sz="4" w:space="0" w:color="auto"/>
              <w:bottom w:val="single" w:sz="4" w:space="0" w:color="auto"/>
              <w:right w:val="single" w:sz="4" w:space="0" w:color="auto"/>
            </w:tcBorders>
            <w:vAlign w:val="center"/>
          </w:tcPr>
          <w:p w14:paraId="4F66561C" w14:textId="77777777" w:rsidR="00F61F8E" w:rsidRPr="002B3F36" w:rsidRDefault="000F264B">
            <w:pPr>
              <w:jc w:val="center"/>
              <w:rPr>
                <w:rFonts w:ascii="Arial" w:hAnsi="Arial" w:cs="Arial"/>
                <w:sz w:val="20"/>
                <w:szCs w:val="20"/>
              </w:rPr>
            </w:pPr>
            <w:r w:rsidRPr="002B3F36">
              <w:rPr>
                <w:rFonts w:ascii="Arial" w:hAnsi="Arial" w:cs="Arial"/>
                <w:sz w:val="20"/>
                <w:szCs w:val="20"/>
              </w:rPr>
              <w:t>130</w:t>
            </w:r>
          </w:p>
        </w:tc>
        <w:tc>
          <w:tcPr>
            <w:tcW w:w="1134" w:type="dxa"/>
            <w:tcBorders>
              <w:top w:val="single" w:sz="4" w:space="0" w:color="auto"/>
              <w:left w:val="single" w:sz="4" w:space="0" w:color="auto"/>
              <w:bottom w:val="single" w:sz="4" w:space="0" w:color="auto"/>
              <w:right w:val="single" w:sz="4" w:space="0" w:color="auto"/>
            </w:tcBorders>
            <w:vAlign w:val="center"/>
          </w:tcPr>
          <w:p w14:paraId="24025075" w14:textId="77777777" w:rsidR="00F61F8E" w:rsidRPr="002B3F36" w:rsidRDefault="000F264B">
            <w:pPr>
              <w:jc w:val="center"/>
              <w:rPr>
                <w:rFonts w:ascii="Arial" w:hAnsi="Arial" w:cs="Arial"/>
                <w:sz w:val="20"/>
                <w:szCs w:val="20"/>
              </w:rPr>
            </w:pPr>
            <w:r w:rsidRPr="002B3F36">
              <w:rPr>
                <w:rFonts w:ascii="Arial" w:hAnsi="Arial" w:cs="Arial"/>
                <w:sz w:val="20"/>
                <w:szCs w:val="20"/>
              </w:rPr>
              <w:t>130</w:t>
            </w:r>
          </w:p>
        </w:tc>
        <w:tc>
          <w:tcPr>
            <w:tcW w:w="1349" w:type="dxa"/>
            <w:tcBorders>
              <w:top w:val="single" w:sz="4" w:space="0" w:color="auto"/>
              <w:left w:val="single" w:sz="4" w:space="0" w:color="auto"/>
              <w:bottom w:val="single" w:sz="4" w:space="0" w:color="auto"/>
              <w:right w:val="single" w:sz="4" w:space="0" w:color="auto"/>
            </w:tcBorders>
            <w:vAlign w:val="center"/>
          </w:tcPr>
          <w:p w14:paraId="07D55BA5" w14:textId="77777777" w:rsidR="00F61F8E" w:rsidRPr="002B3F36" w:rsidRDefault="000F264B">
            <w:pPr>
              <w:jc w:val="center"/>
              <w:rPr>
                <w:rFonts w:ascii="Arial" w:hAnsi="Arial" w:cs="Arial"/>
                <w:sz w:val="20"/>
                <w:szCs w:val="20"/>
              </w:rPr>
            </w:pPr>
            <w:r w:rsidRPr="002B3F36">
              <w:rPr>
                <w:rFonts w:ascii="Arial" w:hAnsi="Arial" w:cs="Arial"/>
                <w:sz w:val="20"/>
                <w:szCs w:val="20"/>
              </w:rPr>
              <w:t>Option 3</w:t>
            </w:r>
          </w:p>
        </w:tc>
      </w:tr>
      <w:tr w:rsidR="00F61F8E" w:rsidRPr="002B3F36" w14:paraId="15326013"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1426F71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8</w:t>
            </w:r>
          </w:p>
        </w:tc>
        <w:tc>
          <w:tcPr>
            <w:tcW w:w="2826" w:type="dxa"/>
            <w:tcBorders>
              <w:top w:val="single" w:sz="4" w:space="0" w:color="auto"/>
              <w:left w:val="single" w:sz="4" w:space="0" w:color="auto"/>
              <w:bottom w:val="single" w:sz="4" w:space="0" w:color="auto"/>
              <w:right w:val="single" w:sz="4" w:space="0" w:color="auto"/>
            </w:tcBorders>
            <w:vAlign w:val="center"/>
            <w:hideMark/>
          </w:tcPr>
          <w:p w14:paraId="35E249E2" w14:textId="6DCAF82E" w:rsidR="00F61F8E" w:rsidRPr="002B3F36" w:rsidRDefault="000F264B">
            <w:pPr>
              <w:rPr>
                <w:rFonts w:ascii="Arial" w:hAnsi="Arial" w:cs="Arial"/>
                <w:color w:val="000000"/>
                <w:sz w:val="20"/>
                <w:szCs w:val="20"/>
              </w:rPr>
            </w:pPr>
            <w:r w:rsidRPr="002B3F36">
              <w:rPr>
                <w:rFonts w:ascii="Arial" w:hAnsi="Arial" w:cs="Arial"/>
                <w:color w:val="000000"/>
                <w:sz w:val="20"/>
                <w:szCs w:val="20"/>
              </w:rPr>
              <w:t xml:space="preserve">Level </w:t>
            </w:r>
            <w:r w:rsidR="0080772D" w:rsidRPr="002B3F36">
              <w:rPr>
                <w:rFonts w:ascii="Arial" w:hAnsi="Arial" w:cs="Arial"/>
                <w:color w:val="000000"/>
                <w:sz w:val="20"/>
                <w:szCs w:val="20"/>
              </w:rPr>
              <w:t>Crossing</w:t>
            </w:r>
          </w:p>
        </w:tc>
        <w:tc>
          <w:tcPr>
            <w:tcW w:w="900" w:type="dxa"/>
            <w:tcBorders>
              <w:top w:val="single" w:sz="4" w:space="0" w:color="auto"/>
              <w:left w:val="single" w:sz="4" w:space="0" w:color="auto"/>
              <w:bottom w:val="single" w:sz="4" w:space="0" w:color="auto"/>
              <w:right w:val="single" w:sz="4" w:space="0" w:color="auto"/>
            </w:tcBorders>
            <w:vAlign w:val="center"/>
            <w:hideMark/>
          </w:tcPr>
          <w:p w14:paraId="453927BC"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no.</w:t>
            </w:r>
          </w:p>
        </w:tc>
        <w:tc>
          <w:tcPr>
            <w:tcW w:w="862" w:type="dxa"/>
            <w:tcBorders>
              <w:top w:val="single" w:sz="4" w:space="0" w:color="auto"/>
              <w:left w:val="single" w:sz="4" w:space="0" w:color="auto"/>
              <w:bottom w:val="single" w:sz="4" w:space="0" w:color="auto"/>
              <w:right w:val="single" w:sz="4" w:space="0" w:color="auto"/>
            </w:tcBorders>
            <w:vAlign w:val="center"/>
            <w:hideMark/>
          </w:tcPr>
          <w:p w14:paraId="3CB63FD3"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7</w:t>
            </w:r>
          </w:p>
        </w:tc>
        <w:tc>
          <w:tcPr>
            <w:tcW w:w="990" w:type="dxa"/>
            <w:tcBorders>
              <w:top w:val="single" w:sz="4" w:space="0" w:color="auto"/>
              <w:left w:val="single" w:sz="4" w:space="0" w:color="auto"/>
              <w:bottom w:val="single" w:sz="4" w:space="0" w:color="auto"/>
              <w:right w:val="single" w:sz="4" w:space="0" w:color="auto"/>
            </w:tcBorders>
            <w:vAlign w:val="center"/>
          </w:tcPr>
          <w:p w14:paraId="36BB440A" w14:textId="77777777" w:rsidR="00F61F8E" w:rsidRPr="002B3F36" w:rsidRDefault="000F264B">
            <w:pPr>
              <w:jc w:val="center"/>
              <w:rPr>
                <w:rFonts w:ascii="Arial" w:hAnsi="Arial" w:cs="Arial"/>
                <w:sz w:val="20"/>
                <w:szCs w:val="20"/>
              </w:rPr>
            </w:pPr>
            <w:r w:rsidRPr="002B3F36">
              <w:rPr>
                <w:rFonts w:ascii="Arial" w:hAnsi="Arial" w:cs="Arial"/>
                <w:sz w:val="20"/>
                <w:szCs w:val="20"/>
              </w:rPr>
              <w:t>8</w:t>
            </w:r>
          </w:p>
        </w:tc>
        <w:tc>
          <w:tcPr>
            <w:tcW w:w="850" w:type="dxa"/>
            <w:tcBorders>
              <w:top w:val="single" w:sz="4" w:space="0" w:color="auto"/>
              <w:left w:val="single" w:sz="4" w:space="0" w:color="auto"/>
              <w:bottom w:val="single" w:sz="4" w:space="0" w:color="auto"/>
              <w:right w:val="single" w:sz="4" w:space="0" w:color="auto"/>
            </w:tcBorders>
            <w:vAlign w:val="center"/>
          </w:tcPr>
          <w:p w14:paraId="492E0AED" w14:textId="77777777" w:rsidR="00F61F8E" w:rsidRPr="002B3F36" w:rsidRDefault="000F264B">
            <w:pPr>
              <w:jc w:val="center"/>
              <w:rPr>
                <w:rFonts w:ascii="Arial" w:hAnsi="Arial" w:cs="Arial"/>
                <w:sz w:val="20"/>
                <w:szCs w:val="20"/>
              </w:rPr>
            </w:pPr>
            <w:r w:rsidRPr="002B3F36">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0665F108" w14:textId="77777777" w:rsidR="00F61F8E" w:rsidRPr="002B3F36" w:rsidRDefault="000F264B">
            <w:pPr>
              <w:jc w:val="center"/>
              <w:rPr>
                <w:rFonts w:ascii="Arial" w:hAnsi="Arial" w:cs="Arial"/>
                <w:sz w:val="20"/>
                <w:szCs w:val="20"/>
              </w:rPr>
            </w:pPr>
            <w:r w:rsidRPr="002B3F36">
              <w:rPr>
                <w:rFonts w:ascii="Arial" w:hAnsi="Arial" w:cs="Arial"/>
                <w:sz w:val="20"/>
                <w:szCs w:val="20"/>
              </w:rPr>
              <w:t>6</w:t>
            </w:r>
          </w:p>
        </w:tc>
        <w:tc>
          <w:tcPr>
            <w:tcW w:w="1349" w:type="dxa"/>
            <w:tcBorders>
              <w:top w:val="single" w:sz="4" w:space="0" w:color="auto"/>
              <w:left w:val="single" w:sz="4" w:space="0" w:color="auto"/>
              <w:bottom w:val="single" w:sz="4" w:space="0" w:color="auto"/>
              <w:right w:val="single" w:sz="4" w:space="0" w:color="auto"/>
            </w:tcBorders>
            <w:vAlign w:val="center"/>
          </w:tcPr>
          <w:p w14:paraId="0FDC6599" w14:textId="77777777" w:rsidR="00F61F8E" w:rsidRPr="002B3F36" w:rsidRDefault="000F264B">
            <w:pPr>
              <w:jc w:val="center"/>
              <w:rPr>
                <w:rFonts w:ascii="Arial" w:hAnsi="Arial" w:cs="Arial"/>
                <w:sz w:val="20"/>
                <w:szCs w:val="20"/>
              </w:rPr>
            </w:pPr>
            <w:r w:rsidRPr="002B3F36">
              <w:rPr>
                <w:rFonts w:ascii="Arial" w:hAnsi="Arial" w:cs="Arial"/>
                <w:sz w:val="20"/>
                <w:szCs w:val="20"/>
              </w:rPr>
              <w:t>Option 3</w:t>
            </w:r>
          </w:p>
        </w:tc>
      </w:tr>
      <w:tr w:rsidR="00F61F8E" w:rsidRPr="002B3F36" w14:paraId="02DCAAE8" w14:textId="77777777" w:rsidTr="00F82096">
        <w:trPr>
          <w:trHeight w:val="507"/>
        </w:trPr>
        <w:tc>
          <w:tcPr>
            <w:tcW w:w="894" w:type="dxa"/>
            <w:tcBorders>
              <w:top w:val="single" w:sz="4" w:space="0" w:color="auto"/>
              <w:left w:val="single" w:sz="4" w:space="0" w:color="auto"/>
              <w:bottom w:val="single" w:sz="4" w:space="0" w:color="auto"/>
              <w:right w:val="single" w:sz="4" w:space="0" w:color="auto"/>
            </w:tcBorders>
            <w:vAlign w:val="center"/>
            <w:hideMark/>
          </w:tcPr>
          <w:p w14:paraId="489C62F0"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9</w:t>
            </w:r>
          </w:p>
        </w:tc>
        <w:tc>
          <w:tcPr>
            <w:tcW w:w="2826" w:type="dxa"/>
            <w:tcBorders>
              <w:top w:val="single" w:sz="4" w:space="0" w:color="auto"/>
              <w:left w:val="single" w:sz="4" w:space="0" w:color="auto"/>
              <w:bottom w:val="single" w:sz="4" w:space="0" w:color="auto"/>
              <w:right w:val="single" w:sz="4" w:space="0" w:color="auto"/>
            </w:tcBorders>
            <w:vAlign w:val="center"/>
            <w:hideMark/>
          </w:tcPr>
          <w:p w14:paraId="328C6735"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 xml:space="preserve">Presence of Drilling and Blasting Works Requirements </w:t>
            </w:r>
          </w:p>
        </w:tc>
        <w:tc>
          <w:tcPr>
            <w:tcW w:w="900" w:type="dxa"/>
            <w:tcBorders>
              <w:top w:val="single" w:sz="4" w:space="0" w:color="auto"/>
              <w:left w:val="single" w:sz="4" w:space="0" w:color="auto"/>
              <w:bottom w:val="single" w:sz="4" w:space="0" w:color="auto"/>
              <w:right w:val="single" w:sz="4" w:space="0" w:color="auto"/>
            </w:tcBorders>
            <w:vAlign w:val="center"/>
          </w:tcPr>
          <w:p w14:paraId="4F6023CF"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364AA7F2"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6919D065"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1E5C9899"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156DA41"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1349" w:type="dxa"/>
            <w:tcBorders>
              <w:top w:val="single" w:sz="4" w:space="0" w:color="auto"/>
              <w:left w:val="single" w:sz="4" w:space="0" w:color="auto"/>
              <w:bottom w:val="single" w:sz="4" w:space="0" w:color="auto"/>
              <w:right w:val="single" w:sz="4" w:space="0" w:color="auto"/>
            </w:tcBorders>
            <w:vAlign w:val="center"/>
          </w:tcPr>
          <w:p w14:paraId="5BFFE40D" w14:textId="77777777" w:rsidR="00F61F8E" w:rsidRPr="002B3F36" w:rsidRDefault="000F264B">
            <w:pPr>
              <w:jc w:val="center"/>
              <w:rPr>
                <w:rFonts w:ascii="Arial" w:hAnsi="Arial" w:cs="Arial"/>
                <w:sz w:val="20"/>
                <w:szCs w:val="20"/>
              </w:rPr>
            </w:pPr>
            <w:r w:rsidRPr="002B3F36">
              <w:rPr>
                <w:rFonts w:ascii="Arial" w:hAnsi="Arial" w:cs="Arial"/>
                <w:sz w:val="20"/>
                <w:szCs w:val="20"/>
              </w:rPr>
              <w:t>2,3 option</w:t>
            </w:r>
          </w:p>
        </w:tc>
      </w:tr>
      <w:tr w:rsidR="00F61F8E" w:rsidRPr="002B3F36" w14:paraId="65762032"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66953423" w14:textId="77777777" w:rsidR="00F61F8E" w:rsidRPr="002B3F36" w:rsidRDefault="000F264B">
            <w:pPr>
              <w:ind w:left="-24"/>
              <w:jc w:val="center"/>
              <w:rPr>
                <w:rFonts w:ascii="Arial" w:hAnsi="Arial" w:cs="Arial"/>
                <w:color w:val="000000"/>
                <w:sz w:val="20"/>
                <w:szCs w:val="20"/>
              </w:rPr>
            </w:pPr>
            <w:r w:rsidRPr="002B3F36">
              <w:rPr>
                <w:rFonts w:ascii="Arial" w:hAnsi="Arial" w:cs="Arial"/>
                <w:color w:val="000000"/>
                <w:sz w:val="20"/>
                <w:szCs w:val="20"/>
              </w:rPr>
              <w:t>10</w:t>
            </w:r>
          </w:p>
        </w:tc>
        <w:tc>
          <w:tcPr>
            <w:tcW w:w="2826" w:type="dxa"/>
            <w:tcBorders>
              <w:top w:val="single" w:sz="4" w:space="0" w:color="auto"/>
              <w:left w:val="single" w:sz="4" w:space="0" w:color="auto"/>
              <w:bottom w:val="single" w:sz="4" w:space="0" w:color="auto"/>
              <w:right w:val="single" w:sz="4" w:space="0" w:color="auto"/>
            </w:tcBorders>
            <w:vAlign w:val="center"/>
            <w:hideMark/>
          </w:tcPr>
          <w:p w14:paraId="04FE02DB"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 xml:space="preserve">Additional Costs Associated with Station Reconstruction </w:t>
            </w:r>
          </w:p>
        </w:tc>
        <w:tc>
          <w:tcPr>
            <w:tcW w:w="900" w:type="dxa"/>
            <w:tcBorders>
              <w:top w:val="single" w:sz="4" w:space="0" w:color="auto"/>
              <w:left w:val="single" w:sz="4" w:space="0" w:color="auto"/>
              <w:bottom w:val="single" w:sz="4" w:space="0" w:color="auto"/>
              <w:right w:val="single" w:sz="4" w:space="0" w:color="auto"/>
            </w:tcBorders>
            <w:vAlign w:val="center"/>
          </w:tcPr>
          <w:p w14:paraId="1FC03166"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2B33E57B"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00F767D8"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2E5779E0"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CEB46E3"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1349" w:type="dxa"/>
            <w:tcBorders>
              <w:top w:val="single" w:sz="4" w:space="0" w:color="auto"/>
              <w:left w:val="single" w:sz="4" w:space="0" w:color="auto"/>
              <w:bottom w:val="single" w:sz="4" w:space="0" w:color="auto"/>
              <w:right w:val="single" w:sz="4" w:space="0" w:color="auto"/>
            </w:tcBorders>
            <w:vAlign w:val="center"/>
          </w:tcPr>
          <w:p w14:paraId="190B66DE" w14:textId="77777777" w:rsidR="00F61F8E" w:rsidRPr="002B3F36" w:rsidRDefault="000F264B">
            <w:pPr>
              <w:jc w:val="center"/>
              <w:rPr>
                <w:rFonts w:ascii="Arial" w:hAnsi="Arial" w:cs="Arial"/>
                <w:sz w:val="20"/>
                <w:szCs w:val="20"/>
              </w:rPr>
            </w:pPr>
            <w:r w:rsidRPr="002B3F36">
              <w:rPr>
                <w:rFonts w:ascii="Arial" w:hAnsi="Arial" w:cs="Arial"/>
                <w:sz w:val="20"/>
                <w:szCs w:val="20"/>
              </w:rPr>
              <w:t>Option 1</w:t>
            </w:r>
          </w:p>
        </w:tc>
      </w:tr>
      <w:tr w:rsidR="00F61F8E" w:rsidRPr="002B3F36" w14:paraId="01A3E7C6"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7FBE1E4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10.1.</w:t>
            </w:r>
          </w:p>
        </w:tc>
        <w:tc>
          <w:tcPr>
            <w:tcW w:w="2826" w:type="dxa"/>
            <w:tcBorders>
              <w:top w:val="single" w:sz="4" w:space="0" w:color="auto"/>
              <w:left w:val="single" w:sz="4" w:space="0" w:color="auto"/>
              <w:bottom w:val="single" w:sz="4" w:space="0" w:color="auto"/>
              <w:right w:val="single" w:sz="4" w:space="0" w:color="auto"/>
            </w:tcBorders>
            <w:vAlign w:val="center"/>
            <w:hideMark/>
          </w:tcPr>
          <w:p w14:paraId="3B9CEDF3" w14:textId="77777777" w:rsidR="00F61F8E" w:rsidRPr="002B3F36" w:rsidRDefault="000F264B">
            <w:pPr>
              <w:rPr>
                <w:rFonts w:ascii="Arial" w:eastAsia="Times New Roman" w:hAnsi="Arial" w:cs="Arial"/>
                <w:sz w:val="20"/>
                <w:szCs w:val="20"/>
                <w:lang w:val="en-PH" w:eastAsia="en-PH"/>
              </w:rPr>
            </w:pPr>
            <w:r w:rsidRPr="002B3F36">
              <w:rPr>
                <w:rFonts w:ascii="Arial" w:eastAsia="Times New Roman" w:hAnsi="Arial" w:cs="Arial"/>
                <w:sz w:val="20"/>
                <w:szCs w:val="20"/>
                <w:lang w:val="en-PH" w:eastAsia="en-PH"/>
              </w:rPr>
              <w:t>Constrained conditions for station reconstruction</w:t>
            </w:r>
          </w:p>
        </w:tc>
        <w:tc>
          <w:tcPr>
            <w:tcW w:w="900" w:type="dxa"/>
            <w:tcBorders>
              <w:top w:val="single" w:sz="4" w:space="0" w:color="auto"/>
              <w:left w:val="single" w:sz="4" w:space="0" w:color="auto"/>
              <w:bottom w:val="single" w:sz="4" w:space="0" w:color="auto"/>
              <w:right w:val="single" w:sz="4" w:space="0" w:color="auto"/>
            </w:tcBorders>
            <w:vAlign w:val="center"/>
          </w:tcPr>
          <w:p w14:paraId="0E6160DE"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48CDD31B"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1B287DF7"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7B752752"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87276A3" w14:textId="77777777" w:rsidR="00F61F8E" w:rsidRPr="002B3F36" w:rsidRDefault="000F264B">
            <w:pPr>
              <w:jc w:val="center"/>
              <w:rPr>
                <w:rFonts w:ascii="Arial" w:hAnsi="Arial" w:cs="Arial"/>
                <w:sz w:val="20"/>
                <w:szCs w:val="20"/>
              </w:rPr>
            </w:pPr>
            <w:r w:rsidRPr="002B3F36">
              <w:rPr>
                <w:rFonts w:ascii="Arial" w:hAnsi="Arial" w:cs="Arial"/>
                <w:sz w:val="20"/>
                <w:szCs w:val="20"/>
              </w:rPr>
              <w:t>+</w:t>
            </w:r>
          </w:p>
        </w:tc>
        <w:tc>
          <w:tcPr>
            <w:tcW w:w="1349" w:type="dxa"/>
            <w:tcBorders>
              <w:top w:val="single" w:sz="4" w:space="0" w:color="auto"/>
              <w:left w:val="single" w:sz="4" w:space="0" w:color="auto"/>
              <w:bottom w:val="single" w:sz="4" w:space="0" w:color="auto"/>
              <w:right w:val="single" w:sz="4" w:space="0" w:color="auto"/>
            </w:tcBorders>
            <w:vAlign w:val="center"/>
          </w:tcPr>
          <w:p w14:paraId="3A3E432D" w14:textId="77777777" w:rsidR="00F61F8E" w:rsidRPr="002B3F36" w:rsidRDefault="000F264B">
            <w:pPr>
              <w:jc w:val="center"/>
              <w:rPr>
                <w:rFonts w:ascii="Arial" w:hAnsi="Arial" w:cs="Arial"/>
                <w:sz w:val="20"/>
                <w:szCs w:val="20"/>
              </w:rPr>
            </w:pPr>
            <w:r w:rsidRPr="002B3F36">
              <w:rPr>
                <w:rFonts w:ascii="Arial" w:hAnsi="Arial" w:cs="Arial"/>
                <w:sz w:val="20"/>
                <w:szCs w:val="20"/>
              </w:rPr>
              <w:t>1, 2 option</w:t>
            </w:r>
          </w:p>
        </w:tc>
      </w:tr>
      <w:tr w:rsidR="00F61F8E" w:rsidRPr="002B3F36" w14:paraId="3F62E536"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07FF42EB"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11</w:t>
            </w:r>
          </w:p>
        </w:tc>
        <w:tc>
          <w:tcPr>
            <w:tcW w:w="2826" w:type="dxa"/>
            <w:tcBorders>
              <w:top w:val="single" w:sz="4" w:space="0" w:color="auto"/>
              <w:left w:val="single" w:sz="4" w:space="0" w:color="auto"/>
              <w:bottom w:val="single" w:sz="4" w:space="0" w:color="auto"/>
              <w:right w:val="single" w:sz="4" w:space="0" w:color="auto"/>
            </w:tcBorders>
            <w:vAlign w:val="center"/>
            <w:hideMark/>
          </w:tcPr>
          <w:p w14:paraId="66B6D663" w14:textId="77777777" w:rsidR="00F61F8E" w:rsidRPr="002B3F36" w:rsidRDefault="000F264B">
            <w:pPr>
              <w:rPr>
                <w:rFonts w:ascii="Arial" w:hAnsi="Arial" w:cs="Arial"/>
                <w:color w:val="000000"/>
                <w:sz w:val="20"/>
                <w:szCs w:val="20"/>
              </w:rPr>
            </w:pPr>
            <w:r w:rsidRPr="002B3F36">
              <w:rPr>
                <w:rFonts w:ascii="Arial" w:eastAsia="Times New Roman" w:hAnsi="Arial" w:cs="Arial"/>
                <w:sz w:val="20"/>
                <w:szCs w:val="20"/>
                <w:lang w:val="en-PH" w:eastAsia="en-PH"/>
              </w:rPr>
              <w:t>Total Capital Expenditure for Construction (Estimated, 2025 Prices)</w:t>
            </w:r>
          </w:p>
        </w:tc>
        <w:tc>
          <w:tcPr>
            <w:tcW w:w="900" w:type="dxa"/>
            <w:tcBorders>
              <w:top w:val="single" w:sz="4" w:space="0" w:color="auto"/>
              <w:left w:val="single" w:sz="4" w:space="0" w:color="auto"/>
              <w:bottom w:val="single" w:sz="4" w:space="0" w:color="auto"/>
              <w:right w:val="single" w:sz="4" w:space="0" w:color="auto"/>
            </w:tcBorders>
            <w:vAlign w:val="center"/>
            <w:hideMark/>
          </w:tcPr>
          <w:p w14:paraId="0F4B6EF8"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 xml:space="preserve">billion </w:t>
            </w:r>
            <w:r w:rsidRPr="002B3F36">
              <w:rPr>
                <w:rFonts w:ascii="Arial" w:hAnsi="Arial" w:cs="Arial"/>
                <w:color w:val="000000"/>
                <w:sz w:val="20"/>
                <w:szCs w:val="20"/>
              </w:rPr>
              <w:br/>
              <w:t>tenge</w:t>
            </w:r>
          </w:p>
        </w:tc>
        <w:tc>
          <w:tcPr>
            <w:tcW w:w="862" w:type="dxa"/>
            <w:tcBorders>
              <w:top w:val="single" w:sz="4" w:space="0" w:color="auto"/>
              <w:left w:val="single" w:sz="4" w:space="0" w:color="auto"/>
              <w:bottom w:val="single" w:sz="4" w:space="0" w:color="auto"/>
              <w:right w:val="single" w:sz="4" w:space="0" w:color="auto"/>
            </w:tcBorders>
            <w:vAlign w:val="center"/>
            <w:hideMark/>
          </w:tcPr>
          <w:p w14:paraId="5BECD78A"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633.4</w:t>
            </w:r>
          </w:p>
        </w:tc>
        <w:tc>
          <w:tcPr>
            <w:tcW w:w="990" w:type="dxa"/>
            <w:tcBorders>
              <w:top w:val="single" w:sz="4" w:space="0" w:color="auto"/>
              <w:left w:val="single" w:sz="4" w:space="0" w:color="auto"/>
              <w:bottom w:val="single" w:sz="4" w:space="0" w:color="auto"/>
              <w:right w:val="single" w:sz="4" w:space="0" w:color="auto"/>
            </w:tcBorders>
            <w:vAlign w:val="center"/>
          </w:tcPr>
          <w:p w14:paraId="2815B2DC" w14:textId="77777777" w:rsidR="00F61F8E" w:rsidRPr="002B3F36" w:rsidRDefault="000F264B">
            <w:pPr>
              <w:jc w:val="center"/>
              <w:rPr>
                <w:rFonts w:ascii="Arial" w:hAnsi="Arial" w:cs="Arial"/>
                <w:sz w:val="20"/>
                <w:szCs w:val="20"/>
              </w:rPr>
            </w:pPr>
            <w:r w:rsidRPr="002B3F36">
              <w:rPr>
                <w:rFonts w:ascii="Arial" w:hAnsi="Arial" w:cs="Arial"/>
                <w:sz w:val="20"/>
                <w:szCs w:val="20"/>
              </w:rPr>
              <w:t>647.15</w:t>
            </w:r>
          </w:p>
        </w:tc>
        <w:tc>
          <w:tcPr>
            <w:tcW w:w="850" w:type="dxa"/>
            <w:tcBorders>
              <w:top w:val="single" w:sz="4" w:space="0" w:color="auto"/>
              <w:left w:val="single" w:sz="4" w:space="0" w:color="auto"/>
              <w:bottom w:val="single" w:sz="4" w:space="0" w:color="auto"/>
              <w:right w:val="single" w:sz="4" w:space="0" w:color="auto"/>
            </w:tcBorders>
            <w:vAlign w:val="center"/>
          </w:tcPr>
          <w:p w14:paraId="637B60B6" w14:textId="77777777" w:rsidR="00F61F8E" w:rsidRPr="002B3F36" w:rsidRDefault="000F264B">
            <w:pPr>
              <w:jc w:val="center"/>
              <w:rPr>
                <w:rFonts w:ascii="Arial" w:hAnsi="Arial" w:cs="Arial"/>
                <w:sz w:val="20"/>
                <w:szCs w:val="20"/>
              </w:rPr>
            </w:pPr>
            <w:r w:rsidRPr="002B3F36">
              <w:rPr>
                <w:rFonts w:ascii="Arial" w:hAnsi="Arial" w:cs="Arial"/>
                <w:sz w:val="20"/>
                <w:szCs w:val="20"/>
              </w:rPr>
              <w:t>650.1</w:t>
            </w:r>
          </w:p>
        </w:tc>
        <w:tc>
          <w:tcPr>
            <w:tcW w:w="1134" w:type="dxa"/>
            <w:tcBorders>
              <w:top w:val="single" w:sz="4" w:space="0" w:color="auto"/>
              <w:left w:val="single" w:sz="4" w:space="0" w:color="auto"/>
              <w:bottom w:val="single" w:sz="4" w:space="0" w:color="auto"/>
              <w:right w:val="single" w:sz="4" w:space="0" w:color="auto"/>
            </w:tcBorders>
            <w:vAlign w:val="center"/>
          </w:tcPr>
          <w:p w14:paraId="0F3A0834" w14:textId="77777777" w:rsidR="00F61F8E" w:rsidRPr="002B3F36" w:rsidRDefault="000F264B">
            <w:pPr>
              <w:jc w:val="center"/>
              <w:rPr>
                <w:rFonts w:ascii="Arial" w:hAnsi="Arial" w:cs="Arial"/>
                <w:sz w:val="20"/>
                <w:szCs w:val="20"/>
              </w:rPr>
            </w:pPr>
            <w:r w:rsidRPr="002B3F36">
              <w:rPr>
                <w:rFonts w:ascii="Arial" w:hAnsi="Arial" w:cs="Arial"/>
                <w:sz w:val="20"/>
                <w:szCs w:val="20"/>
              </w:rPr>
              <w:t>622.1</w:t>
            </w:r>
          </w:p>
        </w:tc>
        <w:tc>
          <w:tcPr>
            <w:tcW w:w="1349" w:type="dxa"/>
            <w:tcBorders>
              <w:top w:val="single" w:sz="4" w:space="0" w:color="auto"/>
              <w:left w:val="single" w:sz="4" w:space="0" w:color="auto"/>
              <w:bottom w:val="single" w:sz="4" w:space="0" w:color="auto"/>
              <w:right w:val="single" w:sz="4" w:space="0" w:color="auto"/>
            </w:tcBorders>
            <w:vAlign w:val="center"/>
          </w:tcPr>
          <w:p w14:paraId="40595D73"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r w:rsidR="00F61F8E" w:rsidRPr="002B3F36" w14:paraId="4CB18B8D" w14:textId="77777777" w:rsidTr="00F82096">
        <w:tc>
          <w:tcPr>
            <w:tcW w:w="894" w:type="dxa"/>
            <w:tcBorders>
              <w:top w:val="single" w:sz="4" w:space="0" w:color="auto"/>
              <w:left w:val="single" w:sz="4" w:space="0" w:color="auto"/>
              <w:bottom w:val="single" w:sz="4" w:space="0" w:color="auto"/>
              <w:right w:val="single" w:sz="4" w:space="0" w:color="auto"/>
            </w:tcBorders>
            <w:vAlign w:val="center"/>
            <w:hideMark/>
          </w:tcPr>
          <w:p w14:paraId="500019B0" w14:textId="77777777" w:rsidR="00F61F8E" w:rsidRPr="002B3F36" w:rsidRDefault="000F264B">
            <w:pPr>
              <w:jc w:val="center"/>
              <w:rPr>
                <w:rFonts w:ascii="Arial" w:hAnsi="Arial" w:cs="Arial"/>
                <w:color w:val="000000"/>
                <w:sz w:val="20"/>
                <w:szCs w:val="20"/>
              </w:rPr>
            </w:pPr>
            <w:r w:rsidRPr="002B3F36">
              <w:rPr>
                <w:rFonts w:ascii="Arial" w:hAnsi="Arial" w:cs="Arial"/>
                <w:color w:val="000000"/>
                <w:sz w:val="20"/>
                <w:szCs w:val="20"/>
              </w:rPr>
              <w:t>12</w:t>
            </w:r>
          </w:p>
        </w:tc>
        <w:tc>
          <w:tcPr>
            <w:tcW w:w="2826" w:type="dxa"/>
            <w:tcBorders>
              <w:top w:val="single" w:sz="4" w:space="0" w:color="auto"/>
              <w:left w:val="single" w:sz="4" w:space="0" w:color="auto"/>
              <w:bottom w:val="single" w:sz="4" w:space="0" w:color="auto"/>
              <w:right w:val="single" w:sz="4" w:space="0" w:color="auto"/>
            </w:tcBorders>
            <w:vAlign w:val="center"/>
            <w:hideMark/>
          </w:tcPr>
          <w:p w14:paraId="2EE6634F" w14:textId="77777777" w:rsidR="00F61F8E" w:rsidRPr="002B3F36" w:rsidRDefault="000F264B">
            <w:pPr>
              <w:rPr>
                <w:rFonts w:ascii="Arial" w:eastAsia="Times New Roman" w:hAnsi="Arial" w:cs="Arial"/>
                <w:sz w:val="20"/>
                <w:szCs w:val="20"/>
                <w:lang w:val="en-PH" w:eastAsia="en-PH"/>
              </w:rPr>
            </w:pPr>
            <w:r w:rsidRPr="002B3F36">
              <w:rPr>
                <w:rFonts w:ascii="Arial" w:eastAsia="Times New Roman" w:hAnsi="Arial" w:cs="Arial"/>
                <w:sz w:val="20"/>
                <w:szCs w:val="20"/>
                <w:lang w:val="en-PH" w:eastAsia="en-PH"/>
              </w:rPr>
              <w:t xml:space="preserve">Relative difference </w:t>
            </w:r>
            <w:r w:rsidRPr="002B3F36">
              <w:rPr>
                <w:rFonts w:ascii="Arial" w:eastAsia="Times New Roman" w:hAnsi="Arial" w:cs="Arial"/>
                <w:sz w:val="20"/>
                <w:szCs w:val="20"/>
                <w:lang w:val="en-PH" w:eastAsia="en-PH"/>
              </w:rPr>
              <w:br/>
              <w:t>in costs when comparing 3 options with Option 4</w:t>
            </w:r>
          </w:p>
        </w:tc>
        <w:tc>
          <w:tcPr>
            <w:tcW w:w="900" w:type="dxa"/>
            <w:tcBorders>
              <w:top w:val="single" w:sz="4" w:space="0" w:color="auto"/>
              <w:left w:val="single" w:sz="4" w:space="0" w:color="auto"/>
              <w:bottom w:val="single" w:sz="4" w:space="0" w:color="auto"/>
              <w:right w:val="single" w:sz="4" w:space="0" w:color="auto"/>
            </w:tcBorders>
            <w:vAlign w:val="center"/>
          </w:tcPr>
          <w:p w14:paraId="577C9687" w14:textId="77777777" w:rsidR="00F61F8E" w:rsidRPr="002B3F36" w:rsidRDefault="00F61F8E">
            <w:pPr>
              <w:jc w:val="center"/>
              <w:rPr>
                <w:rFonts w:ascii="Arial" w:hAnsi="Arial" w:cs="Arial"/>
                <w:color w:val="000000"/>
                <w:sz w:val="20"/>
                <w:szCs w:val="20"/>
              </w:rPr>
            </w:pPr>
          </w:p>
        </w:tc>
        <w:tc>
          <w:tcPr>
            <w:tcW w:w="862" w:type="dxa"/>
            <w:tcBorders>
              <w:top w:val="single" w:sz="4" w:space="0" w:color="auto"/>
              <w:left w:val="single" w:sz="4" w:space="0" w:color="auto"/>
              <w:bottom w:val="single" w:sz="4" w:space="0" w:color="auto"/>
              <w:right w:val="single" w:sz="4" w:space="0" w:color="auto"/>
            </w:tcBorders>
            <w:vAlign w:val="center"/>
          </w:tcPr>
          <w:p w14:paraId="61A7A829" w14:textId="77777777" w:rsidR="00F61F8E" w:rsidRPr="002B3F36" w:rsidRDefault="000F264B">
            <w:pPr>
              <w:jc w:val="center"/>
              <w:rPr>
                <w:rFonts w:ascii="Arial" w:hAnsi="Arial" w:cs="Arial"/>
                <w:sz w:val="20"/>
                <w:szCs w:val="20"/>
              </w:rPr>
            </w:pPr>
            <w:r w:rsidRPr="002B3F36">
              <w:rPr>
                <w:rFonts w:ascii="Arial" w:hAnsi="Arial" w:cs="Arial"/>
                <w:sz w:val="20"/>
                <w:szCs w:val="20"/>
              </w:rPr>
              <w:t>102%</w:t>
            </w:r>
          </w:p>
        </w:tc>
        <w:tc>
          <w:tcPr>
            <w:tcW w:w="990" w:type="dxa"/>
            <w:tcBorders>
              <w:top w:val="single" w:sz="4" w:space="0" w:color="auto"/>
              <w:left w:val="single" w:sz="4" w:space="0" w:color="auto"/>
              <w:bottom w:val="single" w:sz="4" w:space="0" w:color="auto"/>
              <w:right w:val="single" w:sz="4" w:space="0" w:color="auto"/>
            </w:tcBorders>
            <w:vAlign w:val="center"/>
          </w:tcPr>
          <w:p w14:paraId="77EB150B" w14:textId="77777777" w:rsidR="00F61F8E" w:rsidRPr="002B3F36" w:rsidRDefault="000F264B">
            <w:pPr>
              <w:jc w:val="center"/>
              <w:rPr>
                <w:rFonts w:ascii="Arial" w:hAnsi="Arial" w:cs="Arial"/>
                <w:sz w:val="20"/>
                <w:szCs w:val="20"/>
              </w:rPr>
            </w:pPr>
            <w:r w:rsidRPr="002B3F36">
              <w:rPr>
                <w:rFonts w:ascii="Arial" w:hAnsi="Arial" w:cs="Arial"/>
                <w:sz w:val="20"/>
                <w:szCs w:val="20"/>
              </w:rPr>
              <w:t>103%</w:t>
            </w:r>
          </w:p>
        </w:tc>
        <w:tc>
          <w:tcPr>
            <w:tcW w:w="850" w:type="dxa"/>
            <w:tcBorders>
              <w:top w:val="single" w:sz="4" w:space="0" w:color="auto"/>
              <w:left w:val="single" w:sz="4" w:space="0" w:color="auto"/>
              <w:bottom w:val="single" w:sz="4" w:space="0" w:color="auto"/>
              <w:right w:val="single" w:sz="4" w:space="0" w:color="auto"/>
            </w:tcBorders>
            <w:vAlign w:val="center"/>
          </w:tcPr>
          <w:p w14:paraId="10933345" w14:textId="77777777" w:rsidR="00F61F8E" w:rsidRPr="002B3F36" w:rsidRDefault="000F264B">
            <w:pPr>
              <w:jc w:val="center"/>
              <w:rPr>
                <w:rFonts w:ascii="Arial" w:hAnsi="Arial" w:cs="Arial"/>
                <w:sz w:val="20"/>
                <w:szCs w:val="20"/>
              </w:rPr>
            </w:pPr>
            <w:r w:rsidRPr="002B3F36">
              <w:rPr>
                <w:rFonts w:ascii="Arial" w:hAnsi="Arial" w:cs="Arial"/>
                <w:sz w:val="20"/>
                <w:szCs w:val="20"/>
              </w:rPr>
              <w:t>104%</w:t>
            </w:r>
          </w:p>
        </w:tc>
        <w:tc>
          <w:tcPr>
            <w:tcW w:w="1134" w:type="dxa"/>
            <w:tcBorders>
              <w:top w:val="single" w:sz="4" w:space="0" w:color="auto"/>
              <w:left w:val="single" w:sz="4" w:space="0" w:color="auto"/>
              <w:bottom w:val="single" w:sz="4" w:space="0" w:color="auto"/>
              <w:right w:val="single" w:sz="4" w:space="0" w:color="auto"/>
            </w:tcBorders>
            <w:vAlign w:val="center"/>
          </w:tcPr>
          <w:p w14:paraId="7A22A3AC" w14:textId="77777777" w:rsidR="00F61F8E" w:rsidRPr="002B3F36" w:rsidRDefault="000F264B">
            <w:pPr>
              <w:jc w:val="center"/>
              <w:rPr>
                <w:rFonts w:ascii="Arial" w:hAnsi="Arial" w:cs="Arial"/>
                <w:sz w:val="20"/>
                <w:szCs w:val="20"/>
              </w:rPr>
            </w:pPr>
            <w:r w:rsidRPr="002B3F36">
              <w:rPr>
                <w:rFonts w:ascii="Arial" w:hAnsi="Arial" w:cs="Arial"/>
                <w:sz w:val="20"/>
                <w:szCs w:val="20"/>
              </w:rPr>
              <w:t>100%</w:t>
            </w:r>
          </w:p>
        </w:tc>
        <w:tc>
          <w:tcPr>
            <w:tcW w:w="1349" w:type="dxa"/>
            <w:tcBorders>
              <w:top w:val="single" w:sz="4" w:space="0" w:color="auto"/>
              <w:left w:val="single" w:sz="4" w:space="0" w:color="auto"/>
              <w:bottom w:val="single" w:sz="4" w:space="0" w:color="auto"/>
              <w:right w:val="single" w:sz="4" w:space="0" w:color="auto"/>
            </w:tcBorders>
            <w:vAlign w:val="center"/>
          </w:tcPr>
          <w:p w14:paraId="1DEDF3E0" w14:textId="77777777" w:rsidR="00F61F8E" w:rsidRPr="002B3F36" w:rsidRDefault="000F264B">
            <w:pPr>
              <w:jc w:val="center"/>
              <w:rPr>
                <w:rFonts w:ascii="Arial" w:hAnsi="Arial" w:cs="Arial"/>
                <w:sz w:val="20"/>
                <w:szCs w:val="20"/>
              </w:rPr>
            </w:pPr>
            <w:r w:rsidRPr="002B3F36">
              <w:rPr>
                <w:rFonts w:ascii="Arial" w:hAnsi="Arial" w:cs="Arial"/>
                <w:sz w:val="20"/>
                <w:szCs w:val="20"/>
              </w:rPr>
              <w:t>Option 4</w:t>
            </w:r>
          </w:p>
        </w:tc>
      </w:tr>
    </w:tbl>
    <w:p w14:paraId="52437C62" w14:textId="77777777" w:rsidR="00F61F8E" w:rsidRPr="002B3F36" w:rsidRDefault="000F264B">
      <w:pPr>
        <w:pStyle w:val="ReportBodyPar"/>
        <w:rPr>
          <w:i/>
          <w:sz w:val="20"/>
          <w:szCs w:val="20"/>
        </w:rPr>
      </w:pPr>
      <w:r w:rsidRPr="002B3F36">
        <w:rPr>
          <w:i/>
          <w:sz w:val="20"/>
          <w:szCs w:val="20"/>
        </w:rPr>
        <w:t>Note: The increase in the construction cost of the railway line for Options 2 and 3 is mainly due to the complexity of the terrain, the volume of earthworks, and the number of artificial structures</w:t>
      </w:r>
    </w:p>
    <w:p w14:paraId="0207A57B" w14:textId="77777777" w:rsidR="00F61F8E" w:rsidRPr="002B3F36" w:rsidRDefault="00F61F8E">
      <w:pPr>
        <w:pStyle w:val="ReportBodyPar"/>
      </w:pPr>
    </w:p>
    <w:p w14:paraId="7A64060B" w14:textId="77777777" w:rsidR="00F61F8E" w:rsidRPr="002B3F36" w:rsidRDefault="000F264B" w:rsidP="00DC2DBA">
      <w:pPr>
        <w:pStyle w:val="ReportBodyPar"/>
      </w:pPr>
      <w:r w:rsidRPr="002B3F36">
        <w:t>From a resource consumption and environmental performance perspective, the evaluation of route alternatives was based on several key parameters, including total route length, proximity to construction material sources (e.g., quarries and borrow pits), availability of water resources, efficiency in resource utilization, and the organization of risk management and pollution control measures.</w:t>
      </w:r>
    </w:p>
    <w:p w14:paraId="6A48D433" w14:textId="77777777" w:rsidR="00F61F8E" w:rsidRPr="002B3F36" w:rsidRDefault="00F61F8E" w:rsidP="00DC2DBA">
      <w:pPr>
        <w:pStyle w:val="ReportBodyPar"/>
      </w:pPr>
    </w:p>
    <w:p w14:paraId="07019135" w14:textId="77777777" w:rsidR="00F61F8E" w:rsidRPr="002B3F36" w:rsidRDefault="000F264B" w:rsidP="00DC2DBA">
      <w:pPr>
        <w:pStyle w:val="ReportBodyPar"/>
      </w:pPr>
      <w:r w:rsidRPr="002B3F36">
        <w:t>Among the four proposed options, the shortest construction length is associated with Option 2 (263 km), while the longest alignment corresponds to Option 1 (366 km), as detailed in the comparative table provided above. However, a comprehensive assessment of technical, economic, and environmental indicators identifies Option 4 as the most favorable alignment.</w:t>
      </w:r>
    </w:p>
    <w:p w14:paraId="622C4836" w14:textId="77777777" w:rsidR="00F61F8E" w:rsidRPr="002B3F36" w:rsidRDefault="00F61F8E" w:rsidP="00DC2DBA">
      <w:pPr>
        <w:pStyle w:val="ReportBodyPar"/>
      </w:pPr>
    </w:p>
    <w:p w14:paraId="57DB3507" w14:textId="77777777" w:rsidR="00F61F8E" w:rsidRPr="002B3F36" w:rsidRDefault="000F264B" w:rsidP="00DC2DBA">
      <w:pPr>
        <w:pStyle w:val="ReportBodyPar"/>
      </w:pPr>
      <w:r w:rsidRPr="002B3F36">
        <w:t>Option 4 traverses predominantly flat terrain and remains distant from major population centers, thereby minimizing potential social and environmental impacts. Furthermore, the availability of suitable soils for embankment and subgrade works along the alignment enhances the project’s logistical efficiency and reduces reliance on external material sources.</w:t>
      </w:r>
    </w:p>
    <w:p w14:paraId="0F8E3F96" w14:textId="77777777" w:rsidR="00F61F8E" w:rsidRPr="002B3F36" w:rsidRDefault="00F61F8E" w:rsidP="00DC2DBA">
      <w:pPr>
        <w:pStyle w:val="ReportBodyPar"/>
      </w:pPr>
    </w:p>
    <w:p w14:paraId="5F2A2280" w14:textId="77777777" w:rsidR="00F61F8E" w:rsidRPr="002B3F36" w:rsidRDefault="000F264B" w:rsidP="00DC2DBA">
      <w:pPr>
        <w:pStyle w:val="ReportBodyPar"/>
      </w:pPr>
      <w:r w:rsidRPr="002B3F36">
        <w:t>Environmental emissions (including air pollutants, noise, and waste generation) are closely linked to both route length and construction logistics. Based on technical and economic analyses, and considering the proposed safety and environmental protection measures (e.g., wastewater collection systems, controlled waste management practices), Option 4 demonstrates the lowest projected environmental footprint among all alternatives.</w:t>
      </w:r>
    </w:p>
    <w:p w14:paraId="6E7A6D80" w14:textId="77777777" w:rsidR="00F61F8E" w:rsidRPr="002B3F36" w:rsidRDefault="00F61F8E" w:rsidP="00DC2DBA">
      <w:pPr>
        <w:pStyle w:val="ReportBodyPar"/>
      </w:pPr>
    </w:p>
    <w:p w14:paraId="69C7C201" w14:textId="60FAC579" w:rsidR="00F61F8E" w:rsidRPr="002B3F36" w:rsidRDefault="000F264B" w:rsidP="00DC2DBA">
      <w:pPr>
        <w:pStyle w:val="ReportBodyPar"/>
      </w:pPr>
      <w:r w:rsidRPr="002B3F36">
        <w:lastRenderedPageBreak/>
        <w:t>In terms of technical and economic efficiency, Option 4 also provides clear advantages, offering a cost-effective, operationally reliable alignment with reduced environmental and social risks. These factors will be further addressed and managed through the Environmental and Social Management Plan (ESMP), which will define mitigation measures and monitoring protocols to minimize residual impacts during both the construction and operational phases.</w:t>
      </w:r>
    </w:p>
    <w:p w14:paraId="0F76A1DB" w14:textId="552C1271" w:rsidR="00DC414E" w:rsidRPr="002B3F36" w:rsidRDefault="00DC414E" w:rsidP="00E02069">
      <w:pPr>
        <w:pStyle w:val="ReportBodyPar"/>
      </w:pPr>
    </w:p>
    <w:p w14:paraId="2226AF26" w14:textId="464A1D0E" w:rsidR="00F60018" w:rsidRPr="002B3F36" w:rsidRDefault="00DC414E" w:rsidP="00E02069">
      <w:pPr>
        <w:pStyle w:val="ReportBodyPar"/>
      </w:pPr>
      <w:r w:rsidRPr="002B3F36">
        <w:t>In conclusion, based on the preceding multi-criteria analysis encompassing environmental, social, engineering, and economic parameters, Option No. 4 is identified as the preferred alignment alternative for implementation.</w:t>
      </w:r>
    </w:p>
    <w:p w14:paraId="2F6A9FF8" w14:textId="77777777" w:rsidR="00F61F8E" w:rsidRPr="002B3F36" w:rsidRDefault="000F264B" w:rsidP="00F82096">
      <w:pPr>
        <w:pStyle w:val="ReportBodyPar"/>
        <w:rPr>
          <w:b/>
          <w:sz w:val="32"/>
          <w:szCs w:val="28"/>
        </w:rPr>
      </w:pPr>
      <w:r w:rsidRPr="002B3F36">
        <w:br w:type="page"/>
      </w:r>
    </w:p>
    <w:p w14:paraId="2887AD62" w14:textId="77777777" w:rsidR="00F61F8E" w:rsidRPr="002B3F36" w:rsidRDefault="000F264B">
      <w:pPr>
        <w:pStyle w:val="1"/>
        <w:numPr>
          <w:ilvl w:val="0"/>
          <w:numId w:val="1"/>
        </w:numPr>
        <w:autoSpaceDE/>
        <w:autoSpaceDN/>
        <w:spacing w:line="253" w:lineRule="auto"/>
        <w:ind w:right="72"/>
        <w:jc w:val="both"/>
        <w:rPr>
          <w:rFonts w:cs="Arial"/>
        </w:rPr>
      </w:pPr>
      <w:bookmarkStart w:id="637" w:name="_Toc208973741"/>
      <w:bookmarkStart w:id="638" w:name="_Toc208973941"/>
      <w:bookmarkStart w:id="639" w:name="_Toc208974141"/>
      <w:bookmarkStart w:id="640" w:name="_Toc208974343"/>
      <w:bookmarkStart w:id="641" w:name="_Toc208974551"/>
      <w:bookmarkStart w:id="642" w:name="_Toc210589417"/>
      <w:r w:rsidRPr="002B3F36">
        <w:rPr>
          <w:rFonts w:cs="Arial"/>
        </w:rPr>
        <w:lastRenderedPageBreak/>
        <w:t>APPLICABLE REFERENCE FRAMEWORKS</w:t>
      </w:r>
      <w:bookmarkEnd w:id="637"/>
      <w:bookmarkEnd w:id="638"/>
      <w:bookmarkEnd w:id="639"/>
      <w:bookmarkEnd w:id="640"/>
      <w:bookmarkEnd w:id="641"/>
      <w:bookmarkEnd w:id="642"/>
    </w:p>
    <w:p w14:paraId="78135C98" w14:textId="77777777" w:rsidR="00F61F8E" w:rsidRPr="002B3F36" w:rsidRDefault="00F61F8E">
      <w:pPr>
        <w:pStyle w:val="ReportParagraph"/>
      </w:pPr>
    </w:p>
    <w:p w14:paraId="19D424D0" w14:textId="5972A2EA" w:rsidR="00F61F8E" w:rsidRPr="002B3F36" w:rsidRDefault="000F264B">
      <w:pPr>
        <w:pStyle w:val="ReportParagraph"/>
      </w:pPr>
      <w:r w:rsidRPr="002B3F36">
        <w:rPr>
          <w:noProof/>
        </w:rPr>
        <mc:AlternateContent>
          <mc:Choice Requires="wps">
            <w:drawing>
              <wp:anchor distT="0" distB="0" distL="0" distR="0" simplePos="0" relativeHeight="251658241" behindDoc="1" locked="0" layoutInCell="1" allowOverlap="1" wp14:anchorId="46F70BD5" wp14:editId="34FC5A35">
                <wp:simplePos x="0" y="0"/>
                <wp:positionH relativeFrom="page">
                  <wp:posOffset>2938907</wp:posOffset>
                </wp:positionH>
                <wp:positionV relativeFrom="paragraph">
                  <wp:posOffset>387291</wp:posOffset>
                </wp:positionV>
                <wp:extent cx="12064" cy="12700"/>
                <wp:effectExtent l="0" t="0" r="0" b="0"/>
                <wp:wrapNone/>
                <wp:docPr id="1034"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4" cy="12700"/>
                        </a:xfrm>
                        <a:prstGeom prst="rect">
                          <a:avLst/>
                        </a:prstGeom>
                      </wps:spPr>
                      <wps:txbx>
                        <w:txbxContent>
                          <w:p w14:paraId="0E618553" w14:textId="77777777" w:rsidR="00EB4816" w:rsidRDefault="00EB4816">
                            <w:pPr>
                              <w:spacing w:line="19" w:lineRule="exact"/>
                              <w:rPr>
                                <w:rFonts w:ascii="Calibri"/>
                                <w:sz w:val="2"/>
                              </w:rPr>
                            </w:pPr>
                            <w:hyperlink w:anchor="_bookmark2" w:history="1">
                              <w:r>
                                <w:rPr>
                                  <w:rFonts w:ascii="Calibri"/>
                                  <w:spacing w:val="-7"/>
                                  <w:sz w:val="2"/>
                                </w:rPr>
                                <w:t>0F</w:t>
                              </w:r>
                            </w:hyperlink>
                          </w:p>
                        </w:txbxContent>
                      </wps:txbx>
                      <wps:bodyPr wrap="square" lIns="0" tIns="0" rIns="0" bIns="0">
                        <a:prstTxWarp prst="textNoShape">
                          <a:avLst/>
                        </a:prstTxWarp>
                        <a:noAutofit/>
                      </wps:bodyPr>
                    </wps:wsp>
                  </a:graphicData>
                </a:graphic>
              </wp:anchor>
            </w:drawing>
          </mc:Choice>
          <mc:Fallback>
            <w:pict>
              <v:rect w14:anchorId="46F70BD5" id="Textbox 287" o:spid="_x0000_s1027" style="position:absolute;left:0;text-align:left;margin-left:231.4pt;margin-top:30.5pt;width:.95pt;height:1pt;z-index:-251658239;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" filled="f" stroked="f">
                <v:textbox inset="0,0,0,0">
                  <w:txbxContent>
                    <w:p w14:paraId="0E618553" w14:textId="77777777" w:rsidR="00EB4816" w:rsidRDefault="00EB4816">
                      <w:pPr>
                        <w:spacing w:line="19" w:lineRule="exact"/>
                        <w:rPr>
                          <w:rFonts w:ascii="Calibri"/>
                          <w:sz w:val="2"/>
                        </w:rPr>
                      </w:pPr>
                      <w:hyperlink w:anchor="_bookmark2" w:history="1">
                        <w:r>
                          <w:rPr>
                            <w:rFonts w:ascii="Calibri"/>
                            <w:spacing w:val="-7"/>
                            <w:sz w:val="2"/>
                          </w:rPr>
                          <w:t>0F</w:t>
                        </w:r>
                      </w:hyperlink>
                    </w:p>
                  </w:txbxContent>
                </v:textbox>
                <w10:wrap anchorx="page"/>
              </v:rect>
            </w:pict>
          </mc:Fallback>
        </mc:AlternateContent>
      </w:r>
      <w:r w:rsidRPr="002B3F36">
        <w:t>This ESIA Report has been prepared following the infrastructure permitting process established in the Republic of Kazakhstan (RoK). The</w:t>
      </w:r>
      <w:r w:rsidRPr="002B3F36">
        <w:rPr>
          <w:spacing w:val="-7"/>
        </w:rPr>
        <w:t xml:space="preserve"> </w:t>
      </w:r>
      <w:r w:rsidRPr="002B3F36">
        <w:t>ESIA</w:t>
      </w:r>
      <w:r w:rsidRPr="002B3F36">
        <w:rPr>
          <w:spacing w:val="-6"/>
        </w:rPr>
        <w:t xml:space="preserve"> </w:t>
      </w:r>
      <w:r w:rsidRPr="002B3F36">
        <w:t>Report</w:t>
      </w:r>
      <w:r w:rsidRPr="002B3F36">
        <w:rPr>
          <w:spacing w:val="-5"/>
        </w:rPr>
        <w:t xml:space="preserve"> </w:t>
      </w:r>
      <w:r w:rsidRPr="002B3F36">
        <w:t>is</w:t>
      </w:r>
      <w:r w:rsidRPr="002B3F36">
        <w:rPr>
          <w:spacing w:val="-3"/>
        </w:rPr>
        <w:t xml:space="preserve"> </w:t>
      </w:r>
      <w:r w:rsidRPr="002B3F36">
        <w:t>developed</w:t>
      </w:r>
      <w:r w:rsidRPr="002B3F36">
        <w:rPr>
          <w:spacing w:val="-3"/>
        </w:rPr>
        <w:t xml:space="preserve"> </w:t>
      </w:r>
      <w:r w:rsidRPr="002B3F36">
        <w:t>in</w:t>
      </w:r>
      <w:r w:rsidRPr="002B3F36">
        <w:rPr>
          <w:spacing w:val="-4"/>
        </w:rPr>
        <w:t xml:space="preserve"> </w:t>
      </w:r>
      <w:r w:rsidRPr="002B3F36">
        <w:t>accordance</w:t>
      </w:r>
      <w:r w:rsidRPr="002B3F36">
        <w:rPr>
          <w:spacing w:val="-5"/>
        </w:rPr>
        <w:t xml:space="preserve"> </w:t>
      </w:r>
      <w:r w:rsidRPr="002B3F36">
        <w:t>with</w:t>
      </w:r>
      <w:r w:rsidRPr="002B3F36">
        <w:rPr>
          <w:spacing w:val="-5"/>
        </w:rPr>
        <w:t xml:space="preserve"> </w:t>
      </w:r>
      <w:r w:rsidRPr="002B3F36">
        <w:t>the</w:t>
      </w:r>
      <w:r w:rsidRPr="002B3F36">
        <w:rPr>
          <w:spacing w:val="-7"/>
        </w:rPr>
        <w:t xml:space="preserve"> </w:t>
      </w:r>
      <w:r w:rsidRPr="002B3F36">
        <w:t>following</w:t>
      </w:r>
      <w:r w:rsidRPr="002B3F36">
        <w:rPr>
          <w:spacing w:val="-5"/>
        </w:rPr>
        <w:t xml:space="preserve"> </w:t>
      </w:r>
      <w:r w:rsidRPr="002B3F36">
        <w:t>applicable reference framework:</w:t>
      </w:r>
    </w:p>
    <w:p w14:paraId="4E4470A8" w14:textId="77777777" w:rsidR="00F61F8E" w:rsidRPr="002B3F36" w:rsidRDefault="000F264B">
      <w:pPr>
        <w:pStyle w:val="Newbullet"/>
      </w:pPr>
      <w:r w:rsidRPr="002B3F36">
        <w:t>Applicable</w:t>
      </w:r>
      <w:r w:rsidRPr="002B3F36">
        <w:rPr>
          <w:spacing w:val="-7"/>
        </w:rPr>
        <w:t xml:space="preserve"> </w:t>
      </w:r>
      <w:r w:rsidRPr="002B3F36">
        <w:t>national</w:t>
      </w:r>
      <w:r w:rsidRPr="002B3F36">
        <w:rPr>
          <w:spacing w:val="-4"/>
        </w:rPr>
        <w:t xml:space="preserve"> </w:t>
      </w:r>
      <w:r w:rsidRPr="002B3F36">
        <w:t>Environmental</w:t>
      </w:r>
      <w:r w:rsidRPr="002B3F36">
        <w:rPr>
          <w:spacing w:val="-6"/>
        </w:rPr>
        <w:t xml:space="preserve"> </w:t>
      </w:r>
      <w:r w:rsidRPr="002B3F36">
        <w:t>and</w:t>
      </w:r>
      <w:r w:rsidRPr="002B3F36">
        <w:rPr>
          <w:spacing w:val="-6"/>
        </w:rPr>
        <w:t xml:space="preserve"> </w:t>
      </w:r>
      <w:r w:rsidRPr="002B3F36">
        <w:t>Social</w:t>
      </w:r>
      <w:r w:rsidRPr="002B3F36">
        <w:rPr>
          <w:spacing w:val="-6"/>
        </w:rPr>
        <w:t xml:space="preserve"> </w:t>
      </w:r>
      <w:r w:rsidRPr="002B3F36">
        <w:t>(E&amp;S)</w:t>
      </w:r>
      <w:r w:rsidRPr="002B3F36">
        <w:rPr>
          <w:spacing w:val="-6"/>
        </w:rPr>
        <w:t xml:space="preserve"> </w:t>
      </w:r>
      <w:r w:rsidRPr="002B3F36">
        <w:t>regulations</w:t>
      </w:r>
      <w:r w:rsidRPr="002B3F36">
        <w:rPr>
          <w:spacing w:val="-5"/>
        </w:rPr>
        <w:t xml:space="preserve"> </w:t>
      </w:r>
      <w:r w:rsidRPr="002B3F36">
        <w:t>for</w:t>
      </w:r>
      <w:r w:rsidRPr="002B3F36">
        <w:rPr>
          <w:spacing w:val="-7"/>
        </w:rPr>
        <w:t xml:space="preserve"> </w:t>
      </w:r>
      <w:r w:rsidRPr="002B3F36">
        <w:t>linear</w:t>
      </w:r>
      <w:r w:rsidRPr="002B3F36">
        <w:rPr>
          <w:spacing w:val="-7"/>
        </w:rPr>
        <w:t xml:space="preserve"> </w:t>
      </w:r>
      <w:r w:rsidRPr="002B3F36">
        <w:t xml:space="preserve">infrastructure </w:t>
      </w:r>
      <w:r w:rsidRPr="002B3F36">
        <w:rPr>
          <w:spacing w:val="-2"/>
        </w:rPr>
        <w:t>projects.</w:t>
      </w:r>
    </w:p>
    <w:p w14:paraId="32A2BD04" w14:textId="77777777" w:rsidR="00F61F8E" w:rsidRPr="002B3F36" w:rsidRDefault="000F264B">
      <w:pPr>
        <w:pStyle w:val="Newbullet"/>
      </w:pPr>
      <w:r w:rsidRPr="002B3F36">
        <w:t>World Bank’s (WB)</w:t>
      </w:r>
      <w:r w:rsidRPr="002B3F36">
        <w:rPr>
          <w:spacing w:val="-9"/>
        </w:rPr>
        <w:t xml:space="preserve"> </w:t>
      </w:r>
      <w:r w:rsidRPr="002B3F36">
        <w:t>Performance</w:t>
      </w:r>
      <w:r w:rsidRPr="002B3F36">
        <w:rPr>
          <w:spacing w:val="-12"/>
        </w:rPr>
        <w:t xml:space="preserve"> </w:t>
      </w:r>
      <w:r w:rsidRPr="002B3F36">
        <w:t>Standards</w:t>
      </w:r>
      <w:r w:rsidRPr="002B3F36">
        <w:rPr>
          <w:spacing w:val="-13"/>
        </w:rPr>
        <w:t xml:space="preserve"> </w:t>
      </w:r>
      <w:r w:rsidRPr="002B3F36">
        <w:t>(PS)</w:t>
      </w:r>
      <w:r w:rsidRPr="002B3F36">
        <w:rPr>
          <w:spacing w:val="-10"/>
        </w:rPr>
        <w:t xml:space="preserve"> </w:t>
      </w:r>
      <w:r w:rsidRPr="002B3F36">
        <w:rPr>
          <w:spacing w:val="-2"/>
        </w:rPr>
        <w:t>(2012).</w:t>
      </w:r>
    </w:p>
    <w:p w14:paraId="283A1015" w14:textId="77777777" w:rsidR="00F61F8E" w:rsidRPr="002B3F36" w:rsidRDefault="000F264B">
      <w:pPr>
        <w:pStyle w:val="Newbullet"/>
      </w:pPr>
      <w:r w:rsidRPr="002B3F36">
        <w:t>World</w:t>
      </w:r>
      <w:r w:rsidRPr="002B3F36">
        <w:rPr>
          <w:spacing w:val="-4"/>
        </w:rPr>
        <w:t xml:space="preserve"> </w:t>
      </w:r>
      <w:r w:rsidRPr="002B3F36">
        <w:t>Bank</w:t>
      </w:r>
      <w:r w:rsidRPr="002B3F36">
        <w:rPr>
          <w:spacing w:val="-5"/>
        </w:rPr>
        <w:t xml:space="preserve"> </w:t>
      </w:r>
      <w:r w:rsidRPr="002B3F36">
        <w:t>Group</w:t>
      </w:r>
      <w:r w:rsidRPr="002B3F36">
        <w:rPr>
          <w:spacing w:val="-6"/>
        </w:rPr>
        <w:t xml:space="preserve"> </w:t>
      </w:r>
      <w:r w:rsidRPr="002B3F36">
        <w:t>(WBG)</w:t>
      </w:r>
      <w:r w:rsidRPr="002B3F36">
        <w:rPr>
          <w:spacing w:val="-6"/>
        </w:rPr>
        <w:t xml:space="preserve"> </w:t>
      </w:r>
      <w:r w:rsidRPr="002B3F36">
        <w:t>General</w:t>
      </w:r>
      <w:r w:rsidRPr="002B3F36">
        <w:rPr>
          <w:spacing w:val="-6"/>
        </w:rPr>
        <w:t xml:space="preserve"> </w:t>
      </w:r>
      <w:r w:rsidRPr="002B3F36">
        <w:t>Environmental,</w:t>
      </w:r>
      <w:r w:rsidRPr="002B3F36">
        <w:rPr>
          <w:spacing w:val="-8"/>
        </w:rPr>
        <w:t xml:space="preserve"> </w:t>
      </w:r>
      <w:r w:rsidRPr="002B3F36">
        <w:t>Health,</w:t>
      </w:r>
      <w:r w:rsidRPr="002B3F36">
        <w:rPr>
          <w:spacing w:val="-8"/>
        </w:rPr>
        <w:t xml:space="preserve"> </w:t>
      </w:r>
      <w:r w:rsidRPr="002B3F36">
        <w:t>and</w:t>
      </w:r>
      <w:r w:rsidRPr="002B3F36">
        <w:rPr>
          <w:spacing w:val="-6"/>
        </w:rPr>
        <w:t xml:space="preserve"> </w:t>
      </w:r>
      <w:r w:rsidRPr="002B3F36">
        <w:t>Safety</w:t>
      </w:r>
      <w:r w:rsidRPr="002B3F36">
        <w:rPr>
          <w:spacing w:val="-7"/>
        </w:rPr>
        <w:t xml:space="preserve"> </w:t>
      </w:r>
      <w:r w:rsidRPr="002B3F36">
        <w:t>(EHS)</w:t>
      </w:r>
      <w:r w:rsidRPr="002B3F36">
        <w:rPr>
          <w:spacing w:val="-4"/>
        </w:rPr>
        <w:t xml:space="preserve"> </w:t>
      </w:r>
      <w:r w:rsidRPr="002B3F36">
        <w:t>Guidelines</w:t>
      </w:r>
      <w:r w:rsidRPr="002B3F36">
        <w:rPr>
          <w:spacing w:val="-5"/>
        </w:rPr>
        <w:t xml:space="preserve"> </w:t>
      </w:r>
      <w:r w:rsidRPr="002B3F36">
        <w:t xml:space="preserve">EHS </w:t>
      </w:r>
      <w:r w:rsidRPr="002B3F36">
        <w:rPr>
          <w:spacing w:val="-2"/>
        </w:rPr>
        <w:t>(2007).</w:t>
      </w:r>
    </w:p>
    <w:p w14:paraId="5687AFFF" w14:textId="77777777" w:rsidR="00F61F8E" w:rsidRPr="002B3F36" w:rsidRDefault="000F264B">
      <w:pPr>
        <w:pStyle w:val="Newbullet"/>
      </w:pPr>
      <w:r w:rsidRPr="002B3F36">
        <w:t>WBG</w:t>
      </w:r>
      <w:r w:rsidRPr="002B3F36">
        <w:rPr>
          <w:spacing w:val="-9"/>
        </w:rPr>
        <w:t xml:space="preserve"> </w:t>
      </w:r>
      <w:r w:rsidRPr="002B3F36">
        <w:t>EHS</w:t>
      </w:r>
      <w:r w:rsidRPr="002B3F36">
        <w:rPr>
          <w:spacing w:val="-8"/>
        </w:rPr>
        <w:t xml:space="preserve"> </w:t>
      </w:r>
      <w:r w:rsidRPr="002B3F36">
        <w:t>Guidelines</w:t>
      </w:r>
      <w:r w:rsidRPr="002B3F36">
        <w:rPr>
          <w:spacing w:val="-8"/>
        </w:rPr>
        <w:t xml:space="preserve"> </w:t>
      </w:r>
      <w:r w:rsidRPr="002B3F36">
        <w:t>for</w:t>
      </w:r>
      <w:r w:rsidRPr="002B3F36">
        <w:rPr>
          <w:spacing w:val="-8"/>
        </w:rPr>
        <w:t xml:space="preserve"> </w:t>
      </w:r>
      <w:r w:rsidRPr="002B3F36">
        <w:t>Railways</w:t>
      </w:r>
      <w:r w:rsidRPr="002B3F36">
        <w:rPr>
          <w:spacing w:val="-9"/>
        </w:rPr>
        <w:t xml:space="preserve"> </w:t>
      </w:r>
      <w:r w:rsidRPr="002B3F36">
        <w:rPr>
          <w:spacing w:val="-2"/>
        </w:rPr>
        <w:t>(2007).</w:t>
      </w:r>
    </w:p>
    <w:p w14:paraId="2E77B695" w14:textId="77777777" w:rsidR="00F61F8E" w:rsidRPr="002B3F36" w:rsidRDefault="000F264B">
      <w:pPr>
        <w:pStyle w:val="Newbullet"/>
      </w:pPr>
      <w:r w:rsidRPr="002B3F36">
        <w:t>WBG</w:t>
      </w:r>
      <w:r w:rsidRPr="002B3F36">
        <w:rPr>
          <w:spacing w:val="-11"/>
        </w:rPr>
        <w:t xml:space="preserve"> </w:t>
      </w:r>
      <w:r w:rsidRPr="002B3F36">
        <w:t>EHS</w:t>
      </w:r>
      <w:r w:rsidRPr="002B3F36">
        <w:rPr>
          <w:spacing w:val="-9"/>
        </w:rPr>
        <w:t xml:space="preserve"> </w:t>
      </w:r>
      <w:r w:rsidRPr="002B3F36">
        <w:t>Guidelines</w:t>
      </w:r>
      <w:r w:rsidRPr="002B3F36">
        <w:rPr>
          <w:spacing w:val="-10"/>
        </w:rPr>
        <w:t xml:space="preserve"> </w:t>
      </w:r>
      <w:r w:rsidRPr="002B3F36">
        <w:t>for</w:t>
      </w:r>
      <w:r w:rsidRPr="002B3F36">
        <w:rPr>
          <w:spacing w:val="-10"/>
        </w:rPr>
        <w:t xml:space="preserve"> </w:t>
      </w:r>
      <w:r w:rsidRPr="002B3F36">
        <w:t>Electric</w:t>
      </w:r>
      <w:r w:rsidRPr="002B3F36">
        <w:rPr>
          <w:spacing w:val="-13"/>
        </w:rPr>
        <w:t xml:space="preserve"> </w:t>
      </w:r>
      <w:r w:rsidRPr="002B3F36">
        <w:t>Power</w:t>
      </w:r>
      <w:r w:rsidRPr="002B3F36">
        <w:rPr>
          <w:spacing w:val="-10"/>
        </w:rPr>
        <w:t xml:space="preserve"> </w:t>
      </w:r>
      <w:r w:rsidRPr="002B3F36">
        <w:t>Transmission</w:t>
      </w:r>
      <w:r w:rsidRPr="002B3F36">
        <w:rPr>
          <w:spacing w:val="-11"/>
        </w:rPr>
        <w:t xml:space="preserve"> </w:t>
      </w:r>
      <w:r w:rsidRPr="002B3F36">
        <w:t>and</w:t>
      </w:r>
      <w:r w:rsidRPr="002B3F36">
        <w:rPr>
          <w:spacing w:val="-11"/>
        </w:rPr>
        <w:t xml:space="preserve"> </w:t>
      </w:r>
      <w:r w:rsidRPr="002B3F36">
        <w:t>Distribution</w:t>
      </w:r>
      <w:r w:rsidRPr="002B3F36">
        <w:rPr>
          <w:spacing w:val="-11"/>
        </w:rPr>
        <w:t xml:space="preserve"> </w:t>
      </w:r>
      <w:r w:rsidRPr="002B3F36">
        <w:rPr>
          <w:spacing w:val="-2"/>
        </w:rPr>
        <w:t>(2007).</w:t>
      </w:r>
    </w:p>
    <w:p w14:paraId="41A45004" w14:textId="77777777" w:rsidR="00F61F8E" w:rsidRPr="002B3F36" w:rsidRDefault="000F264B">
      <w:pPr>
        <w:pStyle w:val="Newbullet"/>
      </w:pPr>
      <w:r w:rsidRPr="002B3F36">
        <w:t>WBG</w:t>
      </w:r>
      <w:r w:rsidRPr="002B3F36">
        <w:rPr>
          <w:spacing w:val="-10"/>
        </w:rPr>
        <w:t xml:space="preserve"> </w:t>
      </w:r>
      <w:r w:rsidRPr="002B3F36">
        <w:t>EHS</w:t>
      </w:r>
      <w:r w:rsidRPr="002B3F36">
        <w:rPr>
          <w:spacing w:val="-7"/>
        </w:rPr>
        <w:t xml:space="preserve"> </w:t>
      </w:r>
      <w:r w:rsidRPr="002B3F36">
        <w:t>Guidelines</w:t>
      </w:r>
      <w:r w:rsidRPr="002B3F36">
        <w:rPr>
          <w:spacing w:val="-9"/>
        </w:rPr>
        <w:t xml:space="preserve"> </w:t>
      </w:r>
      <w:r w:rsidRPr="002B3F36">
        <w:t>for</w:t>
      </w:r>
      <w:r w:rsidRPr="002B3F36">
        <w:rPr>
          <w:spacing w:val="-8"/>
        </w:rPr>
        <w:t xml:space="preserve"> </w:t>
      </w:r>
      <w:r w:rsidRPr="002B3F36">
        <w:t>Construction</w:t>
      </w:r>
      <w:r w:rsidRPr="002B3F36">
        <w:rPr>
          <w:spacing w:val="-10"/>
        </w:rPr>
        <w:t xml:space="preserve"> </w:t>
      </w:r>
      <w:r w:rsidRPr="002B3F36">
        <w:t>Materials</w:t>
      </w:r>
      <w:r w:rsidRPr="002B3F36">
        <w:rPr>
          <w:spacing w:val="-8"/>
        </w:rPr>
        <w:t xml:space="preserve"> </w:t>
      </w:r>
      <w:r w:rsidRPr="002B3F36">
        <w:t>Extraction</w:t>
      </w:r>
      <w:r w:rsidRPr="002B3F36">
        <w:rPr>
          <w:spacing w:val="-10"/>
        </w:rPr>
        <w:t xml:space="preserve"> </w:t>
      </w:r>
      <w:r w:rsidRPr="002B3F36">
        <w:rPr>
          <w:spacing w:val="-2"/>
        </w:rPr>
        <w:t>(2007).</w:t>
      </w:r>
    </w:p>
    <w:p w14:paraId="579E73C8" w14:textId="77777777" w:rsidR="00F61F8E" w:rsidRPr="002B3F36" w:rsidRDefault="000F264B">
      <w:pPr>
        <w:pStyle w:val="Newbullet"/>
      </w:pPr>
      <w:r w:rsidRPr="002B3F36">
        <w:t>IFC</w:t>
      </w:r>
      <w:r w:rsidRPr="002B3F36">
        <w:rPr>
          <w:spacing w:val="-7"/>
        </w:rPr>
        <w:t xml:space="preserve"> </w:t>
      </w:r>
      <w:r w:rsidRPr="002B3F36">
        <w:t>Good</w:t>
      </w:r>
      <w:r w:rsidRPr="002B3F36">
        <w:rPr>
          <w:spacing w:val="-5"/>
        </w:rPr>
        <w:t xml:space="preserve"> </w:t>
      </w:r>
      <w:r w:rsidRPr="002B3F36">
        <w:t>Practice</w:t>
      </w:r>
      <w:r w:rsidRPr="002B3F36">
        <w:rPr>
          <w:spacing w:val="-6"/>
        </w:rPr>
        <w:t xml:space="preserve"> </w:t>
      </w:r>
      <w:r w:rsidRPr="002B3F36">
        <w:t>Handbook</w:t>
      </w:r>
      <w:r w:rsidRPr="002B3F36">
        <w:rPr>
          <w:spacing w:val="-5"/>
        </w:rPr>
        <w:t xml:space="preserve"> </w:t>
      </w:r>
      <w:r w:rsidRPr="002B3F36">
        <w:t>on</w:t>
      </w:r>
      <w:r w:rsidRPr="002B3F36">
        <w:rPr>
          <w:spacing w:val="-4"/>
        </w:rPr>
        <w:t xml:space="preserve"> </w:t>
      </w:r>
      <w:r w:rsidRPr="002B3F36">
        <w:t>Cumulative</w:t>
      </w:r>
      <w:r w:rsidRPr="002B3F36">
        <w:rPr>
          <w:spacing w:val="-8"/>
        </w:rPr>
        <w:t xml:space="preserve"> </w:t>
      </w:r>
      <w:r w:rsidRPr="002B3F36">
        <w:t>Impact</w:t>
      </w:r>
      <w:r w:rsidRPr="002B3F36">
        <w:rPr>
          <w:spacing w:val="-7"/>
        </w:rPr>
        <w:t xml:space="preserve"> </w:t>
      </w:r>
      <w:r w:rsidRPr="002B3F36">
        <w:t>Assessment</w:t>
      </w:r>
      <w:r w:rsidRPr="002B3F36">
        <w:rPr>
          <w:spacing w:val="-6"/>
        </w:rPr>
        <w:t xml:space="preserve"> </w:t>
      </w:r>
      <w:r w:rsidRPr="002B3F36">
        <w:t>and</w:t>
      </w:r>
      <w:r w:rsidRPr="002B3F36">
        <w:rPr>
          <w:spacing w:val="-6"/>
        </w:rPr>
        <w:t xml:space="preserve"> </w:t>
      </w:r>
      <w:r w:rsidRPr="002B3F36">
        <w:t>Management: Guidance for the Private Sector in Emerging Markets (2013).</w:t>
      </w:r>
    </w:p>
    <w:p w14:paraId="74CCA0AF" w14:textId="77777777" w:rsidR="00F61F8E" w:rsidRPr="002B3F36" w:rsidRDefault="000F264B">
      <w:pPr>
        <w:pStyle w:val="Newbullet"/>
      </w:pPr>
      <w:r w:rsidRPr="002B3F36">
        <w:t>IFC</w:t>
      </w:r>
      <w:r w:rsidRPr="002B3F36">
        <w:rPr>
          <w:spacing w:val="-8"/>
        </w:rPr>
        <w:t xml:space="preserve"> </w:t>
      </w:r>
      <w:r w:rsidRPr="002B3F36">
        <w:t>Good</w:t>
      </w:r>
      <w:r w:rsidRPr="002B3F36">
        <w:rPr>
          <w:spacing w:val="-6"/>
        </w:rPr>
        <w:t xml:space="preserve"> </w:t>
      </w:r>
      <w:r w:rsidRPr="002B3F36">
        <w:t>Practice</w:t>
      </w:r>
      <w:r w:rsidRPr="002B3F36">
        <w:rPr>
          <w:spacing w:val="-7"/>
        </w:rPr>
        <w:t xml:space="preserve"> </w:t>
      </w:r>
      <w:r w:rsidRPr="002B3F36">
        <w:t>Note:</w:t>
      </w:r>
      <w:r w:rsidRPr="002B3F36">
        <w:rPr>
          <w:spacing w:val="-5"/>
        </w:rPr>
        <w:t xml:space="preserve"> </w:t>
      </w:r>
      <w:r w:rsidRPr="002B3F36">
        <w:t>Managing</w:t>
      </w:r>
      <w:r w:rsidRPr="002B3F36">
        <w:rPr>
          <w:spacing w:val="-7"/>
        </w:rPr>
        <w:t xml:space="preserve"> </w:t>
      </w:r>
      <w:r w:rsidRPr="002B3F36">
        <w:t>Contractors’</w:t>
      </w:r>
      <w:r w:rsidRPr="002B3F36">
        <w:rPr>
          <w:spacing w:val="-7"/>
        </w:rPr>
        <w:t xml:space="preserve"> </w:t>
      </w:r>
      <w:r w:rsidRPr="002B3F36">
        <w:t>Environmental</w:t>
      </w:r>
      <w:r w:rsidRPr="002B3F36">
        <w:rPr>
          <w:spacing w:val="-7"/>
        </w:rPr>
        <w:t xml:space="preserve"> </w:t>
      </w:r>
      <w:r w:rsidRPr="002B3F36">
        <w:t>and</w:t>
      </w:r>
      <w:r w:rsidRPr="002B3F36">
        <w:rPr>
          <w:spacing w:val="-7"/>
        </w:rPr>
        <w:t xml:space="preserve"> </w:t>
      </w:r>
      <w:r w:rsidRPr="002B3F36">
        <w:t>Social</w:t>
      </w:r>
      <w:r w:rsidRPr="002B3F36">
        <w:rPr>
          <w:spacing w:val="-7"/>
        </w:rPr>
        <w:t xml:space="preserve"> </w:t>
      </w:r>
      <w:r w:rsidRPr="002B3F36">
        <w:t xml:space="preserve">Performance </w:t>
      </w:r>
      <w:r w:rsidRPr="002B3F36">
        <w:rPr>
          <w:spacing w:val="-2"/>
        </w:rPr>
        <w:t>(2017).</w:t>
      </w:r>
    </w:p>
    <w:p w14:paraId="693D6264" w14:textId="77777777" w:rsidR="00F61F8E" w:rsidRPr="002B3F36" w:rsidRDefault="000F264B">
      <w:pPr>
        <w:pStyle w:val="Newbullet"/>
      </w:pPr>
      <w:r w:rsidRPr="002B3F36">
        <w:t>All</w:t>
      </w:r>
      <w:r w:rsidRPr="002B3F36">
        <w:rPr>
          <w:spacing w:val="-7"/>
        </w:rPr>
        <w:t xml:space="preserve"> </w:t>
      </w:r>
      <w:r w:rsidRPr="002B3F36">
        <w:t>International</w:t>
      </w:r>
      <w:r w:rsidRPr="002B3F36">
        <w:rPr>
          <w:spacing w:val="-7"/>
        </w:rPr>
        <w:t xml:space="preserve"> </w:t>
      </w:r>
      <w:r w:rsidRPr="002B3F36">
        <w:t>Labour</w:t>
      </w:r>
      <w:r w:rsidRPr="002B3F36">
        <w:rPr>
          <w:spacing w:val="-7"/>
        </w:rPr>
        <w:t xml:space="preserve"> </w:t>
      </w:r>
      <w:r w:rsidRPr="002B3F36">
        <w:t>Organisation</w:t>
      </w:r>
      <w:r w:rsidRPr="002B3F36">
        <w:rPr>
          <w:spacing w:val="-7"/>
        </w:rPr>
        <w:t xml:space="preserve"> </w:t>
      </w:r>
      <w:r w:rsidRPr="002B3F36">
        <w:t>(ILO)</w:t>
      </w:r>
      <w:r w:rsidRPr="002B3F36">
        <w:rPr>
          <w:spacing w:val="-7"/>
        </w:rPr>
        <w:t xml:space="preserve"> </w:t>
      </w:r>
      <w:r w:rsidRPr="002B3F36">
        <w:t>conventions</w:t>
      </w:r>
      <w:r w:rsidRPr="002B3F36">
        <w:rPr>
          <w:spacing w:val="-6"/>
        </w:rPr>
        <w:t xml:space="preserve"> </w:t>
      </w:r>
      <w:r w:rsidRPr="002B3F36">
        <w:t>signed</w:t>
      </w:r>
      <w:r w:rsidRPr="002B3F36">
        <w:rPr>
          <w:spacing w:val="-7"/>
        </w:rPr>
        <w:t xml:space="preserve"> </w:t>
      </w:r>
      <w:r w:rsidRPr="002B3F36">
        <w:t>and</w:t>
      </w:r>
      <w:r w:rsidRPr="002B3F36">
        <w:rPr>
          <w:spacing w:val="-7"/>
        </w:rPr>
        <w:t xml:space="preserve"> </w:t>
      </w:r>
      <w:r w:rsidRPr="002B3F36">
        <w:t>ratified</w:t>
      </w:r>
      <w:r w:rsidRPr="002B3F36">
        <w:rPr>
          <w:spacing w:val="-7"/>
        </w:rPr>
        <w:t xml:space="preserve"> </w:t>
      </w:r>
      <w:r w:rsidRPr="002B3F36">
        <w:t>by</w:t>
      </w:r>
      <w:r w:rsidRPr="002B3F36">
        <w:rPr>
          <w:spacing w:val="-6"/>
        </w:rPr>
        <w:t xml:space="preserve"> </w:t>
      </w:r>
      <w:r w:rsidRPr="002B3F36">
        <w:t>Kazakhstan, all ILO conventions covering core Labour standards and all ILO conventions covering the basic terms and conditions of employment.</w:t>
      </w:r>
    </w:p>
    <w:p w14:paraId="72F48A3D" w14:textId="77777777" w:rsidR="00F61F8E" w:rsidRPr="002B3F36" w:rsidRDefault="000F264B">
      <w:pPr>
        <w:pStyle w:val="Newbullet"/>
      </w:pPr>
      <w:r w:rsidRPr="002B3F36">
        <w:t>IFC</w:t>
      </w:r>
      <w:r w:rsidRPr="002B3F36">
        <w:rPr>
          <w:spacing w:val="-7"/>
        </w:rPr>
        <w:t xml:space="preserve"> </w:t>
      </w:r>
      <w:r w:rsidRPr="002B3F36">
        <w:t>/</w:t>
      </w:r>
      <w:r w:rsidRPr="002B3F36">
        <w:rPr>
          <w:spacing w:val="-7"/>
        </w:rPr>
        <w:t xml:space="preserve"> </w:t>
      </w:r>
      <w:r w:rsidRPr="002B3F36">
        <w:t>European</w:t>
      </w:r>
      <w:r w:rsidRPr="002B3F36">
        <w:rPr>
          <w:spacing w:val="-5"/>
        </w:rPr>
        <w:t xml:space="preserve"> </w:t>
      </w:r>
      <w:r w:rsidRPr="002B3F36">
        <w:t>Bank</w:t>
      </w:r>
      <w:r w:rsidRPr="002B3F36">
        <w:rPr>
          <w:spacing w:val="-5"/>
        </w:rPr>
        <w:t xml:space="preserve"> </w:t>
      </w:r>
      <w:r w:rsidRPr="002B3F36">
        <w:t>for</w:t>
      </w:r>
      <w:r w:rsidRPr="002B3F36">
        <w:rPr>
          <w:spacing w:val="-5"/>
        </w:rPr>
        <w:t xml:space="preserve"> </w:t>
      </w:r>
      <w:r w:rsidRPr="002B3F36">
        <w:t>Reconstruction</w:t>
      </w:r>
      <w:r w:rsidRPr="002B3F36">
        <w:rPr>
          <w:spacing w:val="-6"/>
        </w:rPr>
        <w:t xml:space="preserve"> </w:t>
      </w:r>
      <w:r w:rsidRPr="002B3F36">
        <w:t>and</w:t>
      </w:r>
      <w:r w:rsidRPr="002B3F36">
        <w:rPr>
          <w:spacing w:val="-6"/>
        </w:rPr>
        <w:t xml:space="preserve"> </w:t>
      </w:r>
      <w:r w:rsidRPr="002B3F36">
        <w:t>Development</w:t>
      </w:r>
      <w:r w:rsidRPr="002B3F36">
        <w:rPr>
          <w:spacing w:val="-6"/>
        </w:rPr>
        <w:t xml:space="preserve"> </w:t>
      </w:r>
      <w:r w:rsidRPr="002B3F36">
        <w:t>(EBRD)</w:t>
      </w:r>
      <w:r w:rsidRPr="002B3F36">
        <w:rPr>
          <w:spacing w:val="-5"/>
        </w:rPr>
        <w:t xml:space="preserve"> </w:t>
      </w:r>
      <w:r w:rsidRPr="002B3F36">
        <w:t>Guidance</w:t>
      </w:r>
      <w:r w:rsidRPr="002B3F36">
        <w:rPr>
          <w:spacing w:val="-7"/>
        </w:rPr>
        <w:t xml:space="preserve"> </w:t>
      </w:r>
      <w:r w:rsidRPr="002B3F36">
        <w:t>on</w:t>
      </w:r>
      <w:r w:rsidRPr="002B3F36">
        <w:rPr>
          <w:spacing w:val="-6"/>
        </w:rPr>
        <w:t xml:space="preserve"> </w:t>
      </w:r>
      <w:r w:rsidRPr="002B3F36">
        <w:t>Worker Accommodation (2009).</w:t>
      </w:r>
    </w:p>
    <w:p w14:paraId="2A68464A" w14:textId="77777777" w:rsidR="00F61F8E" w:rsidRPr="002B3F36" w:rsidRDefault="000F264B">
      <w:pPr>
        <w:pStyle w:val="Newbullet"/>
      </w:pPr>
      <w:r w:rsidRPr="002B3F36">
        <w:t>The</w:t>
      </w:r>
      <w:r w:rsidRPr="002B3F36">
        <w:rPr>
          <w:spacing w:val="-8"/>
        </w:rPr>
        <w:t xml:space="preserve"> </w:t>
      </w:r>
      <w:r w:rsidRPr="002B3F36">
        <w:t>Non-Technical</w:t>
      </w:r>
      <w:r w:rsidRPr="002B3F36">
        <w:rPr>
          <w:spacing w:val="-7"/>
        </w:rPr>
        <w:t xml:space="preserve"> </w:t>
      </w:r>
      <w:r w:rsidRPr="002B3F36">
        <w:t>Summary</w:t>
      </w:r>
      <w:r w:rsidRPr="002B3F36">
        <w:rPr>
          <w:spacing w:val="-5"/>
        </w:rPr>
        <w:t xml:space="preserve"> </w:t>
      </w:r>
      <w:r w:rsidRPr="002B3F36">
        <w:t>will</w:t>
      </w:r>
      <w:r w:rsidRPr="002B3F36">
        <w:rPr>
          <w:spacing w:val="-6"/>
        </w:rPr>
        <w:t xml:space="preserve"> </w:t>
      </w:r>
      <w:r w:rsidRPr="002B3F36">
        <w:t>be</w:t>
      </w:r>
      <w:r w:rsidRPr="002B3F36">
        <w:rPr>
          <w:spacing w:val="-8"/>
        </w:rPr>
        <w:t xml:space="preserve"> </w:t>
      </w:r>
      <w:r w:rsidRPr="002B3F36">
        <w:t>provided</w:t>
      </w:r>
      <w:r w:rsidRPr="002B3F36">
        <w:rPr>
          <w:spacing w:val="-6"/>
        </w:rPr>
        <w:t xml:space="preserve"> </w:t>
      </w:r>
      <w:r w:rsidRPr="002B3F36">
        <w:t>in</w:t>
      </w:r>
      <w:r w:rsidRPr="002B3F36">
        <w:rPr>
          <w:spacing w:val="-5"/>
        </w:rPr>
        <w:t xml:space="preserve"> </w:t>
      </w:r>
      <w:r w:rsidRPr="002B3F36">
        <w:t>a</w:t>
      </w:r>
      <w:r w:rsidRPr="002B3F36">
        <w:rPr>
          <w:spacing w:val="-7"/>
        </w:rPr>
        <w:t xml:space="preserve"> </w:t>
      </w:r>
      <w:r w:rsidRPr="002B3F36">
        <w:t>separate</w:t>
      </w:r>
      <w:r w:rsidRPr="002B3F36">
        <w:rPr>
          <w:spacing w:val="-6"/>
        </w:rPr>
        <w:t xml:space="preserve"> </w:t>
      </w:r>
      <w:r w:rsidRPr="002B3F36">
        <w:t>report</w:t>
      </w:r>
      <w:r w:rsidRPr="002B3F36">
        <w:rPr>
          <w:spacing w:val="-6"/>
        </w:rPr>
        <w:t xml:space="preserve"> </w:t>
      </w:r>
      <w:r w:rsidRPr="002B3F36">
        <w:t>to</w:t>
      </w:r>
      <w:r w:rsidRPr="002B3F36">
        <w:rPr>
          <w:spacing w:val="-5"/>
        </w:rPr>
        <w:t xml:space="preserve"> </w:t>
      </w:r>
      <w:r w:rsidRPr="002B3F36">
        <w:t>explain</w:t>
      </w:r>
      <w:r w:rsidRPr="002B3F36">
        <w:rPr>
          <w:spacing w:val="-6"/>
        </w:rPr>
        <w:t xml:space="preserve"> </w:t>
      </w:r>
      <w:r w:rsidRPr="002B3F36">
        <w:t>the</w:t>
      </w:r>
      <w:r w:rsidRPr="002B3F36">
        <w:rPr>
          <w:spacing w:val="-8"/>
        </w:rPr>
        <w:t xml:space="preserve"> </w:t>
      </w:r>
      <w:r w:rsidRPr="002B3F36">
        <w:t>key</w:t>
      </w:r>
      <w:r w:rsidRPr="002B3F36">
        <w:rPr>
          <w:spacing w:val="-7"/>
        </w:rPr>
        <w:t xml:space="preserve"> </w:t>
      </w:r>
      <w:r w:rsidRPr="002B3F36">
        <w:t>points</w:t>
      </w:r>
      <w:r w:rsidRPr="002B3F36">
        <w:rPr>
          <w:spacing w:val="-8"/>
        </w:rPr>
        <w:t xml:space="preserve"> </w:t>
      </w:r>
      <w:r w:rsidRPr="002B3F36">
        <w:t>of the ESIA.</w:t>
      </w:r>
    </w:p>
    <w:p w14:paraId="7D5D4FBC" w14:textId="77777777" w:rsidR="00F61F8E" w:rsidRPr="002B3F36" w:rsidRDefault="00F61F8E">
      <w:pPr>
        <w:pStyle w:val="ReportBodyPar"/>
      </w:pPr>
    </w:p>
    <w:p w14:paraId="7FC8CABE" w14:textId="77777777" w:rsidR="00F61F8E" w:rsidRPr="002B3F36" w:rsidRDefault="000F264B">
      <w:pPr>
        <w:pStyle w:val="20"/>
      </w:pPr>
      <w:bookmarkStart w:id="643" w:name="_bookmark66"/>
      <w:bookmarkStart w:id="644" w:name="_Toc169094712"/>
      <w:bookmarkStart w:id="645" w:name="_Toc208973742"/>
      <w:bookmarkStart w:id="646" w:name="_Toc208973942"/>
      <w:bookmarkStart w:id="647" w:name="_Toc208974142"/>
      <w:bookmarkStart w:id="648" w:name="_Toc208974344"/>
      <w:bookmarkStart w:id="649" w:name="_Toc208974552"/>
      <w:bookmarkStart w:id="650" w:name="_Toc210589418"/>
      <w:bookmarkEnd w:id="643"/>
      <w:r w:rsidRPr="002B3F36">
        <w:t>Basic Environmental Laws of the Republic of Kazakhstan</w:t>
      </w:r>
      <w:bookmarkEnd w:id="644"/>
      <w:bookmarkEnd w:id="645"/>
      <w:bookmarkEnd w:id="646"/>
      <w:bookmarkEnd w:id="647"/>
      <w:bookmarkEnd w:id="648"/>
      <w:bookmarkEnd w:id="649"/>
      <w:bookmarkEnd w:id="650"/>
    </w:p>
    <w:p w14:paraId="5516C725" w14:textId="77777777" w:rsidR="00F61F8E" w:rsidRPr="002B3F36" w:rsidRDefault="000F264B" w:rsidP="00DC2DBA">
      <w:pPr>
        <w:pStyle w:val="ReportBodyPar"/>
        <w:rPr>
          <w:shd w:val="clear" w:color="auto" w:fill="FFFFFF"/>
        </w:rPr>
      </w:pPr>
      <w:r w:rsidRPr="002B3F36">
        <w:rPr>
          <w:shd w:val="clear" w:color="auto" w:fill="FFFFFF"/>
        </w:rPr>
        <w:t xml:space="preserve">Environmental legislation of the Republic of Kazakhstan is based on </w:t>
      </w:r>
      <w:r w:rsidRPr="002B3F36">
        <w:t>the Constitution</w:t>
      </w:r>
      <w:r w:rsidRPr="002B3F36">
        <w:rPr>
          <w:rStyle w:val="aff6"/>
          <w:color w:val="073A5E"/>
          <w:spacing w:val="2"/>
          <w:shd w:val="clear" w:color="auto" w:fill="FFFFFF"/>
        </w:rPr>
        <w:t xml:space="preserve"> </w:t>
      </w:r>
      <w:r w:rsidRPr="002B3F36">
        <w:rPr>
          <w:shd w:val="clear" w:color="auto" w:fill="FFFFFF"/>
        </w:rPr>
        <w:t xml:space="preserve">of the country as embodied in Article 31, which states that: “The state shall aim to protect the environment in favour of human life and health.” Article 61, (provision 3, no. 3) also states that the “Parliament shall have the right to issue laws that regulate the most important public relations and establish fundamental principles and standards relating to Environmental protection. </w:t>
      </w:r>
    </w:p>
    <w:p w14:paraId="65E2B479" w14:textId="77777777" w:rsidR="00F61F8E" w:rsidRPr="002B3F36" w:rsidRDefault="00F61F8E" w:rsidP="00DC2DBA">
      <w:pPr>
        <w:pStyle w:val="ReportBodyPar"/>
        <w:rPr>
          <w:shd w:val="clear" w:color="auto" w:fill="FFFFFF"/>
        </w:rPr>
      </w:pPr>
    </w:p>
    <w:p w14:paraId="45328496" w14:textId="77777777" w:rsidR="00F61F8E" w:rsidRPr="002B3F36" w:rsidRDefault="000F264B" w:rsidP="00DC2DBA">
      <w:pPr>
        <w:pStyle w:val="ReportBodyPar"/>
      </w:pPr>
      <w:r w:rsidRPr="002B3F36">
        <w:rPr>
          <w:shd w:val="clear" w:color="auto" w:fill="FFFFFF"/>
        </w:rPr>
        <w:t>Accordingly, the Environmental Code (also translated as the Ecological Code, EcoCode) was promulgated as the legal framework for environmental protection in Kazakhstan, with its latest amended form signed by the Head of State, Kassym-Zhomart Tokayev, on January 2, 2021. Among with the relevant provisions in the EcoCode is the basis for EIA development for all types of activities that can have a direct or indirect impact on the environment or</w:t>
      </w:r>
      <w:r w:rsidRPr="002B3F36">
        <w:t xml:space="preserve"> health of the people.</w:t>
      </w:r>
    </w:p>
    <w:p w14:paraId="3E154748" w14:textId="77777777" w:rsidR="00F61F8E" w:rsidRPr="002B3F36" w:rsidRDefault="00F61F8E">
      <w:pPr>
        <w:pStyle w:val="ReportParagraph"/>
        <w:rPr>
          <w:rFonts w:eastAsia="Calibri"/>
          <w:lang w:eastAsia="ru-RU"/>
        </w:rPr>
      </w:pPr>
    </w:p>
    <w:p w14:paraId="515C785C" w14:textId="77777777" w:rsidR="00F61F8E" w:rsidRPr="002B3F36" w:rsidRDefault="000F264B">
      <w:pPr>
        <w:pStyle w:val="20"/>
        <w:rPr>
          <w:color w:val="auto"/>
        </w:rPr>
      </w:pPr>
      <w:bookmarkStart w:id="651" w:name="_Toc208973743"/>
      <w:bookmarkStart w:id="652" w:name="_Toc208973943"/>
      <w:bookmarkStart w:id="653" w:name="_Toc208974143"/>
      <w:bookmarkStart w:id="654" w:name="_Toc208974345"/>
      <w:bookmarkStart w:id="655" w:name="_Toc208974553"/>
      <w:bookmarkStart w:id="656" w:name="_Toc210589419"/>
      <w:r w:rsidRPr="002B3F36">
        <w:t>Governmental Body for Environmental Management</w:t>
      </w:r>
      <w:bookmarkEnd w:id="651"/>
      <w:bookmarkEnd w:id="652"/>
      <w:bookmarkEnd w:id="653"/>
      <w:bookmarkEnd w:id="654"/>
      <w:bookmarkEnd w:id="655"/>
      <w:bookmarkEnd w:id="656"/>
    </w:p>
    <w:p w14:paraId="63824E24" w14:textId="77777777" w:rsidR="00F61F8E" w:rsidRPr="002B3F36" w:rsidRDefault="000F264B" w:rsidP="00DC2DBA">
      <w:pPr>
        <w:pStyle w:val="ReportBodyPar"/>
        <w:rPr>
          <w:color w:val="000000"/>
        </w:rPr>
      </w:pPr>
      <w:r w:rsidRPr="002B3F36">
        <w:t>State regulation of environmental relations is carried out through the establishment by the state of environmental requirements, mandatory for fulfillment by subjects of relations regulated by this Code, and the use of state regulation instruments in the field of environmental protection in accordance with the EcoCode (Article 31).</w:t>
      </w:r>
    </w:p>
    <w:p w14:paraId="18FCAA6D" w14:textId="77777777" w:rsidR="00F61F8E" w:rsidRPr="002B3F36" w:rsidRDefault="00F61F8E" w:rsidP="00DC2DBA">
      <w:pPr>
        <w:pStyle w:val="ReportBodyPar"/>
        <w:rPr>
          <w:color w:val="000000"/>
        </w:rPr>
      </w:pPr>
    </w:p>
    <w:p w14:paraId="3022C7ED" w14:textId="1DE0E1EC" w:rsidR="00F61F8E" w:rsidRPr="002B3F36" w:rsidRDefault="000F264B" w:rsidP="00DC2DBA">
      <w:pPr>
        <w:pStyle w:val="ReportBodyPar"/>
        <w:rPr>
          <w:color w:val="151515"/>
        </w:rPr>
      </w:pPr>
      <w:r w:rsidRPr="002B3F36">
        <w:rPr>
          <w:color w:val="151515"/>
        </w:rPr>
        <w:t xml:space="preserve">The Ministry of Ecology and Natural Resources of the Republic of Kazakhstan is a government body of the Republic of Kazakhstan that provides leadership in the areas of formation and implementation of state policy, coordination of management processes in the areas of environmental protection, meteorological and hydrological monitoring, development </w:t>
      </w:r>
      <w:r w:rsidRPr="002B3F36">
        <w:rPr>
          <w:color w:val="151515"/>
        </w:rPr>
        <w:lastRenderedPageBreak/>
        <w:t>of the “green economy”, waste management (</w:t>
      </w:r>
      <w:r w:rsidRPr="002B3F36">
        <w:t>except</w:t>
      </w:r>
      <w:r w:rsidRPr="002B3F36">
        <w:rPr>
          <w:color w:val="151515"/>
        </w:rPr>
        <w:t xml:space="preserve"> for medical, biological and radioactive waste), protection, control and supervision of the rational use of natural resources, forestry, protection, reproduction and use of wildlife and specially protected natural areas.</w:t>
      </w:r>
    </w:p>
    <w:p w14:paraId="415CAF02" w14:textId="77777777" w:rsidR="00F61F8E" w:rsidRPr="002B3F36" w:rsidRDefault="00F61F8E" w:rsidP="00DC2DBA">
      <w:pPr>
        <w:pStyle w:val="ReportBodyPar"/>
        <w:rPr>
          <w:color w:val="151515"/>
        </w:rPr>
      </w:pPr>
    </w:p>
    <w:p w14:paraId="1BB2A663" w14:textId="77777777" w:rsidR="00F61F8E" w:rsidRPr="002B3F36" w:rsidRDefault="000F264B" w:rsidP="00DC2DBA">
      <w:pPr>
        <w:pStyle w:val="ReportBodyPar"/>
      </w:pPr>
      <w:r w:rsidRPr="002B3F36">
        <w:rPr>
          <w:color w:val="151515"/>
        </w:rPr>
        <w:t xml:space="preserve">The Ministry has Committees: </w:t>
      </w:r>
      <w:r w:rsidRPr="002B3F36">
        <w:t>Committee for Environmental Regulation and Control of the Ministry of Ecology and Natural Resources of the Republic of Kazakhstan; and Committee of Forestry and Wildlife of the Ministry of Ecology and Natural Resources of the Republic of Kazakhstan.</w:t>
      </w:r>
    </w:p>
    <w:p w14:paraId="2FA5E275" w14:textId="77777777" w:rsidR="00F61F8E" w:rsidRPr="002B3F36" w:rsidRDefault="00F61F8E">
      <w:pPr>
        <w:pStyle w:val="ReportParagraph"/>
      </w:pPr>
    </w:p>
    <w:p w14:paraId="09ED68B7" w14:textId="77777777" w:rsidR="00F61F8E" w:rsidRPr="002B3F36" w:rsidRDefault="000F264B">
      <w:pPr>
        <w:pStyle w:val="20"/>
      </w:pPr>
      <w:bookmarkStart w:id="657" w:name="_Toc208973744"/>
      <w:bookmarkStart w:id="658" w:name="_Toc208973944"/>
      <w:bookmarkStart w:id="659" w:name="_Toc208974144"/>
      <w:bookmarkStart w:id="660" w:name="_Toc208974346"/>
      <w:bookmarkStart w:id="661" w:name="_Toc208974554"/>
      <w:bookmarkStart w:id="662" w:name="_Toc210589420"/>
      <w:r w:rsidRPr="002B3F36">
        <w:t>National Legislation of the Republic of Kazakhstan (Rok)</w:t>
      </w:r>
      <w:bookmarkEnd w:id="657"/>
      <w:bookmarkEnd w:id="658"/>
      <w:bookmarkEnd w:id="659"/>
      <w:bookmarkEnd w:id="660"/>
      <w:bookmarkEnd w:id="661"/>
      <w:bookmarkEnd w:id="662"/>
    </w:p>
    <w:p w14:paraId="73D6EF85" w14:textId="0A881DEF" w:rsidR="00F61F8E" w:rsidRPr="002B3F36" w:rsidRDefault="00F61F8E" w:rsidP="00DC2DBA">
      <w:pPr>
        <w:pStyle w:val="ReportBodyPar"/>
      </w:pPr>
      <w:hyperlink w:anchor="_bookmark67" w:history="1">
        <w:r w:rsidRPr="002B3F36">
          <w:rPr>
            <w:rStyle w:val="ReportParagraphChar"/>
          </w:rPr>
          <w:t>The</w:t>
        </w:r>
      </w:hyperlink>
      <w:r w:rsidR="000F264B" w:rsidRPr="002B3F36">
        <w:rPr>
          <w:rStyle w:val="ReportParagraphChar"/>
        </w:rPr>
        <w:t xml:space="preserve"> Table below provides a summary of the RoK legislation relevant to this Project that has been considered</w:t>
      </w:r>
      <w:r w:rsidR="000F264B" w:rsidRPr="002B3F36">
        <w:rPr>
          <w:spacing w:val="-4"/>
        </w:rPr>
        <w:t xml:space="preserve"> </w:t>
      </w:r>
      <w:r w:rsidR="000F264B" w:rsidRPr="002B3F36">
        <w:t>in</w:t>
      </w:r>
      <w:r w:rsidR="000F264B" w:rsidRPr="002B3F36">
        <w:rPr>
          <w:spacing w:val="-3"/>
        </w:rPr>
        <w:t xml:space="preserve"> </w:t>
      </w:r>
      <w:r w:rsidR="000F264B" w:rsidRPr="002B3F36">
        <w:t>the</w:t>
      </w:r>
      <w:r w:rsidR="000F264B" w:rsidRPr="002B3F36">
        <w:rPr>
          <w:spacing w:val="-2"/>
        </w:rPr>
        <w:t xml:space="preserve"> </w:t>
      </w:r>
      <w:r w:rsidR="000F264B" w:rsidRPr="002B3F36">
        <w:t>ESIA</w:t>
      </w:r>
      <w:r w:rsidR="000F264B" w:rsidRPr="002B3F36">
        <w:rPr>
          <w:spacing w:val="-2"/>
        </w:rPr>
        <w:t xml:space="preserve"> </w:t>
      </w:r>
      <w:r w:rsidR="000F264B" w:rsidRPr="002B3F36">
        <w:t>Report.</w:t>
      </w:r>
      <w:r w:rsidR="000F264B" w:rsidRPr="002B3F36">
        <w:rPr>
          <w:spacing w:val="-3"/>
        </w:rPr>
        <w:t xml:space="preserve"> </w:t>
      </w:r>
      <w:r w:rsidR="000F264B" w:rsidRPr="002B3F36">
        <w:t>It</w:t>
      </w:r>
      <w:r w:rsidR="000F264B" w:rsidRPr="002B3F36">
        <w:rPr>
          <w:spacing w:val="-5"/>
        </w:rPr>
        <w:t xml:space="preserve"> </w:t>
      </w:r>
      <w:r w:rsidR="000F264B" w:rsidRPr="002B3F36">
        <w:t>should</w:t>
      </w:r>
      <w:r w:rsidR="000F264B" w:rsidRPr="002B3F36">
        <w:rPr>
          <w:spacing w:val="-4"/>
        </w:rPr>
        <w:t xml:space="preserve"> </w:t>
      </w:r>
      <w:r w:rsidR="000F264B" w:rsidRPr="002B3F36">
        <w:t>be</w:t>
      </w:r>
      <w:r w:rsidR="000F264B" w:rsidRPr="002B3F36">
        <w:rPr>
          <w:spacing w:val="-6"/>
        </w:rPr>
        <w:t xml:space="preserve"> </w:t>
      </w:r>
      <w:r w:rsidR="000F264B" w:rsidRPr="002B3F36">
        <w:t>acknowledged</w:t>
      </w:r>
      <w:r w:rsidR="000F264B" w:rsidRPr="002B3F36">
        <w:rPr>
          <w:spacing w:val="-4"/>
        </w:rPr>
        <w:t xml:space="preserve"> </w:t>
      </w:r>
      <w:r w:rsidR="000F264B" w:rsidRPr="002B3F36">
        <w:t>that</w:t>
      </w:r>
      <w:r w:rsidR="000F264B" w:rsidRPr="002B3F36">
        <w:rPr>
          <w:spacing w:val="-4"/>
        </w:rPr>
        <w:t xml:space="preserve"> </w:t>
      </w:r>
      <w:r w:rsidR="000F264B" w:rsidRPr="002B3F36">
        <w:t>this</w:t>
      </w:r>
      <w:r w:rsidR="000F264B" w:rsidRPr="002B3F36">
        <w:rPr>
          <w:spacing w:val="-6"/>
        </w:rPr>
        <w:t xml:space="preserve"> </w:t>
      </w:r>
      <w:r w:rsidR="000F264B" w:rsidRPr="002B3F36">
        <w:t>is</w:t>
      </w:r>
      <w:r w:rsidR="000F264B" w:rsidRPr="002B3F36">
        <w:rPr>
          <w:spacing w:val="-6"/>
        </w:rPr>
        <w:t xml:space="preserve"> </w:t>
      </w:r>
      <w:r w:rsidR="000F264B" w:rsidRPr="002B3F36">
        <w:t xml:space="preserve">not exhaustive and further legislation and regulatory measures are provided within each </w:t>
      </w:r>
      <w:r w:rsidR="000F264B" w:rsidRPr="002B3F36">
        <w:rPr>
          <w:spacing w:val="-2"/>
        </w:rPr>
        <w:t xml:space="preserve">assessment. For greater emphasis, these laws are presented under specific concerns as part of </w:t>
      </w:r>
      <w:r w:rsidR="0080772D" w:rsidRPr="002B3F36">
        <w:rPr>
          <w:spacing w:val="-2"/>
        </w:rPr>
        <w:t>the</w:t>
      </w:r>
      <w:r w:rsidR="000F264B" w:rsidRPr="002B3F36">
        <w:rPr>
          <w:spacing w:val="-2"/>
        </w:rPr>
        <w:t xml:space="preserve"> ESIA process.</w:t>
      </w:r>
    </w:p>
    <w:p w14:paraId="17AFC69E" w14:textId="77777777" w:rsidR="00F61F8E" w:rsidRPr="002B3F36" w:rsidRDefault="00F61F8E">
      <w:pPr>
        <w:pStyle w:val="TableCaption"/>
      </w:pPr>
      <w:bookmarkStart w:id="663" w:name="_bookmark67"/>
      <w:bookmarkEnd w:id="663"/>
    </w:p>
    <w:p w14:paraId="76A4AFBB" w14:textId="58B04771" w:rsidR="00F61F8E" w:rsidRPr="002B3F36" w:rsidRDefault="00517A3E" w:rsidP="000E123E">
      <w:pPr>
        <w:pStyle w:val="CaptionTable"/>
      </w:pPr>
      <w:bookmarkStart w:id="664" w:name="_Toc210589552"/>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8</w:t>
      </w:r>
      <w:r w:rsidR="00CF113E" w:rsidRPr="002B3F36">
        <w:fldChar w:fldCharType="end"/>
      </w:r>
      <w:r w:rsidR="000F264B" w:rsidRPr="002B3F36">
        <w:t>: Republic of Kazakhstan Legislation</w:t>
      </w:r>
      <w:bookmarkEnd w:id="664"/>
    </w:p>
    <w:tbl>
      <w:tblPr>
        <w:tblStyle w:val="TableGrid2"/>
        <w:tblW w:w="0" w:type="auto"/>
        <w:tblLayout w:type="fixed"/>
        <w:tblLook w:val="01E0" w:firstRow="1" w:lastRow="1" w:firstColumn="1" w:lastColumn="1" w:noHBand="0" w:noVBand="0"/>
      </w:tblPr>
      <w:tblGrid>
        <w:gridCol w:w="8455"/>
        <w:gridCol w:w="1192"/>
      </w:tblGrid>
      <w:tr w:rsidR="00F61F8E" w:rsidRPr="002B3F36" w14:paraId="6C634602" w14:textId="77777777" w:rsidTr="00F82096">
        <w:trPr>
          <w:trHeight w:val="419"/>
          <w:tblHeader/>
        </w:trPr>
        <w:tc>
          <w:tcPr>
            <w:tcW w:w="8455" w:type="dxa"/>
            <w:shd w:val="clear" w:color="auto" w:fill="F2F2F2" w:themeFill="background1" w:themeFillShade="F2"/>
          </w:tcPr>
          <w:p w14:paraId="26F6A2E1" w14:textId="77777777" w:rsidR="00F61F8E" w:rsidRPr="002B3F36" w:rsidRDefault="000F264B" w:rsidP="00FA38ED">
            <w:pPr>
              <w:pStyle w:val="TableParagraph"/>
              <w:spacing w:before="0"/>
              <w:ind w:left="122"/>
              <w:jc w:val="center"/>
              <w:rPr>
                <w:rFonts w:ascii="Arial" w:hAnsi="Arial" w:cs="Arial"/>
                <w:b/>
                <w:sz w:val="20"/>
                <w:szCs w:val="20"/>
              </w:rPr>
            </w:pPr>
            <w:r w:rsidRPr="002B3F36">
              <w:rPr>
                <w:rFonts w:ascii="Arial" w:hAnsi="Arial" w:cs="Arial"/>
                <w:b/>
                <w:spacing w:val="-2"/>
                <w:sz w:val="20"/>
                <w:szCs w:val="20"/>
              </w:rPr>
              <w:t>Title</w:t>
            </w:r>
          </w:p>
        </w:tc>
        <w:tc>
          <w:tcPr>
            <w:tcW w:w="1192" w:type="dxa"/>
            <w:shd w:val="clear" w:color="auto" w:fill="F2F2F2" w:themeFill="background1" w:themeFillShade="F2"/>
          </w:tcPr>
          <w:p w14:paraId="5ED354A6" w14:textId="77777777" w:rsidR="00F61F8E" w:rsidRPr="002B3F36" w:rsidRDefault="000F264B" w:rsidP="00FA38ED">
            <w:pPr>
              <w:pStyle w:val="TableParagraph"/>
              <w:spacing w:before="0"/>
              <w:ind w:left="0" w:right="16"/>
              <w:jc w:val="center"/>
              <w:rPr>
                <w:rFonts w:ascii="Arial" w:hAnsi="Arial" w:cs="Arial"/>
                <w:b/>
                <w:sz w:val="20"/>
                <w:szCs w:val="20"/>
              </w:rPr>
            </w:pPr>
            <w:r w:rsidRPr="002B3F36">
              <w:rPr>
                <w:rFonts w:ascii="Arial" w:hAnsi="Arial" w:cs="Arial"/>
                <w:b/>
                <w:spacing w:val="-4"/>
                <w:sz w:val="20"/>
                <w:szCs w:val="20"/>
              </w:rPr>
              <w:t>Year</w:t>
            </w:r>
          </w:p>
        </w:tc>
      </w:tr>
      <w:tr w:rsidR="00F61F8E" w:rsidRPr="002B3F36" w14:paraId="4B791F7C" w14:textId="77777777">
        <w:trPr>
          <w:trHeight w:val="412"/>
        </w:trPr>
        <w:tc>
          <w:tcPr>
            <w:tcW w:w="8455" w:type="dxa"/>
          </w:tcPr>
          <w:p w14:paraId="3781B589"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The</w:t>
            </w:r>
            <w:r w:rsidRPr="002B3F36">
              <w:rPr>
                <w:rFonts w:ascii="Arial" w:hAnsi="Arial" w:cs="Arial"/>
                <w:spacing w:val="22"/>
                <w:sz w:val="20"/>
                <w:szCs w:val="20"/>
              </w:rPr>
              <w:t xml:space="preserve"> </w:t>
            </w:r>
            <w:r w:rsidRPr="002B3F36">
              <w:rPr>
                <w:rFonts w:ascii="Arial" w:hAnsi="Arial" w:cs="Arial"/>
                <w:sz w:val="20"/>
                <w:szCs w:val="20"/>
              </w:rPr>
              <w:t>Republic</w:t>
            </w:r>
            <w:r w:rsidRPr="002B3F36">
              <w:rPr>
                <w:rFonts w:ascii="Arial" w:hAnsi="Arial" w:cs="Arial"/>
                <w:spacing w:val="19"/>
                <w:sz w:val="20"/>
                <w:szCs w:val="20"/>
              </w:rPr>
              <w:t xml:space="preserve"> </w:t>
            </w:r>
            <w:r w:rsidRPr="002B3F36">
              <w:rPr>
                <w:rFonts w:ascii="Arial" w:hAnsi="Arial" w:cs="Arial"/>
                <w:sz w:val="20"/>
                <w:szCs w:val="20"/>
              </w:rPr>
              <w:t>of</w:t>
            </w:r>
            <w:r w:rsidRPr="002B3F36">
              <w:rPr>
                <w:rFonts w:ascii="Arial" w:hAnsi="Arial" w:cs="Arial"/>
                <w:spacing w:val="20"/>
                <w:sz w:val="20"/>
                <w:szCs w:val="20"/>
              </w:rPr>
              <w:t xml:space="preserve"> </w:t>
            </w:r>
            <w:r w:rsidRPr="002B3F36">
              <w:rPr>
                <w:rFonts w:ascii="Arial" w:hAnsi="Arial" w:cs="Arial"/>
                <w:sz w:val="20"/>
                <w:szCs w:val="20"/>
              </w:rPr>
              <w:t>Kazakhstan</w:t>
            </w:r>
            <w:r w:rsidRPr="002B3F36">
              <w:rPr>
                <w:rFonts w:ascii="Arial" w:hAnsi="Arial" w:cs="Arial"/>
                <w:spacing w:val="21"/>
                <w:sz w:val="20"/>
                <w:szCs w:val="20"/>
              </w:rPr>
              <w:t xml:space="preserve"> </w:t>
            </w:r>
            <w:r w:rsidRPr="002B3F36">
              <w:rPr>
                <w:rFonts w:ascii="Arial" w:hAnsi="Arial" w:cs="Arial"/>
                <w:spacing w:val="-2"/>
                <w:sz w:val="20"/>
                <w:szCs w:val="20"/>
              </w:rPr>
              <w:t>Constitution</w:t>
            </w:r>
          </w:p>
        </w:tc>
        <w:tc>
          <w:tcPr>
            <w:tcW w:w="1192" w:type="dxa"/>
          </w:tcPr>
          <w:p w14:paraId="061E1786"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2022</w:t>
            </w:r>
          </w:p>
        </w:tc>
      </w:tr>
      <w:tr w:rsidR="00F61F8E" w:rsidRPr="002B3F36" w14:paraId="2B5ED173" w14:textId="77777777">
        <w:trPr>
          <w:trHeight w:val="419"/>
        </w:trPr>
        <w:tc>
          <w:tcPr>
            <w:tcW w:w="8455" w:type="dxa"/>
          </w:tcPr>
          <w:p w14:paraId="00B9AD8B"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Environmental</w:t>
            </w:r>
            <w:r w:rsidRPr="002B3F36">
              <w:rPr>
                <w:rFonts w:ascii="Arial" w:hAnsi="Arial" w:cs="Arial"/>
                <w:spacing w:val="23"/>
                <w:sz w:val="20"/>
                <w:szCs w:val="20"/>
              </w:rPr>
              <w:t xml:space="preserve"> </w:t>
            </w:r>
            <w:r w:rsidRPr="002B3F36">
              <w:rPr>
                <w:rFonts w:ascii="Arial" w:hAnsi="Arial" w:cs="Arial"/>
                <w:sz w:val="20"/>
                <w:szCs w:val="20"/>
              </w:rPr>
              <w:t>Code</w:t>
            </w:r>
            <w:r w:rsidRPr="002B3F36">
              <w:rPr>
                <w:rFonts w:ascii="Arial" w:hAnsi="Arial" w:cs="Arial"/>
                <w:spacing w:val="19"/>
                <w:sz w:val="20"/>
                <w:szCs w:val="20"/>
              </w:rPr>
              <w:t xml:space="preserve"> </w:t>
            </w:r>
            <w:r w:rsidRPr="002B3F36">
              <w:rPr>
                <w:rFonts w:ascii="Arial" w:hAnsi="Arial" w:cs="Arial"/>
                <w:sz w:val="20"/>
                <w:szCs w:val="20"/>
              </w:rPr>
              <w:t>of</w:t>
            </w:r>
            <w:r w:rsidRPr="002B3F36">
              <w:rPr>
                <w:rFonts w:ascii="Arial" w:hAnsi="Arial" w:cs="Arial"/>
                <w:spacing w:val="21"/>
                <w:sz w:val="20"/>
                <w:szCs w:val="20"/>
              </w:rPr>
              <w:t xml:space="preserve"> </w:t>
            </w:r>
            <w:r w:rsidRPr="002B3F36">
              <w:rPr>
                <w:rFonts w:ascii="Arial" w:hAnsi="Arial" w:cs="Arial"/>
                <w:sz w:val="20"/>
                <w:szCs w:val="20"/>
              </w:rPr>
              <w:t>the</w:t>
            </w:r>
            <w:r w:rsidRPr="002B3F36">
              <w:rPr>
                <w:rFonts w:ascii="Arial" w:hAnsi="Arial" w:cs="Arial"/>
                <w:spacing w:val="23"/>
                <w:sz w:val="20"/>
                <w:szCs w:val="20"/>
              </w:rPr>
              <w:t xml:space="preserve"> </w:t>
            </w:r>
            <w:r w:rsidRPr="002B3F36">
              <w:rPr>
                <w:rFonts w:ascii="Arial" w:hAnsi="Arial" w:cs="Arial"/>
                <w:sz w:val="20"/>
                <w:szCs w:val="20"/>
              </w:rPr>
              <w:t>Republic</w:t>
            </w:r>
            <w:r w:rsidRPr="002B3F36">
              <w:rPr>
                <w:rFonts w:ascii="Arial" w:hAnsi="Arial" w:cs="Arial"/>
                <w:spacing w:val="19"/>
                <w:sz w:val="20"/>
                <w:szCs w:val="20"/>
              </w:rPr>
              <w:t xml:space="preserve"> </w:t>
            </w:r>
            <w:r w:rsidRPr="002B3F36">
              <w:rPr>
                <w:rFonts w:ascii="Arial" w:hAnsi="Arial" w:cs="Arial"/>
                <w:sz w:val="20"/>
                <w:szCs w:val="20"/>
              </w:rPr>
              <w:t>of</w:t>
            </w:r>
            <w:r w:rsidRPr="002B3F36">
              <w:rPr>
                <w:rFonts w:ascii="Arial" w:hAnsi="Arial" w:cs="Arial"/>
                <w:spacing w:val="21"/>
                <w:sz w:val="20"/>
                <w:szCs w:val="20"/>
              </w:rPr>
              <w:t xml:space="preserve"> </w:t>
            </w:r>
            <w:r w:rsidRPr="002B3F36">
              <w:rPr>
                <w:rFonts w:ascii="Arial" w:hAnsi="Arial" w:cs="Arial"/>
                <w:spacing w:val="-2"/>
                <w:sz w:val="20"/>
                <w:szCs w:val="20"/>
              </w:rPr>
              <w:t>Kazakhstan</w:t>
            </w:r>
          </w:p>
        </w:tc>
        <w:tc>
          <w:tcPr>
            <w:tcW w:w="1192" w:type="dxa"/>
          </w:tcPr>
          <w:p w14:paraId="6E436AA3"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2021</w:t>
            </w:r>
          </w:p>
        </w:tc>
      </w:tr>
      <w:tr w:rsidR="00F61F8E" w:rsidRPr="002B3F36" w14:paraId="50A94CA3" w14:textId="77777777">
        <w:trPr>
          <w:trHeight w:val="413"/>
        </w:trPr>
        <w:tc>
          <w:tcPr>
            <w:tcW w:w="8455" w:type="dxa"/>
          </w:tcPr>
          <w:p w14:paraId="6F95ECE2"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Labour</w:t>
            </w:r>
            <w:r w:rsidRPr="002B3F36">
              <w:rPr>
                <w:rFonts w:ascii="Arial" w:hAnsi="Arial" w:cs="Arial"/>
                <w:spacing w:val="18"/>
                <w:sz w:val="20"/>
                <w:szCs w:val="20"/>
              </w:rPr>
              <w:t xml:space="preserve"> </w:t>
            </w:r>
            <w:r w:rsidRPr="002B3F36">
              <w:rPr>
                <w:rFonts w:ascii="Arial" w:hAnsi="Arial" w:cs="Arial"/>
                <w:sz w:val="20"/>
                <w:szCs w:val="20"/>
              </w:rPr>
              <w:t>Code</w:t>
            </w:r>
            <w:r w:rsidRPr="002B3F36">
              <w:rPr>
                <w:rFonts w:ascii="Arial" w:hAnsi="Arial" w:cs="Arial"/>
                <w:spacing w:val="17"/>
                <w:sz w:val="20"/>
                <w:szCs w:val="20"/>
              </w:rPr>
              <w:t xml:space="preserve"> </w:t>
            </w:r>
            <w:r w:rsidRPr="002B3F36">
              <w:rPr>
                <w:rFonts w:ascii="Arial" w:hAnsi="Arial" w:cs="Arial"/>
                <w:sz w:val="20"/>
                <w:szCs w:val="20"/>
              </w:rPr>
              <w:t>of</w:t>
            </w:r>
            <w:r w:rsidRPr="002B3F36">
              <w:rPr>
                <w:rFonts w:ascii="Arial" w:hAnsi="Arial" w:cs="Arial"/>
                <w:spacing w:val="15"/>
                <w:sz w:val="20"/>
                <w:szCs w:val="20"/>
              </w:rPr>
              <w:t xml:space="preserve"> </w:t>
            </w:r>
            <w:r w:rsidRPr="002B3F36">
              <w:rPr>
                <w:rFonts w:ascii="Arial" w:hAnsi="Arial" w:cs="Arial"/>
                <w:sz w:val="20"/>
                <w:szCs w:val="20"/>
              </w:rPr>
              <w:t>the</w:t>
            </w:r>
            <w:r w:rsidRPr="002B3F36">
              <w:rPr>
                <w:rFonts w:ascii="Arial" w:hAnsi="Arial" w:cs="Arial"/>
                <w:spacing w:val="20"/>
                <w:sz w:val="20"/>
                <w:szCs w:val="20"/>
              </w:rPr>
              <w:t xml:space="preserve"> </w:t>
            </w:r>
            <w:r w:rsidRPr="002B3F36">
              <w:rPr>
                <w:rFonts w:ascii="Arial" w:hAnsi="Arial" w:cs="Arial"/>
                <w:sz w:val="20"/>
                <w:szCs w:val="20"/>
              </w:rPr>
              <w:t>Republic</w:t>
            </w:r>
            <w:r w:rsidRPr="002B3F36">
              <w:rPr>
                <w:rFonts w:ascii="Arial" w:hAnsi="Arial" w:cs="Arial"/>
                <w:spacing w:val="15"/>
                <w:sz w:val="20"/>
                <w:szCs w:val="20"/>
              </w:rPr>
              <w:t xml:space="preserve"> </w:t>
            </w:r>
            <w:r w:rsidRPr="002B3F36">
              <w:rPr>
                <w:rFonts w:ascii="Arial" w:hAnsi="Arial" w:cs="Arial"/>
                <w:sz w:val="20"/>
                <w:szCs w:val="20"/>
              </w:rPr>
              <w:t>of</w:t>
            </w:r>
            <w:r w:rsidRPr="002B3F36">
              <w:rPr>
                <w:rFonts w:ascii="Arial" w:hAnsi="Arial" w:cs="Arial"/>
                <w:spacing w:val="18"/>
                <w:sz w:val="20"/>
                <w:szCs w:val="20"/>
              </w:rPr>
              <w:t xml:space="preserve"> </w:t>
            </w:r>
            <w:r w:rsidRPr="002B3F36">
              <w:rPr>
                <w:rFonts w:ascii="Arial" w:hAnsi="Arial" w:cs="Arial"/>
                <w:spacing w:val="-2"/>
                <w:sz w:val="20"/>
                <w:szCs w:val="20"/>
              </w:rPr>
              <w:t>Kazakhstan</w:t>
            </w:r>
          </w:p>
        </w:tc>
        <w:tc>
          <w:tcPr>
            <w:tcW w:w="1192" w:type="dxa"/>
          </w:tcPr>
          <w:p w14:paraId="65AD9E93"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2015</w:t>
            </w:r>
          </w:p>
        </w:tc>
      </w:tr>
      <w:tr w:rsidR="00F61F8E" w:rsidRPr="002B3F36" w14:paraId="36B49E69" w14:textId="77777777">
        <w:trPr>
          <w:trHeight w:val="673"/>
        </w:trPr>
        <w:tc>
          <w:tcPr>
            <w:tcW w:w="8455" w:type="dxa"/>
          </w:tcPr>
          <w:p w14:paraId="09EDDDE3" w14:textId="77777777" w:rsidR="00F61F8E" w:rsidRPr="002B3F36" w:rsidRDefault="000F264B">
            <w:pPr>
              <w:pStyle w:val="TableParagraph"/>
              <w:spacing w:before="0" w:line="273" w:lineRule="auto"/>
              <w:ind w:left="122" w:right="395"/>
              <w:jc w:val="both"/>
              <w:rPr>
                <w:rFonts w:ascii="Arial" w:hAnsi="Arial" w:cs="Arial"/>
                <w:sz w:val="20"/>
                <w:szCs w:val="20"/>
              </w:rPr>
            </w:pPr>
            <w:r w:rsidRPr="002B3F36">
              <w:rPr>
                <w:rFonts w:ascii="Arial" w:hAnsi="Arial" w:cs="Arial"/>
                <w:sz w:val="20"/>
                <w:szCs w:val="20"/>
              </w:rPr>
              <w:t>Law on State</w:t>
            </w:r>
            <w:r w:rsidRPr="002B3F36">
              <w:rPr>
                <w:rFonts w:ascii="Arial" w:hAnsi="Arial" w:cs="Arial"/>
                <w:spacing w:val="24"/>
                <w:sz w:val="20"/>
                <w:szCs w:val="20"/>
              </w:rPr>
              <w:t xml:space="preserve"> </w:t>
            </w:r>
            <w:r w:rsidRPr="002B3F36">
              <w:rPr>
                <w:rFonts w:ascii="Arial" w:hAnsi="Arial" w:cs="Arial"/>
                <w:sz w:val="20"/>
                <w:szCs w:val="20"/>
              </w:rPr>
              <w:t>Property (#413-IV LRK</w:t>
            </w:r>
            <w:r w:rsidRPr="002B3F36">
              <w:rPr>
                <w:rFonts w:ascii="Arial" w:hAnsi="Arial" w:cs="Arial"/>
                <w:spacing w:val="21"/>
                <w:sz w:val="20"/>
                <w:szCs w:val="20"/>
              </w:rPr>
              <w:t xml:space="preserve"> </w:t>
            </w:r>
            <w:r w:rsidRPr="002B3F36">
              <w:rPr>
                <w:rFonts w:ascii="Arial" w:hAnsi="Arial" w:cs="Arial"/>
                <w:sz w:val="20"/>
                <w:szCs w:val="20"/>
              </w:rPr>
              <w:t>adopted</w:t>
            </w:r>
            <w:r w:rsidRPr="002B3F36">
              <w:rPr>
                <w:rFonts w:ascii="Arial" w:hAnsi="Arial" w:cs="Arial"/>
                <w:spacing w:val="21"/>
                <w:sz w:val="20"/>
                <w:szCs w:val="20"/>
              </w:rPr>
              <w:t xml:space="preserve"> </w:t>
            </w:r>
            <w:r w:rsidRPr="002B3F36">
              <w:rPr>
                <w:rFonts w:ascii="Arial" w:hAnsi="Arial" w:cs="Arial"/>
                <w:sz w:val="20"/>
                <w:szCs w:val="20"/>
              </w:rPr>
              <w:t>on 1 March 2011, last</w:t>
            </w:r>
            <w:r w:rsidRPr="002B3F36">
              <w:rPr>
                <w:rFonts w:ascii="Arial" w:hAnsi="Arial" w:cs="Arial"/>
                <w:spacing w:val="22"/>
                <w:sz w:val="20"/>
                <w:szCs w:val="20"/>
              </w:rPr>
              <w:t xml:space="preserve"> </w:t>
            </w:r>
            <w:r w:rsidRPr="002B3F36">
              <w:rPr>
                <w:rFonts w:ascii="Arial" w:hAnsi="Arial" w:cs="Arial"/>
                <w:sz w:val="20"/>
                <w:szCs w:val="20"/>
              </w:rPr>
              <w:t>amendment</w:t>
            </w:r>
            <w:r w:rsidRPr="002B3F36">
              <w:rPr>
                <w:rFonts w:ascii="Arial" w:hAnsi="Arial" w:cs="Arial"/>
                <w:spacing w:val="22"/>
                <w:sz w:val="20"/>
                <w:szCs w:val="20"/>
              </w:rPr>
              <w:t xml:space="preserve"> </w:t>
            </w:r>
            <w:r w:rsidRPr="002B3F36">
              <w:rPr>
                <w:rFonts w:ascii="Arial" w:hAnsi="Arial" w:cs="Arial"/>
                <w:sz w:val="20"/>
                <w:szCs w:val="20"/>
              </w:rPr>
              <w:t>dated</w:t>
            </w:r>
            <w:r w:rsidRPr="002B3F36">
              <w:rPr>
                <w:rFonts w:ascii="Arial" w:hAnsi="Arial" w:cs="Arial"/>
                <w:spacing w:val="21"/>
                <w:sz w:val="20"/>
                <w:szCs w:val="20"/>
              </w:rPr>
              <w:t xml:space="preserve"> </w:t>
            </w:r>
            <w:r w:rsidRPr="002B3F36">
              <w:rPr>
                <w:rFonts w:ascii="Arial" w:hAnsi="Arial" w:cs="Arial"/>
                <w:sz w:val="20"/>
                <w:szCs w:val="20"/>
              </w:rPr>
              <w:t>21 May 2024 to be enforced on 22 July 2024)</w:t>
            </w:r>
          </w:p>
        </w:tc>
        <w:tc>
          <w:tcPr>
            <w:tcW w:w="1192" w:type="dxa"/>
          </w:tcPr>
          <w:p w14:paraId="05660AAF"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2011</w:t>
            </w:r>
          </w:p>
        </w:tc>
      </w:tr>
      <w:tr w:rsidR="00F61F8E" w:rsidRPr="002B3F36" w14:paraId="1F49686C" w14:textId="77777777">
        <w:trPr>
          <w:trHeight w:val="661"/>
        </w:trPr>
        <w:tc>
          <w:tcPr>
            <w:tcW w:w="8455" w:type="dxa"/>
          </w:tcPr>
          <w:p w14:paraId="4A2DFCE2" w14:textId="77777777" w:rsidR="00F61F8E" w:rsidRPr="002B3F36" w:rsidRDefault="000F264B">
            <w:pPr>
              <w:pStyle w:val="TableParagraph"/>
              <w:spacing w:before="0" w:line="276" w:lineRule="auto"/>
              <w:ind w:left="122"/>
              <w:jc w:val="both"/>
              <w:rPr>
                <w:rFonts w:ascii="Arial" w:hAnsi="Arial" w:cs="Arial"/>
                <w:sz w:val="20"/>
                <w:szCs w:val="20"/>
              </w:rPr>
            </w:pPr>
            <w:r w:rsidRPr="002B3F36">
              <w:rPr>
                <w:rFonts w:ascii="Arial" w:hAnsi="Arial" w:cs="Arial"/>
                <w:sz w:val="20"/>
                <w:szCs w:val="20"/>
              </w:rPr>
              <w:t>The</w:t>
            </w:r>
            <w:r w:rsidRPr="002B3F36">
              <w:rPr>
                <w:rFonts w:ascii="Arial" w:hAnsi="Arial" w:cs="Arial"/>
                <w:spacing w:val="21"/>
                <w:sz w:val="20"/>
                <w:szCs w:val="20"/>
              </w:rPr>
              <w:t xml:space="preserve"> </w:t>
            </w:r>
            <w:r w:rsidRPr="002B3F36">
              <w:rPr>
                <w:rFonts w:ascii="Arial" w:hAnsi="Arial" w:cs="Arial"/>
                <w:sz w:val="20"/>
                <w:szCs w:val="20"/>
              </w:rPr>
              <w:t>Land</w:t>
            </w:r>
            <w:r w:rsidRPr="002B3F36">
              <w:rPr>
                <w:rFonts w:ascii="Arial" w:hAnsi="Arial" w:cs="Arial"/>
                <w:spacing w:val="19"/>
                <w:sz w:val="20"/>
                <w:szCs w:val="20"/>
              </w:rPr>
              <w:t xml:space="preserve"> </w:t>
            </w:r>
            <w:r w:rsidRPr="002B3F36">
              <w:rPr>
                <w:rFonts w:ascii="Arial" w:hAnsi="Arial" w:cs="Arial"/>
                <w:sz w:val="20"/>
                <w:szCs w:val="20"/>
              </w:rPr>
              <w:t>Code</w:t>
            </w:r>
            <w:r w:rsidRPr="002B3F36">
              <w:rPr>
                <w:rFonts w:ascii="Arial" w:hAnsi="Arial" w:cs="Arial"/>
                <w:spacing w:val="21"/>
                <w:sz w:val="20"/>
                <w:szCs w:val="20"/>
              </w:rPr>
              <w:t xml:space="preserve"> </w:t>
            </w:r>
            <w:r w:rsidRPr="002B3F36">
              <w:rPr>
                <w:rFonts w:ascii="Arial" w:hAnsi="Arial" w:cs="Arial"/>
                <w:sz w:val="20"/>
                <w:szCs w:val="20"/>
              </w:rPr>
              <w:t>(RK</w:t>
            </w:r>
            <w:r w:rsidRPr="002B3F36">
              <w:rPr>
                <w:rFonts w:ascii="Arial" w:hAnsi="Arial" w:cs="Arial"/>
                <w:spacing w:val="19"/>
                <w:sz w:val="20"/>
                <w:szCs w:val="20"/>
              </w:rPr>
              <w:t xml:space="preserve"> </w:t>
            </w:r>
            <w:r w:rsidRPr="002B3F36">
              <w:rPr>
                <w:rFonts w:ascii="Arial" w:hAnsi="Arial" w:cs="Arial"/>
                <w:sz w:val="20"/>
                <w:szCs w:val="20"/>
              </w:rPr>
              <w:t>Code #442-II, adopted 20 June 2003, with last</w:t>
            </w:r>
            <w:r w:rsidRPr="002B3F36">
              <w:rPr>
                <w:rFonts w:ascii="Arial" w:hAnsi="Arial" w:cs="Arial"/>
                <w:spacing w:val="21"/>
                <w:sz w:val="20"/>
                <w:szCs w:val="20"/>
              </w:rPr>
              <w:t xml:space="preserve"> </w:t>
            </w:r>
            <w:r w:rsidRPr="002B3F36">
              <w:rPr>
                <w:rFonts w:ascii="Arial" w:hAnsi="Arial" w:cs="Arial"/>
                <w:sz w:val="20"/>
                <w:szCs w:val="20"/>
              </w:rPr>
              <w:t>amendment on 21</w:t>
            </w:r>
            <w:r w:rsidRPr="002B3F36">
              <w:rPr>
                <w:rFonts w:ascii="Arial" w:hAnsi="Arial" w:cs="Arial"/>
                <w:spacing w:val="21"/>
                <w:sz w:val="20"/>
                <w:szCs w:val="20"/>
              </w:rPr>
              <w:t xml:space="preserve"> </w:t>
            </w:r>
            <w:r w:rsidRPr="002B3F36">
              <w:rPr>
                <w:rFonts w:ascii="Arial" w:hAnsi="Arial" w:cs="Arial"/>
                <w:sz w:val="20"/>
                <w:szCs w:val="20"/>
              </w:rPr>
              <w:t xml:space="preserve">May </w:t>
            </w:r>
            <w:r w:rsidRPr="002B3F36">
              <w:rPr>
                <w:rFonts w:ascii="Arial" w:hAnsi="Arial" w:cs="Arial"/>
                <w:spacing w:val="-2"/>
                <w:sz w:val="20"/>
                <w:szCs w:val="20"/>
              </w:rPr>
              <w:t>2024)</w:t>
            </w:r>
          </w:p>
        </w:tc>
        <w:tc>
          <w:tcPr>
            <w:tcW w:w="1192" w:type="dxa"/>
          </w:tcPr>
          <w:p w14:paraId="614B42AA"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2024</w:t>
            </w:r>
          </w:p>
        </w:tc>
      </w:tr>
      <w:tr w:rsidR="00F61F8E" w:rsidRPr="002B3F36" w14:paraId="750E702D" w14:textId="77777777">
        <w:trPr>
          <w:trHeight w:val="674"/>
        </w:trPr>
        <w:tc>
          <w:tcPr>
            <w:tcW w:w="8455" w:type="dxa"/>
          </w:tcPr>
          <w:p w14:paraId="5E37C9F4" w14:textId="77777777" w:rsidR="00F61F8E" w:rsidRPr="002B3F36" w:rsidRDefault="000F264B">
            <w:pPr>
              <w:pStyle w:val="TableParagraph"/>
              <w:spacing w:before="0" w:line="276" w:lineRule="auto"/>
              <w:ind w:left="122" w:right="395"/>
              <w:jc w:val="both"/>
              <w:rPr>
                <w:rFonts w:ascii="Arial" w:hAnsi="Arial" w:cs="Arial"/>
                <w:sz w:val="20"/>
                <w:szCs w:val="20"/>
              </w:rPr>
            </w:pPr>
            <w:r w:rsidRPr="002B3F36">
              <w:rPr>
                <w:rFonts w:ascii="Arial" w:hAnsi="Arial" w:cs="Arial"/>
                <w:sz w:val="20"/>
                <w:szCs w:val="20"/>
              </w:rPr>
              <w:t>Labour Code (№ 414-V, adopted on 23 November 2015, last amendment dated 15 April</w:t>
            </w:r>
            <w:r w:rsidRPr="002B3F36">
              <w:rPr>
                <w:rFonts w:ascii="Arial" w:hAnsi="Arial" w:cs="Arial"/>
                <w:spacing w:val="40"/>
                <w:sz w:val="20"/>
                <w:szCs w:val="20"/>
              </w:rPr>
              <w:t xml:space="preserve"> </w:t>
            </w:r>
            <w:r w:rsidRPr="002B3F36">
              <w:rPr>
                <w:rFonts w:ascii="Arial" w:hAnsi="Arial" w:cs="Arial"/>
                <w:sz w:val="20"/>
                <w:szCs w:val="20"/>
              </w:rPr>
              <w:t>2024 to be enforced on 16 June 2024)</w:t>
            </w:r>
          </w:p>
        </w:tc>
        <w:tc>
          <w:tcPr>
            <w:tcW w:w="1192" w:type="dxa"/>
          </w:tcPr>
          <w:p w14:paraId="1D4B83DD"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2015</w:t>
            </w:r>
          </w:p>
        </w:tc>
      </w:tr>
      <w:tr w:rsidR="00F61F8E" w:rsidRPr="002B3F36" w14:paraId="248C835B" w14:textId="77777777">
        <w:trPr>
          <w:trHeight w:val="913"/>
        </w:trPr>
        <w:tc>
          <w:tcPr>
            <w:tcW w:w="8455" w:type="dxa"/>
          </w:tcPr>
          <w:p w14:paraId="45F265B5" w14:textId="77777777" w:rsidR="00F61F8E" w:rsidRPr="002B3F36" w:rsidRDefault="000F264B">
            <w:pPr>
              <w:pStyle w:val="TableParagraph"/>
              <w:spacing w:before="0" w:line="276" w:lineRule="auto"/>
              <w:ind w:left="122" w:right="55"/>
              <w:jc w:val="both"/>
              <w:rPr>
                <w:rFonts w:ascii="Arial" w:hAnsi="Arial" w:cs="Arial"/>
                <w:sz w:val="20"/>
                <w:szCs w:val="20"/>
              </w:rPr>
            </w:pPr>
            <w:r w:rsidRPr="002B3F36">
              <w:rPr>
                <w:rFonts w:ascii="Arial" w:hAnsi="Arial" w:cs="Arial"/>
                <w:sz w:val="20"/>
                <w:szCs w:val="20"/>
              </w:rPr>
              <w:t>The</w:t>
            </w:r>
            <w:r w:rsidRPr="002B3F36">
              <w:rPr>
                <w:rFonts w:ascii="Arial" w:hAnsi="Arial" w:cs="Arial"/>
                <w:spacing w:val="39"/>
                <w:sz w:val="20"/>
                <w:szCs w:val="20"/>
              </w:rPr>
              <w:t xml:space="preserve"> </w:t>
            </w:r>
            <w:r w:rsidRPr="002B3F36">
              <w:rPr>
                <w:rFonts w:ascii="Arial" w:hAnsi="Arial" w:cs="Arial"/>
                <w:sz w:val="20"/>
                <w:szCs w:val="20"/>
              </w:rPr>
              <w:t>Law of the</w:t>
            </w:r>
            <w:r w:rsidRPr="002B3F36">
              <w:rPr>
                <w:rFonts w:ascii="Arial" w:hAnsi="Arial" w:cs="Arial"/>
                <w:spacing w:val="39"/>
                <w:sz w:val="20"/>
                <w:szCs w:val="20"/>
              </w:rPr>
              <w:t xml:space="preserve"> </w:t>
            </w:r>
            <w:r w:rsidRPr="002B3F36">
              <w:rPr>
                <w:rFonts w:ascii="Arial" w:hAnsi="Arial" w:cs="Arial"/>
                <w:sz w:val="20"/>
                <w:szCs w:val="20"/>
              </w:rPr>
              <w:t>Republic of Kazakhstan on architectural, urban planning</w:t>
            </w:r>
            <w:r w:rsidRPr="002B3F36">
              <w:rPr>
                <w:rFonts w:ascii="Arial" w:hAnsi="Arial" w:cs="Arial"/>
                <w:spacing w:val="38"/>
                <w:sz w:val="20"/>
                <w:szCs w:val="20"/>
              </w:rPr>
              <w:t xml:space="preserve"> </w:t>
            </w:r>
            <w:r w:rsidRPr="002B3F36">
              <w:rPr>
                <w:rFonts w:ascii="Arial" w:hAnsi="Arial" w:cs="Arial"/>
                <w:sz w:val="20"/>
                <w:szCs w:val="20"/>
              </w:rPr>
              <w:t>and construction activities in the</w:t>
            </w:r>
            <w:r w:rsidRPr="002B3F36">
              <w:rPr>
                <w:rFonts w:ascii="Arial" w:hAnsi="Arial" w:cs="Arial"/>
                <w:spacing w:val="25"/>
                <w:sz w:val="20"/>
                <w:szCs w:val="20"/>
              </w:rPr>
              <w:t xml:space="preserve"> </w:t>
            </w:r>
            <w:r w:rsidRPr="002B3F36">
              <w:rPr>
                <w:rFonts w:ascii="Arial" w:hAnsi="Arial" w:cs="Arial"/>
                <w:sz w:val="20"/>
                <w:szCs w:val="20"/>
              </w:rPr>
              <w:t>Republic</w:t>
            </w:r>
            <w:r w:rsidRPr="002B3F36">
              <w:rPr>
                <w:rFonts w:ascii="Arial" w:hAnsi="Arial" w:cs="Arial"/>
                <w:spacing w:val="24"/>
                <w:sz w:val="20"/>
                <w:szCs w:val="20"/>
              </w:rPr>
              <w:t xml:space="preserve"> </w:t>
            </w:r>
            <w:r w:rsidRPr="002B3F36">
              <w:rPr>
                <w:rFonts w:ascii="Arial" w:hAnsi="Arial" w:cs="Arial"/>
                <w:sz w:val="20"/>
                <w:szCs w:val="20"/>
              </w:rPr>
              <w:t>of</w:t>
            </w:r>
            <w:r w:rsidRPr="002B3F36">
              <w:rPr>
                <w:rFonts w:ascii="Arial" w:hAnsi="Arial" w:cs="Arial"/>
                <w:spacing w:val="22"/>
                <w:sz w:val="20"/>
                <w:szCs w:val="20"/>
              </w:rPr>
              <w:t xml:space="preserve"> </w:t>
            </w:r>
            <w:r w:rsidRPr="002B3F36">
              <w:rPr>
                <w:rFonts w:ascii="Arial" w:hAnsi="Arial" w:cs="Arial"/>
                <w:sz w:val="20"/>
                <w:szCs w:val="20"/>
              </w:rPr>
              <w:t>Kazakhstan</w:t>
            </w:r>
            <w:r w:rsidRPr="002B3F36">
              <w:rPr>
                <w:rFonts w:ascii="Arial" w:hAnsi="Arial" w:cs="Arial"/>
                <w:spacing w:val="22"/>
                <w:sz w:val="20"/>
                <w:szCs w:val="20"/>
              </w:rPr>
              <w:t xml:space="preserve"> </w:t>
            </w:r>
            <w:r w:rsidRPr="002B3F36">
              <w:rPr>
                <w:rFonts w:ascii="Arial" w:hAnsi="Arial" w:cs="Arial"/>
                <w:sz w:val="20"/>
                <w:szCs w:val="20"/>
              </w:rPr>
              <w:t>(#242-II</w:t>
            </w:r>
            <w:r w:rsidRPr="002B3F36">
              <w:rPr>
                <w:rFonts w:ascii="Arial" w:hAnsi="Arial" w:cs="Arial"/>
                <w:spacing w:val="25"/>
                <w:sz w:val="20"/>
                <w:szCs w:val="20"/>
              </w:rPr>
              <w:t xml:space="preserve"> </w:t>
            </w:r>
            <w:r w:rsidRPr="002B3F36">
              <w:rPr>
                <w:rFonts w:ascii="Arial" w:hAnsi="Arial" w:cs="Arial"/>
                <w:sz w:val="20"/>
                <w:szCs w:val="20"/>
              </w:rPr>
              <w:t>adopted</w:t>
            </w:r>
            <w:r w:rsidRPr="002B3F36">
              <w:rPr>
                <w:rFonts w:ascii="Arial" w:hAnsi="Arial" w:cs="Arial"/>
                <w:spacing w:val="21"/>
                <w:sz w:val="20"/>
                <w:szCs w:val="20"/>
              </w:rPr>
              <w:t xml:space="preserve"> </w:t>
            </w:r>
            <w:r w:rsidRPr="002B3F36">
              <w:rPr>
                <w:rFonts w:ascii="Arial" w:hAnsi="Arial" w:cs="Arial"/>
                <w:sz w:val="20"/>
                <w:szCs w:val="20"/>
              </w:rPr>
              <w:t>on</w:t>
            </w:r>
            <w:r w:rsidRPr="002B3F36">
              <w:rPr>
                <w:rFonts w:ascii="Arial" w:hAnsi="Arial" w:cs="Arial"/>
                <w:spacing w:val="22"/>
                <w:sz w:val="20"/>
                <w:szCs w:val="20"/>
              </w:rPr>
              <w:t xml:space="preserve"> </w:t>
            </w:r>
            <w:r w:rsidRPr="002B3F36">
              <w:rPr>
                <w:rFonts w:ascii="Arial" w:hAnsi="Arial" w:cs="Arial"/>
                <w:sz w:val="20"/>
                <w:szCs w:val="20"/>
              </w:rPr>
              <w:t>16</w:t>
            </w:r>
            <w:r w:rsidRPr="002B3F36">
              <w:rPr>
                <w:rFonts w:ascii="Arial" w:hAnsi="Arial" w:cs="Arial"/>
                <w:spacing w:val="25"/>
                <w:sz w:val="20"/>
                <w:szCs w:val="20"/>
              </w:rPr>
              <w:t xml:space="preserve"> </w:t>
            </w:r>
            <w:r w:rsidRPr="002B3F36">
              <w:rPr>
                <w:rFonts w:ascii="Arial" w:hAnsi="Arial" w:cs="Arial"/>
                <w:sz w:val="20"/>
                <w:szCs w:val="20"/>
              </w:rPr>
              <w:t>July</w:t>
            </w:r>
            <w:r w:rsidRPr="002B3F36">
              <w:rPr>
                <w:rFonts w:ascii="Arial" w:hAnsi="Arial" w:cs="Arial"/>
                <w:spacing w:val="22"/>
                <w:sz w:val="20"/>
                <w:szCs w:val="20"/>
              </w:rPr>
              <w:t xml:space="preserve"> </w:t>
            </w:r>
            <w:r w:rsidRPr="002B3F36">
              <w:rPr>
                <w:rFonts w:ascii="Arial" w:hAnsi="Arial" w:cs="Arial"/>
                <w:sz w:val="20"/>
                <w:szCs w:val="20"/>
              </w:rPr>
              <w:t>2001, last</w:t>
            </w:r>
            <w:r w:rsidRPr="002B3F36">
              <w:rPr>
                <w:rFonts w:ascii="Arial" w:hAnsi="Arial" w:cs="Arial"/>
                <w:spacing w:val="31"/>
                <w:sz w:val="20"/>
                <w:szCs w:val="20"/>
              </w:rPr>
              <w:t xml:space="preserve"> </w:t>
            </w:r>
            <w:r w:rsidRPr="002B3F36">
              <w:rPr>
                <w:rFonts w:ascii="Arial" w:hAnsi="Arial" w:cs="Arial"/>
                <w:sz w:val="20"/>
                <w:szCs w:val="20"/>
              </w:rPr>
              <w:t>amendment 21 May 2024 to be enforced on 22 July 2024)</w:t>
            </w:r>
          </w:p>
        </w:tc>
        <w:tc>
          <w:tcPr>
            <w:tcW w:w="1192" w:type="dxa"/>
          </w:tcPr>
          <w:p w14:paraId="7F34B83A"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2001</w:t>
            </w:r>
          </w:p>
        </w:tc>
      </w:tr>
      <w:tr w:rsidR="00F61F8E" w:rsidRPr="002B3F36" w14:paraId="404FD9F3" w14:textId="77777777">
        <w:trPr>
          <w:trHeight w:val="674"/>
        </w:trPr>
        <w:tc>
          <w:tcPr>
            <w:tcW w:w="8455" w:type="dxa"/>
          </w:tcPr>
          <w:p w14:paraId="3D97FE52" w14:textId="77777777" w:rsidR="00F61F8E" w:rsidRPr="002B3F36" w:rsidRDefault="000F264B">
            <w:pPr>
              <w:pStyle w:val="TableParagraph"/>
              <w:spacing w:before="0" w:line="276" w:lineRule="auto"/>
              <w:ind w:left="122"/>
              <w:jc w:val="both"/>
              <w:rPr>
                <w:rFonts w:ascii="Arial" w:hAnsi="Arial" w:cs="Arial"/>
                <w:sz w:val="20"/>
                <w:szCs w:val="20"/>
              </w:rPr>
            </w:pPr>
            <w:r w:rsidRPr="002B3F36">
              <w:rPr>
                <w:rFonts w:ascii="Arial" w:hAnsi="Arial" w:cs="Arial"/>
                <w:sz w:val="20"/>
                <w:szCs w:val="20"/>
              </w:rPr>
              <w:t>Law on</w:t>
            </w:r>
            <w:r w:rsidRPr="002B3F36">
              <w:rPr>
                <w:rFonts w:ascii="Arial" w:hAnsi="Arial" w:cs="Arial"/>
                <w:spacing w:val="19"/>
                <w:sz w:val="20"/>
                <w:szCs w:val="20"/>
              </w:rPr>
              <w:t xml:space="preserve"> </w:t>
            </w:r>
            <w:r w:rsidRPr="002B3F36">
              <w:rPr>
                <w:rFonts w:ascii="Arial" w:hAnsi="Arial" w:cs="Arial"/>
                <w:sz w:val="20"/>
                <w:szCs w:val="20"/>
              </w:rPr>
              <w:t>Protection</w:t>
            </w:r>
            <w:r w:rsidRPr="002B3F36">
              <w:rPr>
                <w:rFonts w:ascii="Arial" w:hAnsi="Arial" w:cs="Arial"/>
                <w:spacing w:val="19"/>
                <w:sz w:val="20"/>
                <w:szCs w:val="20"/>
              </w:rPr>
              <w:t xml:space="preserve"> </w:t>
            </w:r>
            <w:r w:rsidRPr="002B3F36">
              <w:rPr>
                <w:rFonts w:ascii="Arial" w:hAnsi="Arial" w:cs="Arial"/>
                <w:sz w:val="20"/>
                <w:szCs w:val="20"/>
              </w:rPr>
              <w:t>and</w:t>
            </w:r>
            <w:r w:rsidRPr="002B3F36">
              <w:rPr>
                <w:rFonts w:ascii="Arial" w:hAnsi="Arial" w:cs="Arial"/>
                <w:spacing w:val="21"/>
                <w:sz w:val="20"/>
                <w:szCs w:val="20"/>
              </w:rPr>
              <w:t xml:space="preserve"> </w:t>
            </w:r>
            <w:r w:rsidRPr="002B3F36">
              <w:rPr>
                <w:rFonts w:ascii="Arial" w:hAnsi="Arial" w:cs="Arial"/>
                <w:sz w:val="20"/>
                <w:szCs w:val="20"/>
              </w:rPr>
              <w:t>Use</w:t>
            </w:r>
            <w:r w:rsidRPr="002B3F36">
              <w:rPr>
                <w:rFonts w:ascii="Arial" w:hAnsi="Arial" w:cs="Arial"/>
                <w:spacing w:val="22"/>
                <w:sz w:val="20"/>
                <w:szCs w:val="20"/>
              </w:rPr>
              <w:t xml:space="preserve"> </w:t>
            </w:r>
            <w:r w:rsidRPr="002B3F36">
              <w:rPr>
                <w:rFonts w:ascii="Arial" w:hAnsi="Arial" w:cs="Arial"/>
                <w:sz w:val="20"/>
                <w:szCs w:val="20"/>
              </w:rPr>
              <w:t>of Objects</w:t>
            </w:r>
            <w:r w:rsidRPr="002B3F36">
              <w:rPr>
                <w:rFonts w:ascii="Arial" w:hAnsi="Arial" w:cs="Arial"/>
                <w:spacing w:val="21"/>
                <w:sz w:val="20"/>
                <w:szCs w:val="20"/>
              </w:rPr>
              <w:t xml:space="preserve"> </w:t>
            </w:r>
            <w:r w:rsidRPr="002B3F36">
              <w:rPr>
                <w:rFonts w:ascii="Arial" w:hAnsi="Arial" w:cs="Arial"/>
                <w:sz w:val="20"/>
                <w:szCs w:val="20"/>
              </w:rPr>
              <w:t>of</w:t>
            </w:r>
            <w:r w:rsidRPr="002B3F36">
              <w:rPr>
                <w:rFonts w:ascii="Arial" w:hAnsi="Arial" w:cs="Arial"/>
                <w:spacing w:val="19"/>
                <w:sz w:val="20"/>
                <w:szCs w:val="20"/>
              </w:rPr>
              <w:t xml:space="preserve"> </w:t>
            </w:r>
            <w:r w:rsidRPr="002B3F36">
              <w:rPr>
                <w:rFonts w:ascii="Arial" w:hAnsi="Arial" w:cs="Arial"/>
                <w:sz w:val="20"/>
                <w:szCs w:val="20"/>
              </w:rPr>
              <w:t>Historical</w:t>
            </w:r>
            <w:r w:rsidRPr="002B3F36">
              <w:rPr>
                <w:rFonts w:ascii="Arial" w:hAnsi="Arial" w:cs="Arial"/>
                <w:spacing w:val="19"/>
                <w:sz w:val="20"/>
                <w:szCs w:val="20"/>
              </w:rPr>
              <w:t xml:space="preserve"> </w:t>
            </w:r>
            <w:r w:rsidRPr="002B3F36">
              <w:rPr>
                <w:rFonts w:ascii="Arial" w:hAnsi="Arial" w:cs="Arial"/>
                <w:sz w:val="20"/>
                <w:szCs w:val="20"/>
              </w:rPr>
              <w:t>and</w:t>
            </w:r>
            <w:r w:rsidRPr="002B3F36">
              <w:rPr>
                <w:rFonts w:ascii="Arial" w:hAnsi="Arial" w:cs="Arial"/>
                <w:spacing w:val="21"/>
                <w:sz w:val="20"/>
                <w:szCs w:val="20"/>
              </w:rPr>
              <w:t xml:space="preserve"> </w:t>
            </w:r>
            <w:r w:rsidRPr="002B3F36">
              <w:rPr>
                <w:rFonts w:ascii="Arial" w:hAnsi="Arial" w:cs="Arial"/>
                <w:sz w:val="20"/>
                <w:szCs w:val="20"/>
              </w:rPr>
              <w:t>Cultural</w:t>
            </w:r>
            <w:r w:rsidRPr="002B3F36">
              <w:rPr>
                <w:rFonts w:ascii="Arial" w:hAnsi="Arial" w:cs="Arial"/>
                <w:spacing w:val="22"/>
                <w:sz w:val="20"/>
                <w:szCs w:val="20"/>
              </w:rPr>
              <w:t xml:space="preserve"> </w:t>
            </w:r>
            <w:r w:rsidRPr="002B3F36">
              <w:rPr>
                <w:rFonts w:ascii="Arial" w:hAnsi="Arial" w:cs="Arial"/>
                <w:sz w:val="20"/>
                <w:szCs w:val="20"/>
              </w:rPr>
              <w:t>Heritage</w:t>
            </w:r>
            <w:r w:rsidRPr="002B3F36">
              <w:rPr>
                <w:rFonts w:ascii="Arial" w:hAnsi="Arial" w:cs="Arial"/>
                <w:spacing w:val="22"/>
                <w:sz w:val="20"/>
                <w:szCs w:val="20"/>
              </w:rPr>
              <w:t xml:space="preserve"> </w:t>
            </w:r>
            <w:r w:rsidRPr="002B3F36">
              <w:rPr>
                <w:rFonts w:ascii="Arial" w:hAnsi="Arial" w:cs="Arial"/>
                <w:sz w:val="20"/>
                <w:szCs w:val="20"/>
              </w:rPr>
              <w:t>of the</w:t>
            </w:r>
            <w:r w:rsidRPr="002B3F36">
              <w:rPr>
                <w:rFonts w:ascii="Arial" w:hAnsi="Arial" w:cs="Arial"/>
                <w:spacing w:val="22"/>
                <w:sz w:val="20"/>
                <w:szCs w:val="20"/>
              </w:rPr>
              <w:t xml:space="preserve"> </w:t>
            </w:r>
            <w:r w:rsidRPr="002B3F36">
              <w:rPr>
                <w:rFonts w:ascii="Arial" w:hAnsi="Arial" w:cs="Arial"/>
                <w:sz w:val="20"/>
                <w:szCs w:val="20"/>
              </w:rPr>
              <w:t>Republic of Kazakhstan No. 1488-XII (1992, as amended by No. 288-VI, 2019)</w:t>
            </w:r>
          </w:p>
        </w:tc>
        <w:tc>
          <w:tcPr>
            <w:tcW w:w="1192" w:type="dxa"/>
          </w:tcPr>
          <w:p w14:paraId="0B04557A"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1992</w:t>
            </w:r>
          </w:p>
        </w:tc>
      </w:tr>
      <w:tr w:rsidR="00F61F8E" w:rsidRPr="002B3F36" w14:paraId="0B0C03E2" w14:textId="77777777">
        <w:trPr>
          <w:trHeight w:val="661"/>
        </w:trPr>
        <w:tc>
          <w:tcPr>
            <w:tcW w:w="8455" w:type="dxa"/>
          </w:tcPr>
          <w:p w14:paraId="526914B2" w14:textId="77777777" w:rsidR="00F61F8E" w:rsidRPr="002B3F36" w:rsidRDefault="000F264B">
            <w:pPr>
              <w:pStyle w:val="TableParagraph"/>
              <w:spacing w:before="0" w:line="276" w:lineRule="auto"/>
              <w:ind w:left="122"/>
              <w:jc w:val="both"/>
              <w:rPr>
                <w:rFonts w:ascii="Arial" w:hAnsi="Arial" w:cs="Arial"/>
                <w:sz w:val="20"/>
                <w:szCs w:val="20"/>
              </w:rPr>
            </w:pPr>
            <w:r w:rsidRPr="002B3F36">
              <w:rPr>
                <w:rFonts w:ascii="Arial" w:hAnsi="Arial" w:cs="Arial"/>
                <w:sz w:val="20"/>
                <w:szCs w:val="20"/>
              </w:rPr>
              <w:t>The</w:t>
            </w:r>
            <w:r w:rsidRPr="002B3F36">
              <w:rPr>
                <w:rFonts w:ascii="Arial" w:hAnsi="Arial" w:cs="Arial"/>
                <w:spacing w:val="24"/>
                <w:sz w:val="20"/>
                <w:szCs w:val="20"/>
              </w:rPr>
              <w:t xml:space="preserve"> </w:t>
            </w:r>
            <w:r w:rsidRPr="002B3F36">
              <w:rPr>
                <w:rFonts w:ascii="Arial" w:hAnsi="Arial" w:cs="Arial"/>
                <w:sz w:val="20"/>
                <w:szCs w:val="20"/>
              </w:rPr>
              <w:t>Law on Public</w:t>
            </w:r>
            <w:r w:rsidRPr="002B3F36">
              <w:rPr>
                <w:rFonts w:ascii="Arial" w:hAnsi="Arial" w:cs="Arial"/>
                <w:spacing w:val="23"/>
                <w:sz w:val="20"/>
                <w:szCs w:val="20"/>
              </w:rPr>
              <w:t xml:space="preserve"> </w:t>
            </w:r>
            <w:r w:rsidRPr="002B3F36">
              <w:rPr>
                <w:rFonts w:ascii="Arial" w:hAnsi="Arial" w:cs="Arial"/>
                <w:sz w:val="20"/>
                <w:szCs w:val="20"/>
              </w:rPr>
              <w:t>Procurement (No. 434-V 3PK</w:t>
            </w:r>
            <w:r w:rsidRPr="002B3F36">
              <w:rPr>
                <w:rFonts w:ascii="Arial" w:hAnsi="Arial" w:cs="Arial"/>
                <w:spacing w:val="23"/>
                <w:sz w:val="20"/>
                <w:szCs w:val="20"/>
              </w:rPr>
              <w:t xml:space="preserve"> </w:t>
            </w:r>
            <w:r w:rsidRPr="002B3F36">
              <w:rPr>
                <w:rFonts w:ascii="Arial" w:hAnsi="Arial" w:cs="Arial"/>
                <w:sz w:val="20"/>
                <w:szCs w:val="20"/>
              </w:rPr>
              <w:t>adopted 4 December 2015, last</w:t>
            </w:r>
            <w:r w:rsidRPr="002B3F36">
              <w:rPr>
                <w:rFonts w:ascii="Arial" w:hAnsi="Arial" w:cs="Arial"/>
                <w:spacing w:val="24"/>
                <w:sz w:val="20"/>
                <w:szCs w:val="20"/>
              </w:rPr>
              <w:t xml:space="preserve"> </w:t>
            </w:r>
            <w:r w:rsidRPr="002B3F36">
              <w:rPr>
                <w:rFonts w:ascii="Arial" w:hAnsi="Arial" w:cs="Arial"/>
                <w:sz w:val="20"/>
                <w:szCs w:val="20"/>
              </w:rPr>
              <w:t>amendment dated 29 December 2018)</w:t>
            </w:r>
          </w:p>
        </w:tc>
        <w:tc>
          <w:tcPr>
            <w:tcW w:w="1192" w:type="dxa"/>
          </w:tcPr>
          <w:p w14:paraId="244BCD34"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2015</w:t>
            </w:r>
          </w:p>
        </w:tc>
      </w:tr>
      <w:tr w:rsidR="00F61F8E" w:rsidRPr="002B3F36" w14:paraId="57ECD24C" w14:textId="77777777">
        <w:trPr>
          <w:trHeight w:val="673"/>
        </w:trPr>
        <w:tc>
          <w:tcPr>
            <w:tcW w:w="8455" w:type="dxa"/>
          </w:tcPr>
          <w:p w14:paraId="66FDAD39" w14:textId="77777777" w:rsidR="00F61F8E" w:rsidRPr="002B3F36" w:rsidRDefault="000F264B">
            <w:pPr>
              <w:pStyle w:val="TableParagraph"/>
              <w:spacing w:before="0" w:line="276" w:lineRule="auto"/>
              <w:ind w:left="122"/>
              <w:jc w:val="both"/>
              <w:rPr>
                <w:rFonts w:ascii="Arial" w:hAnsi="Arial" w:cs="Arial"/>
                <w:sz w:val="20"/>
                <w:szCs w:val="20"/>
              </w:rPr>
            </w:pPr>
            <w:r w:rsidRPr="002B3F36">
              <w:rPr>
                <w:rFonts w:ascii="Arial" w:hAnsi="Arial" w:cs="Arial"/>
                <w:sz w:val="20"/>
                <w:szCs w:val="20"/>
              </w:rPr>
              <w:t>The</w:t>
            </w:r>
            <w:r w:rsidRPr="002B3F36">
              <w:rPr>
                <w:rFonts w:ascii="Arial" w:hAnsi="Arial" w:cs="Arial"/>
                <w:spacing w:val="21"/>
                <w:sz w:val="20"/>
                <w:szCs w:val="20"/>
              </w:rPr>
              <w:t xml:space="preserve"> </w:t>
            </w:r>
            <w:r w:rsidRPr="002B3F36">
              <w:rPr>
                <w:rFonts w:ascii="Arial" w:hAnsi="Arial" w:cs="Arial"/>
                <w:sz w:val="20"/>
                <w:szCs w:val="20"/>
              </w:rPr>
              <w:t>Law of</w:t>
            </w:r>
            <w:r w:rsidRPr="002B3F36">
              <w:rPr>
                <w:rFonts w:ascii="Arial" w:hAnsi="Arial" w:cs="Arial"/>
                <w:spacing w:val="19"/>
                <w:sz w:val="20"/>
                <w:szCs w:val="20"/>
              </w:rPr>
              <w:t xml:space="preserve"> </w:t>
            </w:r>
            <w:r w:rsidRPr="002B3F36">
              <w:rPr>
                <w:rFonts w:ascii="Arial" w:hAnsi="Arial" w:cs="Arial"/>
                <w:sz w:val="20"/>
                <w:szCs w:val="20"/>
              </w:rPr>
              <w:t>the</w:t>
            </w:r>
            <w:r w:rsidRPr="002B3F36">
              <w:rPr>
                <w:rFonts w:ascii="Arial" w:hAnsi="Arial" w:cs="Arial"/>
                <w:spacing w:val="21"/>
                <w:sz w:val="20"/>
                <w:szCs w:val="20"/>
              </w:rPr>
              <w:t xml:space="preserve"> </w:t>
            </w:r>
            <w:r w:rsidRPr="002B3F36">
              <w:rPr>
                <w:rFonts w:ascii="Arial" w:hAnsi="Arial" w:cs="Arial"/>
                <w:sz w:val="20"/>
                <w:szCs w:val="20"/>
              </w:rPr>
              <w:t>Republic of</w:t>
            </w:r>
            <w:r w:rsidRPr="002B3F36">
              <w:rPr>
                <w:rFonts w:ascii="Arial" w:hAnsi="Arial" w:cs="Arial"/>
                <w:spacing w:val="19"/>
                <w:sz w:val="20"/>
                <w:szCs w:val="20"/>
              </w:rPr>
              <w:t xml:space="preserve"> </w:t>
            </w:r>
            <w:r w:rsidRPr="002B3F36">
              <w:rPr>
                <w:rFonts w:ascii="Arial" w:hAnsi="Arial" w:cs="Arial"/>
                <w:sz w:val="20"/>
                <w:szCs w:val="20"/>
              </w:rPr>
              <w:t>Kazakhstan on</w:t>
            </w:r>
            <w:r w:rsidRPr="002B3F36">
              <w:rPr>
                <w:rFonts w:ascii="Arial" w:hAnsi="Arial" w:cs="Arial"/>
                <w:spacing w:val="19"/>
                <w:sz w:val="20"/>
                <w:szCs w:val="20"/>
              </w:rPr>
              <w:t xml:space="preserve"> </w:t>
            </w:r>
            <w:r w:rsidRPr="002B3F36">
              <w:rPr>
                <w:rFonts w:ascii="Arial" w:hAnsi="Arial" w:cs="Arial"/>
                <w:sz w:val="20"/>
                <w:szCs w:val="20"/>
              </w:rPr>
              <w:t>the</w:t>
            </w:r>
            <w:r w:rsidRPr="002B3F36">
              <w:rPr>
                <w:rFonts w:ascii="Arial" w:hAnsi="Arial" w:cs="Arial"/>
                <w:spacing w:val="21"/>
                <w:sz w:val="20"/>
                <w:szCs w:val="20"/>
              </w:rPr>
              <w:t xml:space="preserve"> </w:t>
            </w:r>
            <w:r w:rsidRPr="002B3F36">
              <w:rPr>
                <w:rFonts w:ascii="Arial" w:hAnsi="Arial" w:cs="Arial"/>
                <w:sz w:val="20"/>
                <w:szCs w:val="20"/>
              </w:rPr>
              <w:t>Electric</w:t>
            </w:r>
            <w:r w:rsidRPr="002B3F36">
              <w:rPr>
                <w:rFonts w:ascii="Arial" w:hAnsi="Arial" w:cs="Arial"/>
                <w:spacing w:val="20"/>
                <w:sz w:val="20"/>
                <w:szCs w:val="20"/>
              </w:rPr>
              <w:t xml:space="preserve"> </w:t>
            </w:r>
            <w:r w:rsidRPr="002B3F36">
              <w:rPr>
                <w:rFonts w:ascii="Arial" w:hAnsi="Arial" w:cs="Arial"/>
                <w:sz w:val="20"/>
                <w:szCs w:val="20"/>
              </w:rPr>
              <w:t>Power Industry (#588</w:t>
            </w:r>
            <w:r w:rsidRPr="002B3F36">
              <w:rPr>
                <w:rFonts w:ascii="Arial" w:hAnsi="Arial" w:cs="Arial"/>
                <w:spacing w:val="-45"/>
                <w:sz w:val="20"/>
                <w:szCs w:val="20"/>
              </w:rPr>
              <w:t xml:space="preserve"> </w:t>
            </w:r>
            <w:r w:rsidRPr="002B3F36">
              <w:rPr>
                <w:rFonts w:ascii="Arial" w:hAnsi="Arial" w:cs="Arial"/>
                <w:sz w:val="20"/>
                <w:szCs w:val="20"/>
              </w:rPr>
              <w:t>-II</w:t>
            </w:r>
            <w:r w:rsidRPr="002B3F36">
              <w:rPr>
                <w:rFonts w:ascii="Arial" w:hAnsi="Arial" w:cs="Arial"/>
                <w:spacing w:val="21"/>
                <w:sz w:val="20"/>
                <w:szCs w:val="20"/>
              </w:rPr>
              <w:t xml:space="preserve"> </w:t>
            </w:r>
            <w:r w:rsidRPr="002B3F36">
              <w:rPr>
                <w:rFonts w:ascii="Arial" w:hAnsi="Arial" w:cs="Arial"/>
                <w:sz w:val="20"/>
                <w:szCs w:val="20"/>
              </w:rPr>
              <w:t>dated</w:t>
            </w:r>
            <w:r w:rsidRPr="002B3F36">
              <w:rPr>
                <w:rFonts w:ascii="Arial" w:hAnsi="Arial" w:cs="Arial"/>
                <w:spacing w:val="20"/>
                <w:sz w:val="20"/>
                <w:szCs w:val="20"/>
              </w:rPr>
              <w:t xml:space="preserve"> </w:t>
            </w:r>
            <w:r w:rsidRPr="002B3F36">
              <w:rPr>
                <w:rFonts w:ascii="Arial" w:hAnsi="Arial" w:cs="Arial"/>
                <w:sz w:val="20"/>
                <w:szCs w:val="20"/>
              </w:rPr>
              <w:t xml:space="preserve">9 July </w:t>
            </w:r>
            <w:r w:rsidRPr="002B3F36">
              <w:rPr>
                <w:rFonts w:ascii="Arial" w:hAnsi="Arial" w:cs="Arial"/>
                <w:spacing w:val="-2"/>
                <w:sz w:val="20"/>
                <w:szCs w:val="20"/>
              </w:rPr>
              <w:t>2004)</w:t>
            </w:r>
          </w:p>
        </w:tc>
        <w:tc>
          <w:tcPr>
            <w:tcW w:w="1192" w:type="dxa"/>
          </w:tcPr>
          <w:p w14:paraId="2CEB3F6C" w14:textId="77777777" w:rsidR="00F61F8E" w:rsidRPr="002B3F36" w:rsidRDefault="000F264B">
            <w:pPr>
              <w:pStyle w:val="TableParagraph"/>
              <w:spacing w:before="0"/>
              <w:ind w:left="8" w:right="16"/>
              <w:jc w:val="both"/>
              <w:rPr>
                <w:rFonts w:ascii="Arial" w:hAnsi="Arial" w:cs="Arial"/>
                <w:sz w:val="20"/>
                <w:szCs w:val="20"/>
              </w:rPr>
            </w:pPr>
            <w:r w:rsidRPr="002B3F36">
              <w:rPr>
                <w:rFonts w:ascii="Arial" w:hAnsi="Arial" w:cs="Arial"/>
                <w:spacing w:val="-4"/>
                <w:sz w:val="20"/>
                <w:szCs w:val="20"/>
              </w:rPr>
              <w:t>2004</w:t>
            </w:r>
          </w:p>
        </w:tc>
      </w:tr>
    </w:tbl>
    <w:p w14:paraId="334C9310" w14:textId="77777777" w:rsidR="00F61F8E" w:rsidRPr="002B3F36" w:rsidRDefault="00F61F8E">
      <w:pPr>
        <w:pStyle w:val="ReportBodyPar"/>
      </w:pPr>
    </w:p>
    <w:p w14:paraId="1BB2A468" w14:textId="77777777" w:rsidR="00F61F8E" w:rsidRPr="002B3F36" w:rsidRDefault="000F264B" w:rsidP="005A68AD">
      <w:pPr>
        <w:pStyle w:val="31"/>
      </w:pPr>
      <w:bookmarkStart w:id="665" w:name="_Toc208118897"/>
      <w:bookmarkStart w:id="666" w:name="_bookmark68"/>
      <w:bookmarkStart w:id="667" w:name="_Toc208118898"/>
      <w:bookmarkStart w:id="668" w:name="_bookmark69"/>
      <w:bookmarkStart w:id="669" w:name="_Toc208973745"/>
      <w:bookmarkStart w:id="670" w:name="_Toc208973945"/>
      <w:bookmarkStart w:id="671" w:name="_Toc208974145"/>
      <w:bookmarkStart w:id="672" w:name="_Toc208974347"/>
      <w:bookmarkStart w:id="673" w:name="_Toc208974555"/>
      <w:bookmarkStart w:id="674" w:name="_Toc210589421"/>
      <w:bookmarkEnd w:id="665"/>
      <w:bookmarkEnd w:id="666"/>
      <w:bookmarkEnd w:id="667"/>
      <w:bookmarkEnd w:id="668"/>
      <w:r w:rsidRPr="002B3F36">
        <w:t>Public</w:t>
      </w:r>
      <w:r w:rsidRPr="002B3F36">
        <w:rPr>
          <w:spacing w:val="48"/>
        </w:rPr>
        <w:t xml:space="preserve"> </w:t>
      </w:r>
      <w:r w:rsidRPr="002B3F36">
        <w:t>Consultation</w:t>
      </w:r>
      <w:bookmarkEnd w:id="669"/>
      <w:bookmarkEnd w:id="670"/>
      <w:bookmarkEnd w:id="671"/>
      <w:bookmarkEnd w:id="672"/>
      <w:bookmarkEnd w:id="673"/>
      <w:bookmarkEnd w:id="674"/>
    </w:p>
    <w:p w14:paraId="2F59EA39" w14:textId="28A2F239" w:rsidR="00F61F8E" w:rsidRPr="002B3F36" w:rsidRDefault="000F264B">
      <w:pPr>
        <w:pStyle w:val="ReportParagraph"/>
      </w:pPr>
      <w:r w:rsidRPr="002B3F36">
        <w:t>In</w:t>
      </w:r>
      <w:r w:rsidRPr="002B3F36">
        <w:rPr>
          <w:spacing w:val="-5"/>
        </w:rPr>
        <w:t xml:space="preserve"> </w:t>
      </w:r>
      <w:r w:rsidRPr="002B3F36">
        <w:t>Kazakhstan,</w:t>
      </w:r>
      <w:r w:rsidRPr="002B3F36">
        <w:rPr>
          <w:spacing w:val="-7"/>
        </w:rPr>
        <w:t xml:space="preserve"> </w:t>
      </w:r>
      <w:r w:rsidRPr="002B3F36">
        <w:t>the</w:t>
      </w:r>
      <w:r w:rsidRPr="002B3F36">
        <w:rPr>
          <w:spacing w:val="-5"/>
        </w:rPr>
        <w:t xml:space="preserve"> </w:t>
      </w:r>
      <w:r w:rsidRPr="002B3F36">
        <w:t>Ministry</w:t>
      </w:r>
      <w:r w:rsidRPr="002B3F36">
        <w:rPr>
          <w:spacing w:val="-5"/>
        </w:rPr>
        <w:t xml:space="preserve"> </w:t>
      </w:r>
      <w:r w:rsidRPr="002B3F36">
        <w:t>of</w:t>
      </w:r>
      <w:r w:rsidRPr="002B3F36">
        <w:rPr>
          <w:spacing w:val="-5"/>
        </w:rPr>
        <w:t xml:space="preserve"> </w:t>
      </w:r>
      <w:r w:rsidRPr="002B3F36">
        <w:t>Information</w:t>
      </w:r>
      <w:r w:rsidRPr="002B3F36">
        <w:rPr>
          <w:spacing w:val="-5"/>
        </w:rPr>
        <w:t xml:space="preserve"> </w:t>
      </w:r>
      <w:r w:rsidRPr="002B3F36">
        <w:t>and</w:t>
      </w:r>
      <w:r w:rsidRPr="002B3F36">
        <w:rPr>
          <w:spacing w:val="-5"/>
        </w:rPr>
        <w:t xml:space="preserve"> </w:t>
      </w:r>
      <w:r w:rsidRPr="002B3F36">
        <w:t>Communications</w:t>
      </w:r>
      <w:r w:rsidRPr="002B3F36">
        <w:rPr>
          <w:spacing w:val="-7"/>
        </w:rPr>
        <w:t xml:space="preserve"> </w:t>
      </w:r>
      <w:r w:rsidRPr="002B3F36">
        <w:t>oversees</w:t>
      </w:r>
      <w:r w:rsidRPr="002B3F36">
        <w:rPr>
          <w:spacing w:val="-7"/>
        </w:rPr>
        <w:t xml:space="preserve"> </w:t>
      </w:r>
      <w:r w:rsidRPr="002B3F36">
        <w:t>the</w:t>
      </w:r>
      <w:r w:rsidRPr="002B3F36">
        <w:rPr>
          <w:spacing w:val="-5"/>
        </w:rPr>
        <w:t xml:space="preserve"> </w:t>
      </w:r>
      <w:r w:rsidRPr="002B3F36">
        <w:t>enforcement</w:t>
      </w:r>
      <w:r w:rsidRPr="002B3F36">
        <w:rPr>
          <w:spacing w:val="-4"/>
        </w:rPr>
        <w:t xml:space="preserve"> </w:t>
      </w:r>
      <w:r w:rsidRPr="002B3F36">
        <w:t>of the Law on Access to Information and the dissemination of government information. Meanwhile,</w:t>
      </w:r>
      <w:r w:rsidRPr="002B3F36">
        <w:rPr>
          <w:spacing w:val="-5"/>
        </w:rPr>
        <w:t xml:space="preserve"> </w:t>
      </w:r>
      <w:r w:rsidRPr="002B3F36">
        <w:t>the</w:t>
      </w:r>
      <w:r w:rsidRPr="002B3F36">
        <w:rPr>
          <w:spacing w:val="-3"/>
        </w:rPr>
        <w:t xml:space="preserve"> </w:t>
      </w:r>
      <w:r w:rsidRPr="002B3F36">
        <w:t>Ministry</w:t>
      </w:r>
      <w:r w:rsidRPr="002B3F36">
        <w:rPr>
          <w:spacing w:val="-2"/>
        </w:rPr>
        <w:t xml:space="preserve"> </w:t>
      </w:r>
      <w:r w:rsidRPr="002B3F36">
        <w:t>of</w:t>
      </w:r>
      <w:r w:rsidRPr="002B3F36">
        <w:rPr>
          <w:spacing w:val="-5"/>
        </w:rPr>
        <w:t xml:space="preserve"> </w:t>
      </w:r>
      <w:r w:rsidRPr="002B3F36">
        <w:t>Social</w:t>
      </w:r>
      <w:r w:rsidRPr="002B3F36">
        <w:rPr>
          <w:spacing w:val="-3"/>
        </w:rPr>
        <w:t xml:space="preserve"> </w:t>
      </w:r>
      <w:r w:rsidRPr="002B3F36">
        <w:t>Development</w:t>
      </w:r>
      <w:r w:rsidRPr="002B3F36">
        <w:rPr>
          <w:spacing w:val="-3"/>
        </w:rPr>
        <w:t xml:space="preserve"> </w:t>
      </w:r>
      <w:r w:rsidRPr="002B3F36">
        <w:t>is</w:t>
      </w:r>
      <w:r w:rsidRPr="002B3F36">
        <w:rPr>
          <w:spacing w:val="-5"/>
        </w:rPr>
        <w:t xml:space="preserve"> </w:t>
      </w:r>
      <w:r w:rsidRPr="002B3F36">
        <w:t>responsible</w:t>
      </w:r>
      <w:r w:rsidRPr="002B3F36">
        <w:rPr>
          <w:spacing w:val="-3"/>
        </w:rPr>
        <w:t xml:space="preserve"> </w:t>
      </w:r>
      <w:r w:rsidRPr="002B3F36">
        <w:t>for</w:t>
      </w:r>
      <w:r w:rsidRPr="002B3F36">
        <w:rPr>
          <w:spacing w:val="-3"/>
        </w:rPr>
        <w:t xml:space="preserve"> </w:t>
      </w:r>
      <w:r w:rsidRPr="002B3F36">
        <w:t>facilitating</w:t>
      </w:r>
      <w:r w:rsidRPr="002B3F36">
        <w:rPr>
          <w:spacing w:val="-3"/>
        </w:rPr>
        <w:t xml:space="preserve"> </w:t>
      </w:r>
      <w:r w:rsidRPr="002B3F36">
        <w:t>opportunities</w:t>
      </w:r>
      <w:r w:rsidRPr="002B3F36">
        <w:rPr>
          <w:spacing w:val="-2"/>
        </w:rPr>
        <w:t xml:space="preserve"> </w:t>
      </w:r>
      <w:r w:rsidRPr="002B3F36">
        <w:t xml:space="preserve">for stakeholder engagement and assisting the activities of Public Councils. The key public consultation regulations are presented in the </w:t>
      </w:r>
      <w:hyperlink w:anchor="_bookmark70" w:history="1">
        <w:r w:rsidR="00F61F8E" w:rsidRPr="002B3F36">
          <w:t xml:space="preserve">Table </w:t>
        </w:r>
      </w:hyperlink>
      <w:r w:rsidRPr="002B3F36">
        <w:t>below.</w:t>
      </w:r>
    </w:p>
    <w:p w14:paraId="277B4847" w14:textId="77777777" w:rsidR="00F61F8E" w:rsidRPr="002B3F36" w:rsidRDefault="00F61F8E">
      <w:pPr>
        <w:pStyle w:val="ReportParagraph"/>
      </w:pPr>
    </w:p>
    <w:p w14:paraId="3F908EC7" w14:textId="5522B699" w:rsidR="00F61F8E" w:rsidRPr="002B3F36" w:rsidRDefault="00517A3E" w:rsidP="000E123E">
      <w:pPr>
        <w:pStyle w:val="CaptionTable"/>
      </w:pPr>
      <w:bookmarkStart w:id="675" w:name="_bookmark70"/>
      <w:bookmarkStart w:id="676" w:name="_Toc210589553"/>
      <w:bookmarkEnd w:id="675"/>
      <w:r w:rsidRPr="002B3F36">
        <w:t xml:space="preserve">Table </w:t>
      </w:r>
      <w:r w:rsidR="00F30C2C" w:rsidRPr="002B3F36">
        <w:fldChar w:fldCharType="begin"/>
      </w:r>
      <w:r w:rsidR="00F30C2C" w:rsidRPr="002B3F36">
        <w:rPr>
          <w:noProof/>
        </w:rPr>
        <w:instrText xml:space="preserve"> SEQ Table \* ARABIC </w:instrText>
      </w:r>
      <w:r w:rsidR="00F30C2C" w:rsidRPr="002B3F36">
        <w:fldChar w:fldCharType="separate"/>
      </w:r>
      <w:r w:rsidR="00A023DA">
        <w:rPr>
          <w:noProof/>
        </w:rPr>
        <w:t>9</w:t>
      </w:r>
      <w:r w:rsidR="00F30C2C" w:rsidRPr="002B3F36">
        <w:fldChar w:fldCharType="end"/>
      </w:r>
      <w:r w:rsidR="000F264B" w:rsidRPr="002B3F36">
        <w:rPr>
          <w:spacing w:val="-5"/>
        </w:rPr>
        <w:t>:</w:t>
      </w:r>
      <w:r w:rsidR="006D654A" w:rsidRPr="002B3F36">
        <w:rPr>
          <w:spacing w:val="-5"/>
        </w:rPr>
        <w:t xml:space="preserve"> </w:t>
      </w:r>
      <w:r w:rsidR="000F264B" w:rsidRPr="002B3F36">
        <w:t>Public</w:t>
      </w:r>
      <w:r w:rsidR="000F264B" w:rsidRPr="002B3F36">
        <w:rPr>
          <w:spacing w:val="7"/>
        </w:rPr>
        <w:t xml:space="preserve"> </w:t>
      </w:r>
      <w:r w:rsidR="000F264B" w:rsidRPr="002B3F36">
        <w:t>Consultation</w:t>
      </w:r>
      <w:r w:rsidR="000F264B" w:rsidRPr="002B3F36">
        <w:rPr>
          <w:spacing w:val="7"/>
        </w:rPr>
        <w:t xml:space="preserve"> </w:t>
      </w:r>
      <w:r w:rsidR="000F264B" w:rsidRPr="002B3F36">
        <w:rPr>
          <w:spacing w:val="-2"/>
        </w:rPr>
        <w:t>Regulations</w:t>
      </w:r>
      <w:bookmarkEnd w:id="676"/>
    </w:p>
    <w:tbl>
      <w:tblPr>
        <w:tblStyle w:val="TableGrid2"/>
        <w:tblW w:w="0" w:type="auto"/>
        <w:tblLayout w:type="fixed"/>
        <w:tblLook w:val="01E0" w:firstRow="1" w:lastRow="1" w:firstColumn="1" w:lastColumn="1" w:noHBand="0" w:noVBand="0"/>
      </w:tblPr>
      <w:tblGrid>
        <w:gridCol w:w="8815"/>
        <w:gridCol w:w="941"/>
      </w:tblGrid>
      <w:tr w:rsidR="00F61F8E" w:rsidRPr="002B3F36" w14:paraId="440179EC" w14:textId="77777777" w:rsidTr="00F82096">
        <w:trPr>
          <w:trHeight w:val="388"/>
        </w:trPr>
        <w:tc>
          <w:tcPr>
            <w:tcW w:w="8815" w:type="dxa"/>
            <w:shd w:val="clear" w:color="auto" w:fill="F2F2F2" w:themeFill="background1" w:themeFillShade="F2"/>
          </w:tcPr>
          <w:p w14:paraId="27C250F8" w14:textId="77777777" w:rsidR="00F61F8E" w:rsidRPr="002B3F36" w:rsidRDefault="000F264B" w:rsidP="00FA38ED">
            <w:pPr>
              <w:pStyle w:val="TableParagraph"/>
              <w:spacing w:before="0"/>
              <w:ind w:left="122"/>
              <w:jc w:val="center"/>
              <w:rPr>
                <w:rFonts w:ascii="Arial" w:hAnsi="Arial" w:cs="Arial"/>
                <w:b/>
                <w:sz w:val="20"/>
                <w:szCs w:val="20"/>
              </w:rPr>
            </w:pPr>
            <w:r w:rsidRPr="002B3F36">
              <w:rPr>
                <w:rFonts w:ascii="Arial" w:hAnsi="Arial" w:cs="Arial"/>
                <w:b/>
                <w:sz w:val="20"/>
                <w:szCs w:val="20"/>
              </w:rPr>
              <w:lastRenderedPageBreak/>
              <w:t>National</w:t>
            </w:r>
            <w:r w:rsidRPr="002B3F36">
              <w:rPr>
                <w:rFonts w:ascii="Arial" w:hAnsi="Arial" w:cs="Arial"/>
                <w:b/>
                <w:spacing w:val="26"/>
                <w:sz w:val="20"/>
                <w:szCs w:val="20"/>
              </w:rPr>
              <w:t xml:space="preserve"> </w:t>
            </w:r>
            <w:r w:rsidRPr="002B3F36">
              <w:rPr>
                <w:rFonts w:ascii="Arial" w:hAnsi="Arial" w:cs="Arial"/>
                <w:b/>
                <w:sz w:val="20"/>
                <w:szCs w:val="20"/>
              </w:rPr>
              <w:t>Legal</w:t>
            </w:r>
            <w:r w:rsidRPr="002B3F36">
              <w:rPr>
                <w:rFonts w:ascii="Arial" w:hAnsi="Arial" w:cs="Arial"/>
                <w:b/>
                <w:spacing w:val="24"/>
                <w:sz w:val="20"/>
                <w:szCs w:val="20"/>
              </w:rPr>
              <w:t xml:space="preserve"> </w:t>
            </w:r>
            <w:r w:rsidRPr="002B3F36">
              <w:rPr>
                <w:rFonts w:ascii="Arial" w:hAnsi="Arial" w:cs="Arial"/>
                <w:b/>
                <w:spacing w:val="-2"/>
                <w:sz w:val="20"/>
                <w:szCs w:val="20"/>
              </w:rPr>
              <w:t>Requirements</w:t>
            </w:r>
          </w:p>
        </w:tc>
        <w:tc>
          <w:tcPr>
            <w:tcW w:w="941" w:type="dxa"/>
            <w:shd w:val="clear" w:color="auto" w:fill="F2F2F2" w:themeFill="background1" w:themeFillShade="F2"/>
          </w:tcPr>
          <w:p w14:paraId="64A90A6A" w14:textId="77777777" w:rsidR="00F61F8E" w:rsidRPr="002B3F36" w:rsidRDefault="000F264B" w:rsidP="00FA38ED">
            <w:pPr>
              <w:pStyle w:val="TableParagraph"/>
              <w:spacing w:before="0"/>
              <w:ind w:left="1" w:right="9"/>
              <w:jc w:val="center"/>
              <w:rPr>
                <w:rFonts w:ascii="Arial" w:hAnsi="Arial" w:cs="Arial"/>
                <w:b/>
                <w:sz w:val="20"/>
                <w:szCs w:val="20"/>
              </w:rPr>
            </w:pPr>
            <w:r w:rsidRPr="002B3F36">
              <w:rPr>
                <w:rFonts w:ascii="Arial" w:hAnsi="Arial" w:cs="Arial"/>
                <w:b/>
                <w:spacing w:val="-4"/>
                <w:sz w:val="20"/>
                <w:szCs w:val="20"/>
              </w:rPr>
              <w:t>Year</w:t>
            </w:r>
          </w:p>
        </w:tc>
      </w:tr>
      <w:tr w:rsidR="00F61F8E" w:rsidRPr="002B3F36" w14:paraId="68F7E5F4" w14:textId="77777777">
        <w:trPr>
          <w:trHeight w:val="597"/>
        </w:trPr>
        <w:tc>
          <w:tcPr>
            <w:tcW w:w="8815" w:type="dxa"/>
          </w:tcPr>
          <w:p w14:paraId="07AF1E6A" w14:textId="77777777" w:rsidR="00F61F8E" w:rsidRPr="002B3F36" w:rsidRDefault="000F264B">
            <w:pPr>
              <w:pStyle w:val="TableParagraph"/>
              <w:spacing w:before="0"/>
              <w:ind w:left="122" w:right="161"/>
              <w:jc w:val="both"/>
              <w:rPr>
                <w:rFonts w:ascii="Arial" w:hAnsi="Arial" w:cs="Arial"/>
                <w:sz w:val="20"/>
                <w:szCs w:val="20"/>
              </w:rPr>
            </w:pPr>
            <w:r w:rsidRPr="002B3F36">
              <w:rPr>
                <w:rFonts w:ascii="Arial" w:hAnsi="Arial" w:cs="Arial"/>
                <w:sz w:val="20"/>
                <w:szCs w:val="20"/>
              </w:rPr>
              <w:t>Law of the</w:t>
            </w:r>
            <w:r w:rsidRPr="002B3F36">
              <w:rPr>
                <w:rFonts w:ascii="Arial" w:hAnsi="Arial" w:cs="Arial"/>
                <w:spacing w:val="21"/>
                <w:sz w:val="20"/>
                <w:szCs w:val="20"/>
              </w:rPr>
              <w:t xml:space="preserve"> </w:t>
            </w:r>
            <w:r w:rsidRPr="002B3F36">
              <w:rPr>
                <w:rFonts w:ascii="Arial" w:hAnsi="Arial" w:cs="Arial"/>
                <w:sz w:val="20"/>
                <w:szCs w:val="20"/>
              </w:rPr>
              <w:t>Republic of Kazakhstan “On Access to</w:t>
            </w:r>
            <w:r w:rsidRPr="002B3F36">
              <w:rPr>
                <w:rFonts w:ascii="Arial" w:hAnsi="Arial" w:cs="Arial"/>
                <w:spacing w:val="32"/>
                <w:sz w:val="20"/>
                <w:szCs w:val="20"/>
              </w:rPr>
              <w:t xml:space="preserve"> </w:t>
            </w:r>
            <w:r w:rsidRPr="002B3F36">
              <w:rPr>
                <w:rFonts w:ascii="Arial" w:hAnsi="Arial" w:cs="Arial"/>
                <w:sz w:val="20"/>
                <w:szCs w:val="20"/>
              </w:rPr>
              <w:t>Information”, dated 16</w:t>
            </w:r>
            <w:r w:rsidRPr="002B3F36">
              <w:rPr>
                <w:rFonts w:ascii="Arial" w:hAnsi="Arial" w:cs="Arial"/>
                <w:spacing w:val="21"/>
                <w:sz w:val="20"/>
                <w:szCs w:val="20"/>
              </w:rPr>
              <w:t xml:space="preserve"> </w:t>
            </w:r>
            <w:r w:rsidRPr="002B3F36">
              <w:rPr>
                <w:rFonts w:ascii="Arial" w:hAnsi="Arial" w:cs="Arial"/>
                <w:sz w:val="20"/>
                <w:szCs w:val="20"/>
              </w:rPr>
              <w:t>November 2015</w:t>
            </w:r>
            <w:r w:rsidRPr="002B3F36">
              <w:rPr>
                <w:rFonts w:ascii="Arial" w:hAnsi="Arial" w:cs="Arial"/>
                <w:spacing w:val="21"/>
                <w:sz w:val="20"/>
                <w:szCs w:val="20"/>
              </w:rPr>
              <w:t xml:space="preserve"> </w:t>
            </w:r>
            <w:r w:rsidRPr="002B3F36">
              <w:rPr>
                <w:rFonts w:ascii="Arial" w:hAnsi="Arial" w:cs="Arial"/>
                <w:sz w:val="20"/>
                <w:szCs w:val="20"/>
              </w:rPr>
              <w:t xml:space="preserve">No. </w:t>
            </w:r>
            <w:r w:rsidRPr="002B3F36">
              <w:rPr>
                <w:rFonts w:ascii="Arial" w:hAnsi="Arial" w:cs="Arial"/>
                <w:spacing w:val="-2"/>
                <w:sz w:val="20"/>
                <w:szCs w:val="20"/>
              </w:rPr>
              <w:t>401-V</w:t>
            </w:r>
          </w:p>
        </w:tc>
        <w:tc>
          <w:tcPr>
            <w:tcW w:w="941" w:type="dxa"/>
          </w:tcPr>
          <w:p w14:paraId="642E8D84" w14:textId="77777777" w:rsidR="00F61F8E" w:rsidRPr="002B3F36" w:rsidRDefault="000F264B">
            <w:pPr>
              <w:pStyle w:val="TableParagraph"/>
              <w:spacing w:before="0"/>
              <w:ind w:left="0" w:right="9"/>
              <w:jc w:val="both"/>
              <w:rPr>
                <w:rFonts w:ascii="Arial" w:hAnsi="Arial" w:cs="Arial"/>
                <w:sz w:val="20"/>
                <w:szCs w:val="20"/>
              </w:rPr>
            </w:pPr>
            <w:r w:rsidRPr="002B3F36">
              <w:rPr>
                <w:rFonts w:ascii="Arial" w:hAnsi="Arial" w:cs="Arial"/>
                <w:spacing w:val="-4"/>
                <w:sz w:val="20"/>
                <w:szCs w:val="20"/>
              </w:rPr>
              <w:t>2015</w:t>
            </w:r>
          </w:p>
        </w:tc>
      </w:tr>
      <w:tr w:rsidR="00F61F8E" w:rsidRPr="002B3F36" w14:paraId="4AAEC7C7" w14:textId="77777777">
        <w:trPr>
          <w:trHeight w:val="388"/>
        </w:trPr>
        <w:tc>
          <w:tcPr>
            <w:tcW w:w="8815" w:type="dxa"/>
          </w:tcPr>
          <w:p w14:paraId="093DBC27"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Law</w:t>
            </w:r>
            <w:r w:rsidRPr="002B3F36">
              <w:rPr>
                <w:rFonts w:ascii="Arial" w:hAnsi="Arial" w:cs="Arial"/>
                <w:spacing w:val="15"/>
                <w:sz w:val="20"/>
                <w:szCs w:val="20"/>
              </w:rPr>
              <w:t xml:space="preserve"> </w:t>
            </w:r>
            <w:r w:rsidRPr="002B3F36">
              <w:rPr>
                <w:rFonts w:ascii="Arial" w:hAnsi="Arial" w:cs="Arial"/>
                <w:sz w:val="20"/>
                <w:szCs w:val="20"/>
              </w:rPr>
              <w:t>of</w:t>
            </w:r>
            <w:r w:rsidRPr="002B3F36">
              <w:rPr>
                <w:rFonts w:ascii="Arial" w:hAnsi="Arial" w:cs="Arial"/>
                <w:spacing w:val="17"/>
                <w:sz w:val="20"/>
                <w:szCs w:val="20"/>
              </w:rPr>
              <w:t xml:space="preserve"> </w:t>
            </w:r>
            <w:r w:rsidRPr="002B3F36">
              <w:rPr>
                <w:rFonts w:ascii="Arial" w:hAnsi="Arial" w:cs="Arial"/>
                <w:sz w:val="20"/>
                <w:szCs w:val="20"/>
              </w:rPr>
              <w:t>the</w:t>
            </w:r>
            <w:r w:rsidRPr="002B3F36">
              <w:rPr>
                <w:rFonts w:ascii="Arial" w:hAnsi="Arial" w:cs="Arial"/>
                <w:spacing w:val="21"/>
                <w:sz w:val="20"/>
                <w:szCs w:val="20"/>
              </w:rPr>
              <w:t xml:space="preserve"> </w:t>
            </w:r>
            <w:r w:rsidRPr="002B3F36">
              <w:rPr>
                <w:rFonts w:ascii="Arial" w:hAnsi="Arial" w:cs="Arial"/>
                <w:sz w:val="20"/>
                <w:szCs w:val="20"/>
              </w:rPr>
              <w:t>Republic</w:t>
            </w:r>
            <w:r w:rsidRPr="002B3F36">
              <w:rPr>
                <w:rFonts w:ascii="Arial" w:hAnsi="Arial" w:cs="Arial"/>
                <w:spacing w:val="21"/>
                <w:sz w:val="20"/>
                <w:szCs w:val="20"/>
              </w:rPr>
              <w:t xml:space="preserve"> </w:t>
            </w:r>
            <w:r w:rsidRPr="002B3F36">
              <w:rPr>
                <w:rFonts w:ascii="Arial" w:hAnsi="Arial" w:cs="Arial"/>
                <w:sz w:val="20"/>
                <w:szCs w:val="20"/>
              </w:rPr>
              <w:t>of</w:t>
            </w:r>
            <w:r w:rsidRPr="002B3F36">
              <w:rPr>
                <w:rFonts w:ascii="Arial" w:hAnsi="Arial" w:cs="Arial"/>
                <w:spacing w:val="17"/>
                <w:sz w:val="20"/>
                <w:szCs w:val="20"/>
              </w:rPr>
              <w:t xml:space="preserve"> </w:t>
            </w:r>
            <w:r w:rsidRPr="002B3F36">
              <w:rPr>
                <w:rFonts w:ascii="Arial" w:hAnsi="Arial" w:cs="Arial"/>
                <w:sz w:val="20"/>
                <w:szCs w:val="20"/>
              </w:rPr>
              <w:t>Kazakhstan</w:t>
            </w:r>
            <w:r w:rsidRPr="002B3F36">
              <w:rPr>
                <w:rFonts w:ascii="Arial" w:hAnsi="Arial" w:cs="Arial"/>
                <w:spacing w:val="19"/>
                <w:sz w:val="20"/>
                <w:szCs w:val="20"/>
              </w:rPr>
              <w:t xml:space="preserve"> </w:t>
            </w:r>
            <w:r w:rsidRPr="002B3F36">
              <w:rPr>
                <w:rFonts w:ascii="Arial" w:hAnsi="Arial" w:cs="Arial"/>
                <w:sz w:val="20"/>
                <w:szCs w:val="20"/>
              </w:rPr>
              <w:t>“On</w:t>
            </w:r>
            <w:r w:rsidRPr="002B3F36">
              <w:rPr>
                <w:rFonts w:ascii="Arial" w:hAnsi="Arial" w:cs="Arial"/>
                <w:spacing w:val="20"/>
                <w:sz w:val="20"/>
                <w:szCs w:val="20"/>
              </w:rPr>
              <w:t xml:space="preserve"> </w:t>
            </w:r>
            <w:r w:rsidRPr="002B3F36">
              <w:rPr>
                <w:rFonts w:ascii="Arial" w:hAnsi="Arial" w:cs="Arial"/>
                <w:sz w:val="20"/>
                <w:szCs w:val="20"/>
              </w:rPr>
              <w:t>Public</w:t>
            </w:r>
            <w:r w:rsidRPr="002B3F36">
              <w:rPr>
                <w:rFonts w:ascii="Arial" w:hAnsi="Arial" w:cs="Arial"/>
                <w:spacing w:val="20"/>
                <w:sz w:val="20"/>
                <w:szCs w:val="20"/>
              </w:rPr>
              <w:t xml:space="preserve"> </w:t>
            </w:r>
            <w:r w:rsidRPr="002B3F36">
              <w:rPr>
                <w:rFonts w:ascii="Arial" w:hAnsi="Arial" w:cs="Arial"/>
                <w:sz w:val="20"/>
                <w:szCs w:val="20"/>
              </w:rPr>
              <w:t>Councils”</w:t>
            </w:r>
            <w:r w:rsidRPr="002B3F36">
              <w:rPr>
                <w:rFonts w:ascii="Arial" w:hAnsi="Arial" w:cs="Arial"/>
                <w:spacing w:val="20"/>
                <w:sz w:val="20"/>
                <w:szCs w:val="20"/>
              </w:rPr>
              <w:t xml:space="preserve"> </w:t>
            </w:r>
            <w:r w:rsidRPr="002B3F36">
              <w:rPr>
                <w:rFonts w:ascii="Arial" w:hAnsi="Arial" w:cs="Arial"/>
                <w:sz w:val="20"/>
                <w:szCs w:val="20"/>
              </w:rPr>
              <w:t>(as</w:t>
            </w:r>
            <w:r w:rsidRPr="002B3F36">
              <w:rPr>
                <w:rFonts w:ascii="Arial" w:hAnsi="Arial" w:cs="Arial"/>
                <w:spacing w:val="20"/>
                <w:sz w:val="20"/>
                <w:szCs w:val="20"/>
              </w:rPr>
              <w:t xml:space="preserve"> </w:t>
            </w:r>
            <w:r w:rsidRPr="002B3F36">
              <w:rPr>
                <w:rFonts w:ascii="Arial" w:hAnsi="Arial" w:cs="Arial"/>
                <w:sz w:val="20"/>
                <w:szCs w:val="20"/>
              </w:rPr>
              <w:t>amended</w:t>
            </w:r>
            <w:r w:rsidRPr="002B3F36">
              <w:rPr>
                <w:rFonts w:ascii="Arial" w:hAnsi="Arial" w:cs="Arial"/>
                <w:spacing w:val="21"/>
                <w:sz w:val="20"/>
                <w:szCs w:val="20"/>
              </w:rPr>
              <w:t xml:space="preserve"> </w:t>
            </w:r>
            <w:r w:rsidRPr="002B3F36">
              <w:rPr>
                <w:rFonts w:ascii="Arial" w:hAnsi="Arial" w:cs="Arial"/>
                <w:sz w:val="20"/>
                <w:szCs w:val="20"/>
              </w:rPr>
              <w:t>on</w:t>
            </w:r>
            <w:r w:rsidRPr="002B3F36">
              <w:rPr>
                <w:rFonts w:ascii="Arial" w:hAnsi="Arial" w:cs="Arial"/>
                <w:spacing w:val="16"/>
                <w:sz w:val="20"/>
                <w:szCs w:val="20"/>
              </w:rPr>
              <w:t xml:space="preserve"> </w:t>
            </w:r>
            <w:r w:rsidRPr="002B3F36">
              <w:rPr>
                <w:rFonts w:ascii="Arial" w:hAnsi="Arial" w:cs="Arial"/>
                <w:sz w:val="20"/>
                <w:szCs w:val="20"/>
              </w:rPr>
              <w:t>27</w:t>
            </w:r>
            <w:r w:rsidRPr="002B3F36">
              <w:rPr>
                <w:rFonts w:ascii="Arial" w:hAnsi="Arial" w:cs="Arial"/>
                <w:spacing w:val="22"/>
                <w:sz w:val="20"/>
                <w:szCs w:val="20"/>
              </w:rPr>
              <w:t xml:space="preserve"> </w:t>
            </w:r>
            <w:r w:rsidRPr="002B3F36">
              <w:rPr>
                <w:rFonts w:ascii="Arial" w:hAnsi="Arial" w:cs="Arial"/>
                <w:sz w:val="20"/>
                <w:szCs w:val="20"/>
              </w:rPr>
              <w:t>February</w:t>
            </w:r>
            <w:r w:rsidRPr="002B3F36">
              <w:rPr>
                <w:rFonts w:ascii="Arial" w:hAnsi="Arial" w:cs="Arial"/>
                <w:spacing w:val="16"/>
                <w:sz w:val="20"/>
                <w:szCs w:val="20"/>
              </w:rPr>
              <w:t xml:space="preserve"> </w:t>
            </w:r>
            <w:r w:rsidRPr="002B3F36">
              <w:rPr>
                <w:rFonts w:ascii="Arial" w:hAnsi="Arial" w:cs="Arial"/>
                <w:spacing w:val="-2"/>
                <w:sz w:val="20"/>
                <w:szCs w:val="20"/>
              </w:rPr>
              <w:t>2017)</w:t>
            </w:r>
          </w:p>
        </w:tc>
        <w:tc>
          <w:tcPr>
            <w:tcW w:w="941" w:type="dxa"/>
          </w:tcPr>
          <w:p w14:paraId="2067D6F9" w14:textId="77777777" w:rsidR="00F61F8E" w:rsidRPr="002B3F36" w:rsidRDefault="000F264B">
            <w:pPr>
              <w:pStyle w:val="TableParagraph"/>
              <w:spacing w:before="0"/>
              <w:ind w:left="0" w:right="9"/>
              <w:jc w:val="both"/>
              <w:rPr>
                <w:rFonts w:ascii="Arial" w:hAnsi="Arial" w:cs="Arial"/>
                <w:sz w:val="20"/>
                <w:szCs w:val="20"/>
              </w:rPr>
            </w:pPr>
            <w:r w:rsidRPr="002B3F36">
              <w:rPr>
                <w:rFonts w:ascii="Arial" w:hAnsi="Arial" w:cs="Arial"/>
                <w:spacing w:val="-4"/>
                <w:sz w:val="20"/>
                <w:szCs w:val="20"/>
              </w:rPr>
              <w:t>2017</w:t>
            </w:r>
          </w:p>
        </w:tc>
      </w:tr>
      <w:tr w:rsidR="00F61F8E" w:rsidRPr="002B3F36" w14:paraId="60572D15" w14:textId="77777777">
        <w:trPr>
          <w:trHeight w:val="597"/>
        </w:trPr>
        <w:tc>
          <w:tcPr>
            <w:tcW w:w="8815" w:type="dxa"/>
          </w:tcPr>
          <w:p w14:paraId="2E32F569" w14:textId="77777777" w:rsidR="00F61F8E" w:rsidRPr="002B3F36" w:rsidRDefault="000F264B">
            <w:pPr>
              <w:pStyle w:val="TableParagraph"/>
              <w:spacing w:before="0"/>
              <w:ind w:left="122" w:right="161"/>
              <w:jc w:val="both"/>
              <w:rPr>
                <w:rFonts w:ascii="Arial" w:hAnsi="Arial" w:cs="Arial"/>
                <w:sz w:val="20"/>
                <w:szCs w:val="20"/>
              </w:rPr>
            </w:pPr>
            <w:r w:rsidRPr="002B3F36">
              <w:rPr>
                <w:rFonts w:ascii="Arial" w:hAnsi="Arial" w:cs="Arial"/>
                <w:sz w:val="20"/>
                <w:szCs w:val="20"/>
              </w:rPr>
              <w:t>The</w:t>
            </w:r>
            <w:r w:rsidRPr="002B3F36">
              <w:rPr>
                <w:rFonts w:ascii="Arial" w:hAnsi="Arial" w:cs="Arial"/>
                <w:spacing w:val="25"/>
                <w:sz w:val="20"/>
                <w:szCs w:val="20"/>
              </w:rPr>
              <w:t xml:space="preserve"> </w:t>
            </w:r>
            <w:r w:rsidRPr="002B3F36">
              <w:rPr>
                <w:rFonts w:ascii="Arial" w:hAnsi="Arial" w:cs="Arial"/>
                <w:sz w:val="20"/>
                <w:szCs w:val="20"/>
              </w:rPr>
              <w:t>Ecological</w:t>
            </w:r>
            <w:r w:rsidRPr="002B3F36">
              <w:rPr>
                <w:rFonts w:ascii="Arial" w:hAnsi="Arial" w:cs="Arial"/>
                <w:spacing w:val="25"/>
                <w:sz w:val="20"/>
                <w:szCs w:val="20"/>
              </w:rPr>
              <w:t xml:space="preserve"> </w:t>
            </w:r>
            <w:r w:rsidRPr="002B3F36">
              <w:rPr>
                <w:rFonts w:ascii="Arial" w:hAnsi="Arial" w:cs="Arial"/>
                <w:sz w:val="20"/>
                <w:szCs w:val="20"/>
              </w:rPr>
              <w:t>Code of Kazakhstan (#400-VI, adopted 2</w:t>
            </w:r>
            <w:r w:rsidRPr="002B3F36">
              <w:rPr>
                <w:rFonts w:ascii="Arial" w:hAnsi="Arial" w:cs="Arial"/>
                <w:spacing w:val="25"/>
                <w:sz w:val="20"/>
                <w:szCs w:val="20"/>
              </w:rPr>
              <w:t xml:space="preserve"> </w:t>
            </w:r>
            <w:r w:rsidRPr="002B3F36">
              <w:rPr>
                <w:rFonts w:ascii="Arial" w:hAnsi="Arial" w:cs="Arial"/>
                <w:sz w:val="20"/>
                <w:szCs w:val="20"/>
              </w:rPr>
              <w:t>January 2021, with the last amendment on May 21, 2024)</w:t>
            </w:r>
          </w:p>
        </w:tc>
        <w:tc>
          <w:tcPr>
            <w:tcW w:w="941" w:type="dxa"/>
          </w:tcPr>
          <w:p w14:paraId="73FD87FF" w14:textId="77777777" w:rsidR="00F61F8E" w:rsidRPr="002B3F36" w:rsidRDefault="000F264B">
            <w:pPr>
              <w:pStyle w:val="TableParagraph"/>
              <w:spacing w:before="0"/>
              <w:ind w:left="0" w:right="9"/>
              <w:jc w:val="both"/>
              <w:rPr>
                <w:rFonts w:ascii="Arial" w:hAnsi="Arial" w:cs="Arial"/>
                <w:sz w:val="20"/>
                <w:szCs w:val="20"/>
              </w:rPr>
            </w:pPr>
            <w:r w:rsidRPr="002B3F36">
              <w:rPr>
                <w:rFonts w:ascii="Arial" w:hAnsi="Arial" w:cs="Arial"/>
                <w:spacing w:val="-4"/>
                <w:sz w:val="20"/>
                <w:szCs w:val="20"/>
              </w:rPr>
              <w:t>2024</w:t>
            </w:r>
          </w:p>
        </w:tc>
      </w:tr>
    </w:tbl>
    <w:p w14:paraId="0B696AC1" w14:textId="77777777" w:rsidR="00F61F8E" w:rsidRPr="002B3F36" w:rsidRDefault="00F61F8E">
      <w:pPr>
        <w:pStyle w:val="ReportParagraph"/>
      </w:pPr>
    </w:p>
    <w:p w14:paraId="0E470855" w14:textId="40FAE745" w:rsidR="00FB378C" w:rsidRPr="002B3F36" w:rsidRDefault="00FB378C">
      <w:pPr>
        <w:pStyle w:val="ReportParagraph"/>
        <w:rPr>
          <w:spacing w:val="-2"/>
        </w:rPr>
      </w:pPr>
    </w:p>
    <w:p w14:paraId="0680886B" w14:textId="77777777" w:rsidR="00F61F8E" w:rsidRPr="002B3F36" w:rsidRDefault="000F264B">
      <w:pPr>
        <w:pStyle w:val="numbereditemsinpar"/>
      </w:pPr>
      <w:r w:rsidRPr="002B3F36">
        <w:t>Law</w:t>
      </w:r>
      <w:r w:rsidRPr="002B3F36">
        <w:rPr>
          <w:spacing w:val="-6"/>
        </w:rPr>
        <w:t xml:space="preserve"> </w:t>
      </w:r>
      <w:r w:rsidRPr="002B3F36">
        <w:t>of</w:t>
      </w:r>
      <w:r w:rsidRPr="002B3F36">
        <w:rPr>
          <w:spacing w:val="-6"/>
        </w:rPr>
        <w:t xml:space="preserve"> </w:t>
      </w:r>
      <w:r w:rsidRPr="002B3F36">
        <w:t>the</w:t>
      </w:r>
      <w:r w:rsidRPr="002B3F36">
        <w:rPr>
          <w:spacing w:val="-6"/>
        </w:rPr>
        <w:t xml:space="preserve"> </w:t>
      </w:r>
      <w:r w:rsidRPr="002B3F36">
        <w:t>Republic</w:t>
      </w:r>
      <w:r w:rsidRPr="002B3F36">
        <w:rPr>
          <w:spacing w:val="-5"/>
        </w:rPr>
        <w:t xml:space="preserve"> </w:t>
      </w:r>
      <w:r w:rsidRPr="002B3F36">
        <w:t>of</w:t>
      </w:r>
      <w:r w:rsidRPr="002B3F36">
        <w:rPr>
          <w:spacing w:val="-8"/>
        </w:rPr>
        <w:t xml:space="preserve"> </w:t>
      </w:r>
      <w:r w:rsidRPr="002B3F36">
        <w:t>Kazakhstan</w:t>
      </w:r>
      <w:r w:rsidRPr="002B3F36">
        <w:rPr>
          <w:spacing w:val="-8"/>
        </w:rPr>
        <w:t xml:space="preserve"> </w:t>
      </w:r>
      <w:r w:rsidRPr="002B3F36">
        <w:t>“On</w:t>
      </w:r>
      <w:r w:rsidRPr="002B3F36">
        <w:rPr>
          <w:spacing w:val="-4"/>
        </w:rPr>
        <w:t xml:space="preserve"> </w:t>
      </w:r>
      <w:r w:rsidRPr="002B3F36">
        <w:t>Access</w:t>
      </w:r>
      <w:r w:rsidRPr="002B3F36">
        <w:rPr>
          <w:spacing w:val="-6"/>
        </w:rPr>
        <w:t xml:space="preserve"> </w:t>
      </w:r>
      <w:r w:rsidRPr="002B3F36">
        <w:t>to</w:t>
      </w:r>
      <w:r w:rsidRPr="002B3F36">
        <w:rPr>
          <w:spacing w:val="-5"/>
        </w:rPr>
        <w:t xml:space="preserve"> </w:t>
      </w:r>
      <w:r w:rsidRPr="002B3F36">
        <w:rPr>
          <w:spacing w:val="-2"/>
        </w:rPr>
        <w:t>Information”</w:t>
      </w:r>
    </w:p>
    <w:p w14:paraId="0BFE276C" w14:textId="77777777" w:rsidR="00F61F8E" w:rsidRPr="002B3F36" w:rsidRDefault="000F264B">
      <w:pPr>
        <w:pStyle w:val="2ndParaBody"/>
      </w:pPr>
      <w:r w:rsidRPr="002B3F36">
        <w:rPr>
          <w:rStyle w:val="ReportParagraphChar"/>
        </w:rPr>
        <w:t>The Law of the Republic of Kazakhstan on Access to Information emphasizes promoting transparency and public access to governmental information. It outlines the establishment of various online platforms, including an Open Data Portal, an Open Dialogue Portal for public interaction with officials, and a portal for Normative Legal Acts where draft regulations can be discussed before approval. Information holders are required to make information</w:t>
      </w:r>
      <w:r w:rsidRPr="002B3F36">
        <w:t xml:space="preserve"> about their activities</w:t>
      </w:r>
      <w:r w:rsidRPr="002B3F36">
        <w:rPr>
          <w:spacing w:val="-5"/>
        </w:rPr>
        <w:t xml:space="preserve"> </w:t>
      </w:r>
      <w:r w:rsidRPr="002B3F36">
        <w:t>readily</w:t>
      </w:r>
      <w:r w:rsidRPr="002B3F36">
        <w:rPr>
          <w:spacing w:val="-7"/>
        </w:rPr>
        <w:t xml:space="preserve"> </w:t>
      </w:r>
      <w:r w:rsidRPr="002B3F36">
        <w:t>accessible,</w:t>
      </w:r>
      <w:r w:rsidRPr="002B3F36">
        <w:rPr>
          <w:spacing w:val="-8"/>
        </w:rPr>
        <w:t xml:space="preserve"> </w:t>
      </w:r>
      <w:r w:rsidRPr="002B3F36">
        <w:t>including</w:t>
      </w:r>
      <w:r w:rsidRPr="002B3F36">
        <w:rPr>
          <w:spacing w:val="-6"/>
        </w:rPr>
        <w:t xml:space="preserve"> </w:t>
      </w:r>
      <w:r w:rsidRPr="002B3F36">
        <w:t>budget</w:t>
      </w:r>
      <w:r w:rsidRPr="002B3F36">
        <w:rPr>
          <w:spacing w:val="-6"/>
        </w:rPr>
        <w:t xml:space="preserve"> </w:t>
      </w:r>
      <w:r w:rsidRPr="002B3F36">
        <w:t>reports</w:t>
      </w:r>
      <w:r w:rsidRPr="002B3F36">
        <w:rPr>
          <w:spacing w:val="-5"/>
        </w:rPr>
        <w:t xml:space="preserve"> </w:t>
      </w:r>
      <w:r w:rsidRPr="002B3F36">
        <w:t>and</w:t>
      </w:r>
      <w:r w:rsidRPr="002B3F36">
        <w:rPr>
          <w:spacing w:val="-6"/>
        </w:rPr>
        <w:t xml:space="preserve"> </w:t>
      </w:r>
      <w:r w:rsidRPr="002B3F36">
        <w:t>the</w:t>
      </w:r>
      <w:r w:rsidRPr="002B3F36">
        <w:rPr>
          <w:spacing w:val="-6"/>
        </w:rPr>
        <w:t xml:space="preserve"> </w:t>
      </w:r>
      <w:r w:rsidRPr="002B3F36">
        <w:t>results</w:t>
      </w:r>
      <w:r w:rsidRPr="002B3F36">
        <w:rPr>
          <w:spacing w:val="-5"/>
        </w:rPr>
        <w:t xml:space="preserve"> </w:t>
      </w:r>
      <w:r w:rsidRPr="002B3F36">
        <w:t>of</w:t>
      </w:r>
      <w:r w:rsidRPr="002B3F36">
        <w:rPr>
          <w:spacing w:val="-5"/>
        </w:rPr>
        <w:t xml:space="preserve"> </w:t>
      </w:r>
      <w:r w:rsidRPr="002B3F36">
        <w:t>audits.</w:t>
      </w:r>
      <w:r w:rsidRPr="002B3F36">
        <w:rPr>
          <w:spacing w:val="-8"/>
        </w:rPr>
        <w:t xml:space="preserve"> </w:t>
      </w:r>
      <w:r w:rsidRPr="002B3F36">
        <w:t>Additionally,</w:t>
      </w:r>
      <w:r w:rsidRPr="002B3F36">
        <w:rPr>
          <w:spacing w:val="-8"/>
        </w:rPr>
        <w:t xml:space="preserve"> </w:t>
      </w:r>
      <w:r w:rsidRPr="002B3F36">
        <w:t>the law mandates that meetings of governmental bodies be open to the public and ensures accessibility for individuals with disabilities. Overall, the law aims to enhance public engagement and accountability in government operations.</w:t>
      </w:r>
    </w:p>
    <w:p w14:paraId="303B16B4" w14:textId="77777777" w:rsidR="00F61F8E" w:rsidRPr="002B3F36" w:rsidRDefault="000F264B">
      <w:pPr>
        <w:pStyle w:val="numbereditemsinpar"/>
      </w:pPr>
      <w:r w:rsidRPr="002B3F36">
        <w:t>Law of the Republic of Kazakhstan “On Public Councils”</w:t>
      </w:r>
    </w:p>
    <w:p w14:paraId="65E2C145" w14:textId="77777777" w:rsidR="00F61F8E" w:rsidRPr="002B3F36" w:rsidRDefault="000F264B">
      <w:pPr>
        <w:pStyle w:val="2ndParaBody"/>
      </w:pPr>
      <w:r w:rsidRPr="002B3F36">
        <w:t>The essence of the Law on Public Councils in Kazakhstan is to establish a framework for creating</w:t>
      </w:r>
      <w:r w:rsidRPr="002B3F36">
        <w:rPr>
          <w:spacing w:val="-4"/>
        </w:rPr>
        <w:t xml:space="preserve"> </w:t>
      </w:r>
      <w:r w:rsidRPr="002B3F36">
        <w:t>and</w:t>
      </w:r>
      <w:r w:rsidRPr="002B3F36">
        <w:rPr>
          <w:spacing w:val="-4"/>
        </w:rPr>
        <w:t xml:space="preserve"> </w:t>
      </w:r>
      <w:r w:rsidRPr="002B3F36">
        <w:rPr>
          <w:rStyle w:val="ReportParagraphChar"/>
        </w:rPr>
        <w:t>regulating</w:t>
      </w:r>
      <w:r w:rsidRPr="002B3F36">
        <w:rPr>
          <w:spacing w:val="-4"/>
        </w:rPr>
        <w:t xml:space="preserve"> </w:t>
      </w:r>
      <w:r w:rsidRPr="002B3F36">
        <w:t>public</w:t>
      </w:r>
      <w:r w:rsidRPr="002B3F36">
        <w:rPr>
          <w:spacing w:val="-5"/>
        </w:rPr>
        <w:t xml:space="preserve"> </w:t>
      </w:r>
      <w:r w:rsidRPr="002B3F36">
        <w:t>councils</w:t>
      </w:r>
      <w:r w:rsidRPr="002B3F36">
        <w:rPr>
          <w:spacing w:val="-5"/>
        </w:rPr>
        <w:t xml:space="preserve"> </w:t>
      </w:r>
      <w:r w:rsidRPr="002B3F36">
        <w:t>at</w:t>
      </w:r>
      <w:r w:rsidRPr="002B3F36">
        <w:rPr>
          <w:spacing w:val="-2"/>
        </w:rPr>
        <w:t xml:space="preserve"> </w:t>
      </w:r>
      <w:r w:rsidRPr="002B3F36">
        <w:t>both</w:t>
      </w:r>
      <w:r w:rsidRPr="002B3F36">
        <w:rPr>
          <w:spacing w:val="-4"/>
        </w:rPr>
        <w:t xml:space="preserve"> </w:t>
      </w:r>
      <w:r w:rsidRPr="002B3F36">
        <w:t>the</w:t>
      </w:r>
      <w:r w:rsidRPr="002B3F36">
        <w:rPr>
          <w:spacing w:val="-5"/>
        </w:rPr>
        <w:t xml:space="preserve"> </w:t>
      </w:r>
      <w:r w:rsidRPr="002B3F36">
        <w:t>republican</w:t>
      </w:r>
      <w:r w:rsidRPr="002B3F36">
        <w:rPr>
          <w:spacing w:val="-4"/>
        </w:rPr>
        <w:t xml:space="preserve"> </w:t>
      </w:r>
      <w:r w:rsidRPr="002B3F36">
        <w:t>and</w:t>
      </w:r>
      <w:r w:rsidRPr="002B3F36">
        <w:rPr>
          <w:spacing w:val="-4"/>
        </w:rPr>
        <w:t xml:space="preserve"> </w:t>
      </w:r>
      <w:r w:rsidRPr="002B3F36">
        <w:t>local</w:t>
      </w:r>
      <w:r w:rsidRPr="002B3F36">
        <w:rPr>
          <w:spacing w:val="-4"/>
        </w:rPr>
        <w:t xml:space="preserve"> </w:t>
      </w:r>
      <w:r w:rsidRPr="002B3F36">
        <w:t>levels.</w:t>
      </w:r>
      <w:r w:rsidRPr="002B3F36">
        <w:rPr>
          <w:spacing w:val="-3"/>
        </w:rPr>
        <w:t xml:space="preserve"> </w:t>
      </w:r>
      <w:r w:rsidRPr="002B3F36">
        <w:t>These</w:t>
      </w:r>
      <w:r w:rsidRPr="002B3F36">
        <w:rPr>
          <w:spacing w:val="-5"/>
        </w:rPr>
        <w:t xml:space="preserve"> </w:t>
      </w:r>
      <w:r w:rsidRPr="002B3F36">
        <w:t>councils are intended to facilitate public participation in governance and enhance accountability and transparency within government bodies. The purpose of this law is mainly to enhance the transparency of the process and content of lawmaking by providing requirements for the procedure of making draft legal acts public and accessible for public comments:</w:t>
      </w:r>
    </w:p>
    <w:p w14:paraId="471D51A7" w14:textId="77777777" w:rsidR="00F61F8E" w:rsidRPr="002B3F36" w:rsidRDefault="000F264B">
      <w:pPr>
        <w:pStyle w:val="smallletteredItems"/>
      </w:pPr>
      <w:r w:rsidRPr="002B3F36">
        <w:t>“Ensure</w:t>
      </w:r>
      <w:r w:rsidRPr="002B3F36">
        <w:rPr>
          <w:spacing w:val="-6"/>
        </w:rPr>
        <w:t xml:space="preserve"> </w:t>
      </w:r>
      <w:r w:rsidRPr="002B3F36">
        <w:t>and</w:t>
      </w:r>
      <w:r w:rsidRPr="002B3F36">
        <w:rPr>
          <w:spacing w:val="-4"/>
        </w:rPr>
        <w:t xml:space="preserve"> </w:t>
      </w:r>
      <w:r w:rsidRPr="002B3F36">
        <w:t>increase</w:t>
      </w:r>
      <w:r w:rsidRPr="002B3F36">
        <w:rPr>
          <w:spacing w:val="-6"/>
        </w:rPr>
        <w:t xml:space="preserve"> </w:t>
      </w:r>
      <w:r w:rsidRPr="002B3F36">
        <w:t>the</w:t>
      </w:r>
      <w:r w:rsidRPr="002B3F36">
        <w:rPr>
          <w:spacing w:val="-6"/>
        </w:rPr>
        <w:t xml:space="preserve"> </w:t>
      </w:r>
      <w:r w:rsidRPr="002B3F36">
        <w:t>transparency</w:t>
      </w:r>
      <w:r w:rsidRPr="002B3F36">
        <w:rPr>
          <w:spacing w:val="-5"/>
        </w:rPr>
        <w:t xml:space="preserve"> </w:t>
      </w:r>
      <w:r w:rsidRPr="002B3F36">
        <w:t>with</w:t>
      </w:r>
      <w:r w:rsidRPr="002B3F36">
        <w:rPr>
          <w:spacing w:val="-2"/>
        </w:rPr>
        <w:t xml:space="preserve"> </w:t>
      </w:r>
      <w:r w:rsidRPr="002B3F36">
        <w:t>regard</w:t>
      </w:r>
      <w:r w:rsidRPr="002B3F36">
        <w:rPr>
          <w:spacing w:val="-4"/>
        </w:rPr>
        <w:t xml:space="preserve"> </w:t>
      </w:r>
      <w:r w:rsidRPr="002B3F36">
        <w:t>to</w:t>
      </w:r>
      <w:r w:rsidRPr="002B3F36">
        <w:rPr>
          <w:spacing w:val="-3"/>
        </w:rPr>
        <w:t xml:space="preserve"> </w:t>
      </w:r>
      <w:r w:rsidRPr="002B3F36">
        <w:t>public</w:t>
      </w:r>
      <w:r w:rsidRPr="002B3F36">
        <w:rPr>
          <w:spacing w:val="-6"/>
        </w:rPr>
        <w:t xml:space="preserve"> </w:t>
      </w:r>
      <w:r w:rsidRPr="002B3F36">
        <w:t>and</w:t>
      </w:r>
      <w:r w:rsidRPr="002B3F36">
        <w:rPr>
          <w:spacing w:val="-4"/>
        </w:rPr>
        <w:t xml:space="preserve"> </w:t>
      </w:r>
      <w:r w:rsidRPr="002B3F36">
        <w:t>stakeholders’</w:t>
      </w:r>
      <w:r w:rsidRPr="002B3F36">
        <w:rPr>
          <w:spacing w:val="-4"/>
        </w:rPr>
        <w:t xml:space="preserve"> </w:t>
      </w:r>
      <w:r w:rsidRPr="002B3F36">
        <w:t>participation in policy and decision-making processes of public bodies, fulfilling</w:t>
      </w:r>
      <w:r w:rsidRPr="002B3F36">
        <w:rPr>
          <w:spacing w:val="-4"/>
        </w:rPr>
        <w:t xml:space="preserve"> </w:t>
      </w:r>
      <w:r w:rsidRPr="002B3F36">
        <w:t>the</w:t>
      </w:r>
      <w:r w:rsidRPr="002B3F36">
        <w:rPr>
          <w:spacing w:val="-6"/>
        </w:rPr>
        <w:t xml:space="preserve"> </w:t>
      </w:r>
      <w:r w:rsidRPr="002B3F36">
        <w:t>objectives</w:t>
      </w:r>
      <w:r w:rsidRPr="002B3F36">
        <w:rPr>
          <w:spacing w:val="-1"/>
        </w:rPr>
        <w:t xml:space="preserve"> </w:t>
      </w:r>
      <w:r w:rsidRPr="002B3F36">
        <w:t>of</w:t>
      </w:r>
      <w:r w:rsidRPr="002B3F36">
        <w:rPr>
          <w:spacing w:val="-6"/>
        </w:rPr>
        <w:t xml:space="preserve"> </w:t>
      </w:r>
      <w:r w:rsidRPr="002B3F36">
        <w:t>good,</w:t>
      </w:r>
      <w:r w:rsidRPr="002B3F36">
        <w:rPr>
          <w:spacing w:val="-6"/>
        </w:rPr>
        <w:t xml:space="preserve"> </w:t>
      </w:r>
      <w:r w:rsidRPr="002B3F36">
        <w:t>transparent</w:t>
      </w:r>
      <w:r w:rsidRPr="002B3F36">
        <w:rPr>
          <w:spacing w:val="-4"/>
        </w:rPr>
        <w:t xml:space="preserve"> </w:t>
      </w:r>
      <w:r w:rsidRPr="002B3F36">
        <w:t>and</w:t>
      </w:r>
      <w:r w:rsidRPr="002B3F36">
        <w:rPr>
          <w:spacing w:val="-4"/>
        </w:rPr>
        <w:t xml:space="preserve"> </w:t>
      </w:r>
      <w:r w:rsidRPr="002B3F36">
        <w:t>inclusive</w:t>
      </w:r>
      <w:r w:rsidRPr="002B3F36">
        <w:rPr>
          <w:spacing w:val="-4"/>
        </w:rPr>
        <w:t xml:space="preserve"> </w:t>
      </w:r>
      <w:r w:rsidRPr="002B3F36">
        <w:t>governance</w:t>
      </w:r>
      <w:r w:rsidRPr="002B3F36">
        <w:rPr>
          <w:spacing w:val="-6"/>
        </w:rPr>
        <w:t xml:space="preserve"> </w:t>
      </w:r>
      <w:r w:rsidRPr="002B3F36">
        <w:t>in</w:t>
      </w:r>
      <w:r w:rsidRPr="002B3F36">
        <w:rPr>
          <w:spacing w:val="-4"/>
        </w:rPr>
        <w:t xml:space="preserve"> </w:t>
      </w:r>
      <w:r w:rsidRPr="002B3F36">
        <w:t>the</w:t>
      </w:r>
      <w:r w:rsidRPr="002B3F36">
        <w:rPr>
          <w:spacing w:val="-6"/>
        </w:rPr>
        <w:t xml:space="preserve"> </w:t>
      </w:r>
      <w:r w:rsidRPr="002B3F36">
        <w:t>decision- making processes.”</w:t>
      </w:r>
    </w:p>
    <w:p w14:paraId="4AD2487D" w14:textId="77777777" w:rsidR="00F61F8E" w:rsidRPr="002B3F36" w:rsidRDefault="000F264B">
      <w:pPr>
        <w:pStyle w:val="2ndParaBody"/>
      </w:pPr>
      <w:r w:rsidRPr="002B3F36">
        <w:t>Articles</w:t>
      </w:r>
      <w:r w:rsidRPr="002B3F36">
        <w:rPr>
          <w:spacing w:val="-6"/>
        </w:rPr>
        <w:t xml:space="preserve"> </w:t>
      </w:r>
      <w:r w:rsidRPr="002B3F36">
        <w:t>16-19</w:t>
      </w:r>
      <w:r w:rsidRPr="002B3F36">
        <w:rPr>
          <w:spacing w:val="-3"/>
        </w:rPr>
        <w:t xml:space="preserve"> </w:t>
      </w:r>
      <w:r w:rsidRPr="002B3F36">
        <w:rPr>
          <w:rStyle w:val="ReportParagraphChar"/>
        </w:rPr>
        <w:t>outline</w:t>
      </w:r>
      <w:r w:rsidRPr="002B3F36">
        <w:rPr>
          <w:spacing w:val="-6"/>
        </w:rPr>
        <w:t xml:space="preserve"> </w:t>
      </w:r>
      <w:r w:rsidRPr="002B3F36">
        <w:t>the</w:t>
      </w:r>
      <w:r w:rsidRPr="002B3F36">
        <w:rPr>
          <w:spacing w:val="-6"/>
        </w:rPr>
        <w:t xml:space="preserve"> </w:t>
      </w:r>
      <w:r w:rsidRPr="002B3F36">
        <w:t>procedures</w:t>
      </w:r>
      <w:r w:rsidRPr="002B3F36">
        <w:rPr>
          <w:spacing w:val="-4"/>
        </w:rPr>
        <w:t xml:space="preserve"> </w:t>
      </w:r>
      <w:r w:rsidRPr="002B3F36">
        <w:t>for</w:t>
      </w:r>
      <w:r w:rsidRPr="002B3F36">
        <w:rPr>
          <w:spacing w:val="-6"/>
        </w:rPr>
        <w:t xml:space="preserve"> </w:t>
      </w:r>
      <w:r w:rsidRPr="002B3F36">
        <w:t>public</w:t>
      </w:r>
      <w:r w:rsidRPr="002B3F36">
        <w:rPr>
          <w:spacing w:val="-4"/>
        </w:rPr>
        <w:t xml:space="preserve"> </w:t>
      </w:r>
      <w:r w:rsidRPr="002B3F36">
        <w:t>councils</w:t>
      </w:r>
      <w:r w:rsidRPr="002B3F36">
        <w:rPr>
          <w:spacing w:val="-6"/>
        </w:rPr>
        <w:t xml:space="preserve"> </w:t>
      </w:r>
      <w:r w:rsidRPr="002B3F36">
        <w:t>in</w:t>
      </w:r>
      <w:r w:rsidRPr="002B3F36">
        <w:rPr>
          <w:spacing w:val="-5"/>
        </w:rPr>
        <w:t xml:space="preserve"> </w:t>
      </w:r>
      <w:r w:rsidRPr="002B3F36">
        <w:t>the</w:t>
      </w:r>
      <w:r w:rsidRPr="002B3F36">
        <w:rPr>
          <w:spacing w:val="-5"/>
        </w:rPr>
        <w:t xml:space="preserve"> </w:t>
      </w:r>
      <w:r w:rsidRPr="002B3F36">
        <w:t>form</w:t>
      </w:r>
      <w:r w:rsidRPr="002B3F36">
        <w:rPr>
          <w:spacing w:val="-3"/>
        </w:rPr>
        <w:t xml:space="preserve"> </w:t>
      </w:r>
      <w:r w:rsidRPr="002B3F36">
        <w:t>of</w:t>
      </w:r>
      <w:r w:rsidRPr="002B3F36">
        <w:rPr>
          <w:spacing w:val="-4"/>
        </w:rPr>
        <w:t xml:space="preserve"> </w:t>
      </w:r>
      <w:r w:rsidRPr="002B3F36">
        <w:t>“public</w:t>
      </w:r>
      <w:r w:rsidRPr="002B3F36">
        <w:rPr>
          <w:spacing w:val="-6"/>
        </w:rPr>
        <w:t xml:space="preserve"> </w:t>
      </w:r>
      <w:r w:rsidRPr="002B3F36">
        <w:t>control”.</w:t>
      </w:r>
      <w:r w:rsidRPr="002B3F36">
        <w:rPr>
          <w:spacing w:val="-6"/>
        </w:rPr>
        <w:t xml:space="preserve"> </w:t>
      </w:r>
      <w:r w:rsidRPr="002B3F36">
        <w:t>The various forms of public control are defined as follows:</w:t>
      </w:r>
    </w:p>
    <w:p w14:paraId="0033AE91" w14:textId="77777777" w:rsidR="00F61F8E" w:rsidRPr="002B3F36" w:rsidRDefault="000F264B" w:rsidP="00F83434">
      <w:pPr>
        <w:pStyle w:val="Bullet12"/>
      </w:pPr>
      <w:r w:rsidRPr="002B3F36">
        <w:rPr>
          <w:b/>
        </w:rPr>
        <w:t>Public</w:t>
      </w:r>
      <w:r w:rsidRPr="002B3F36">
        <w:rPr>
          <w:b/>
          <w:spacing w:val="-5"/>
        </w:rPr>
        <w:t xml:space="preserve"> </w:t>
      </w:r>
      <w:r w:rsidRPr="002B3F36">
        <w:rPr>
          <w:b/>
        </w:rPr>
        <w:t>Expertise</w:t>
      </w:r>
      <w:r w:rsidRPr="002B3F36">
        <w:t>:</w:t>
      </w:r>
      <w:r w:rsidRPr="002B3F36">
        <w:rPr>
          <w:spacing w:val="-3"/>
        </w:rPr>
        <w:t xml:space="preserve"> </w:t>
      </w:r>
      <w:r w:rsidRPr="002B3F36">
        <w:t>This</w:t>
      </w:r>
      <w:r w:rsidRPr="002B3F36">
        <w:rPr>
          <w:spacing w:val="-3"/>
        </w:rPr>
        <w:t xml:space="preserve"> </w:t>
      </w:r>
      <w:r w:rsidRPr="002B3F36">
        <w:t>refers</w:t>
      </w:r>
      <w:r w:rsidRPr="002B3F36">
        <w:rPr>
          <w:spacing w:val="-6"/>
        </w:rPr>
        <w:t xml:space="preserve"> </w:t>
      </w:r>
      <w:r w:rsidRPr="002B3F36">
        <w:t>to</w:t>
      </w:r>
      <w:r w:rsidRPr="002B3F36">
        <w:rPr>
          <w:spacing w:val="-6"/>
        </w:rPr>
        <w:t xml:space="preserve"> </w:t>
      </w:r>
      <w:r w:rsidRPr="002B3F36">
        <w:t>the</w:t>
      </w:r>
      <w:r w:rsidRPr="002B3F36">
        <w:rPr>
          <w:spacing w:val="-4"/>
        </w:rPr>
        <w:t xml:space="preserve"> </w:t>
      </w:r>
      <w:r w:rsidRPr="002B3F36">
        <w:t>process</w:t>
      </w:r>
      <w:r w:rsidRPr="002B3F36">
        <w:rPr>
          <w:spacing w:val="-3"/>
        </w:rPr>
        <w:t xml:space="preserve"> </w:t>
      </w:r>
      <w:r w:rsidRPr="002B3F36">
        <w:t>of</w:t>
      </w:r>
      <w:r w:rsidRPr="002B3F36">
        <w:rPr>
          <w:spacing w:val="-3"/>
        </w:rPr>
        <w:t xml:space="preserve"> </w:t>
      </w:r>
      <w:r w:rsidRPr="002B3F36">
        <w:t>evaluating</w:t>
      </w:r>
      <w:r w:rsidRPr="002B3F36">
        <w:rPr>
          <w:spacing w:val="-4"/>
        </w:rPr>
        <w:t xml:space="preserve"> </w:t>
      </w:r>
      <w:r w:rsidRPr="002B3F36">
        <w:t>draft</w:t>
      </w:r>
      <w:r w:rsidRPr="002B3F36">
        <w:rPr>
          <w:spacing w:val="-5"/>
        </w:rPr>
        <w:t xml:space="preserve"> </w:t>
      </w:r>
      <w:r w:rsidRPr="002B3F36">
        <w:t>normative</w:t>
      </w:r>
      <w:r w:rsidRPr="002B3F36">
        <w:rPr>
          <w:spacing w:val="-4"/>
        </w:rPr>
        <w:t xml:space="preserve"> </w:t>
      </w:r>
      <w:r w:rsidRPr="002B3F36">
        <w:t>acts</w:t>
      </w:r>
      <w:r w:rsidRPr="002B3F36">
        <w:rPr>
          <w:spacing w:val="-3"/>
        </w:rPr>
        <w:t xml:space="preserve"> </w:t>
      </w:r>
      <w:r w:rsidRPr="002B3F36">
        <w:t>to</w:t>
      </w:r>
      <w:r w:rsidRPr="002B3F36">
        <w:rPr>
          <w:spacing w:val="-4"/>
        </w:rPr>
        <w:t xml:space="preserve"> </w:t>
      </w:r>
      <w:r w:rsidRPr="002B3F36">
        <w:t>ensure they align with public interests.</w:t>
      </w:r>
    </w:p>
    <w:p w14:paraId="59BCAB45" w14:textId="77777777" w:rsidR="00F61F8E" w:rsidRPr="002B3F36" w:rsidRDefault="000F264B" w:rsidP="00F83434">
      <w:pPr>
        <w:pStyle w:val="Bullet12"/>
      </w:pPr>
      <w:r w:rsidRPr="002B3F36">
        <w:rPr>
          <w:b/>
        </w:rPr>
        <w:t>Public</w:t>
      </w:r>
      <w:r w:rsidRPr="002B3F36">
        <w:rPr>
          <w:b/>
          <w:spacing w:val="-6"/>
        </w:rPr>
        <w:t xml:space="preserve"> </w:t>
      </w:r>
      <w:r w:rsidRPr="002B3F36">
        <w:rPr>
          <w:b/>
        </w:rPr>
        <w:t>Monitoring</w:t>
      </w:r>
      <w:r w:rsidRPr="002B3F36">
        <w:t>:</w:t>
      </w:r>
      <w:r w:rsidRPr="002B3F36">
        <w:rPr>
          <w:spacing w:val="-4"/>
        </w:rPr>
        <w:t xml:space="preserve"> </w:t>
      </w:r>
      <w:r w:rsidRPr="002B3F36">
        <w:t>This</w:t>
      </w:r>
      <w:r w:rsidRPr="002B3F36">
        <w:rPr>
          <w:spacing w:val="-7"/>
        </w:rPr>
        <w:t xml:space="preserve"> </w:t>
      </w:r>
      <w:r w:rsidRPr="002B3F36">
        <w:t>involves</w:t>
      </w:r>
      <w:r w:rsidRPr="002B3F36">
        <w:rPr>
          <w:spacing w:val="-4"/>
        </w:rPr>
        <w:t xml:space="preserve"> </w:t>
      </w:r>
      <w:r w:rsidRPr="002B3F36">
        <w:t>the</w:t>
      </w:r>
      <w:r w:rsidRPr="002B3F36">
        <w:rPr>
          <w:spacing w:val="-7"/>
        </w:rPr>
        <w:t xml:space="preserve"> </w:t>
      </w:r>
      <w:r w:rsidRPr="002B3F36">
        <w:t>oversight</w:t>
      </w:r>
      <w:r w:rsidRPr="002B3F36">
        <w:rPr>
          <w:spacing w:val="-4"/>
        </w:rPr>
        <w:t xml:space="preserve"> </w:t>
      </w:r>
      <w:r w:rsidRPr="002B3F36">
        <w:t>of</w:t>
      </w:r>
      <w:r w:rsidRPr="002B3F36">
        <w:rPr>
          <w:spacing w:val="-4"/>
        </w:rPr>
        <w:t xml:space="preserve"> </w:t>
      </w:r>
      <w:r w:rsidRPr="002B3F36">
        <w:t>state</w:t>
      </w:r>
      <w:r w:rsidRPr="002B3F36">
        <w:rPr>
          <w:spacing w:val="-7"/>
        </w:rPr>
        <w:t xml:space="preserve"> </w:t>
      </w:r>
      <w:r w:rsidRPr="002B3F36">
        <w:t>activities</w:t>
      </w:r>
      <w:r w:rsidRPr="002B3F36">
        <w:rPr>
          <w:spacing w:val="-4"/>
        </w:rPr>
        <w:t xml:space="preserve"> </w:t>
      </w:r>
      <w:r w:rsidRPr="002B3F36">
        <w:t>conducted</w:t>
      </w:r>
      <w:r w:rsidRPr="002B3F36">
        <w:rPr>
          <w:spacing w:val="-5"/>
        </w:rPr>
        <w:t xml:space="preserve"> </w:t>
      </w:r>
      <w:r w:rsidRPr="002B3F36">
        <w:t>by</w:t>
      </w:r>
      <w:r w:rsidRPr="002B3F36">
        <w:rPr>
          <w:spacing w:val="-6"/>
        </w:rPr>
        <w:t xml:space="preserve"> </w:t>
      </w:r>
      <w:r w:rsidRPr="002B3F36">
        <w:t>public councils, non-profit organisations,</w:t>
      </w:r>
      <w:r w:rsidRPr="002B3F36">
        <w:rPr>
          <w:spacing w:val="-2"/>
        </w:rPr>
        <w:t xml:space="preserve"> </w:t>
      </w:r>
      <w:r w:rsidRPr="002B3F36">
        <w:t>and citizens acting on behalf of the public</w:t>
      </w:r>
      <w:r w:rsidRPr="002B3F36">
        <w:rPr>
          <w:spacing w:val="-2"/>
        </w:rPr>
        <w:t xml:space="preserve"> </w:t>
      </w:r>
      <w:r w:rsidRPr="002B3F36">
        <w:t>councils.</w:t>
      </w:r>
    </w:p>
    <w:p w14:paraId="3603518E" w14:textId="77777777" w:rsidR="00F61F8E" w:rsidRPr="002B3F36" w:rsidRDefault="000F264B" w:rsidP="00F83434">
      <w:pPr>
        <w:pStyle w:val="Bullet12"/>
      </w:pPr>
      <w:r w:rsidRPr="002B3F36">
        <w:rPr>
          <w:b/>
        </w:rPr>
        <w:t>Public</w:t>
      </w:r>
      <w:r w:rsidRPr="002B3F36">
        <w:rPr>
          <w:b/>
          <w:spacing w:val="-4"/>
        </w:rPr>
        <w:t xml:space="preserve"> </w:t>
      </w:r>
      <w:r w:rsidRPr="002B3F36">
        <w:rPr>
          <w:b/>
        </w:rPr>
        <w:t>Hearings</w:t>
      </w:r>
      <w:r w:rsidRPr="002B3F36">
        <w:t>:</w:t>
      </w:r>
      <w:r w:rsidRPr="002B3F36">
        <w:rPr>
          <w:spacing w:val="-2"/>
        </w:rPr>
        <w:t xml:space="preserve"> </w:t>
      </w:r>
      <w:r w:rsidRPr="002B3F36">
        <w:t>These</w:t>
      </w:r>
      <w:r w:rsidRPr="002B3F36">
        <w:rPr>
          <w:spacing w:val="-5"/>
        </w:rPr>
        <w:t xml:space="preserve"> </w:t>
      </w:r>
      <w:r w:rsidRPr="002B3F36">
        <w:t>are</w:t>
      </w:r>
      <w:r w:rsidRPr="002B3F36">
        <w:rPr>
          <w:spacing w:val="-3"/>
        </w:rPr>
        <w:t xml:space="preserve"> </w:t>
      </w:r>
      <w:r w:rsidRPr="002B3F36">
        <w:t>forums</w:t>
      </w:r>
      <w:r w:rsidRPr="002B3F36">
        <w:rPr>
          <w:spacing w:val="-2"/>
        </w:rPr>
        <w:t xml:space="preserve"> </w:t>
      </w:r>
      <w:r w:rsidRPr="002B3F36">
        <w:t>for</w:t>
      </w:r>
      <w:r w:rsidRPr="002B3F36">
        <w:rPr>
          <w:spacing w:val="-5"/>
        </w:rPr>
        <w:t xml:space="preserve"> </w:t>
      </w:r>
      <w:r w:rsidRPr="002B3F36">
        <w:t>discussing</w:t>
      </w:r>
      <w:r w:rsidRPr="002B3F36">
        <w:rPr>
          <w:spacing w:val="-3"/>
        </w:rPr>
        <w:t xml:space="preserve"> </w:t>
      </w:r>
      <w:r w:rsidRPr="002B3F36">
        <w:t>important</w:t>
      </w:r>
      <w:r w:rsidRPr="002B3F36">
        <w:rPr>
          <w:spacing w:val="-3"/>
        </w:rPr>
        <w:t xml:space="preserve"> </w:t>
      </w:r>
      <w:r w:rsidRPr="002B3F36">
        <w:t>issues</w:t>
      </w:r>
      <w:r w:rsidRPr="002B3F36">
        <w:rPr>
          <w:spacing w:val="-5"/>
        </w:rPr>
        <w:t xml:space="preserve"> </w:t>
      </w:r>
      <w:r w:rsidRPr="002B3F36">
        <w:t>and</w:t>
      </w:r>
      <w:r w:rsidRPr="002B3F36">
        <w:rPr>
          <w:spacing w:val="-3"/>
        </w:rPr>
        <w:t xml:space="preserve"> </w:t>
      </w:r>
      <w:r w:rsidRPr="002B3F36">
        <w:t>decisions</w:t>
      </w:r>
      <w:r w:rsidRPr="002B3F36">
        <w:rPr>
          <w:spacing w:val="-5"/>
        </w:rPr>
        <w:t xml:space="preserve"> </w:t>
      </w:r>
      <w:r w:rsidRPr="002B3F36">
        <w:t>made</w:t>
      </w:r>
      <w:r w:rsidRPr="002B3F36">
        <w:rPr>
          <w:spacing w:val="-5"/>
        </w:rPr>
        <w:t xml:space="preserve"> </w:t>
      </w:r>
      <w:r w:rsidRPr="002B3F36">
        <w:t>by state bodies, focusing on their alignment with public interests.</w:t>
      </w:r>
    </w:p>
    <w:p w14:paraId="385C947F" w14:textId="77777777" w:rsidR="00F61F8E" w:rsidRPr="002B3F36" w:rsidRDefault="000F264B" w:rsidP="00F83434">
      <w:pPr>
        <w:pStyle w:val="Bullet12"/>
      </w:pPr>
      <w:r w:rsidRPr="002B3F36">
        <w:rPr>
          <w:b/>
        </w:rPr>
        <w:t>Review of State Bodies' Reports</w:t>
      </w:r>
      <w:r w:rsidRPr="002B3F36">
        <w:t>: This entails a public discussion within the Public Council</w:t>
      </w:r>
      <w:r w:rsidRPr="002B3F36">
        <w:rPr>
          <w:spacing w:val="-4"/>
        </w:rPr>
        <w:t xml:space="preserve"> </w:t>
      </w:r>
      <w:r w:rsidRPr="002B3F36">
        <w:t>regarding</w:t>
      </w:r>
      <w:r w:rsidRPr="002B3F36">
        <w:rPr>
          <w:spacing w:val="-4"/>
        </w:rPr>
        <w:t xml:space="preserve"> </w:t>
      </w:r>
      <w:r w:rsidRPr="002B3F36">
        <w:t>the</w:t>
      </w:r>
      <w:r w:rsidRPr="002B3F36">
        <w:rPr>
          <w:spacing w:val="-4"/>
        </w:rPr>
        <w:t xml:space="preserve"> </w:t>
      </w:r>
      <w:r w:rsidRPr="002B3F36">
        <w:t>outcomes</w:t>
      </w:r>
      <w:r w:rsidRPr="002B3F36">
        <w:rPr>
          <w:spacing w:val="-3"/>
        </w:rPr>
        <w:t xml:space="preserve"> </w:t>
      </w:r>
      <w:r w:rsidRPr="002B3F36">
        <w:t>of</w:t>
      </w:r>
      <w:r w:rsidRPr="002B3F36">
        <w:rPr>
          <w:spacing w:val="-6"/>
        </w:rPr>
        <w:t xml:space="preserve"> </w:t>
      </w:r>
      <w:r w:rsidRPr="002B3F36">
        <w:t>the</w:t>
      </w:r>
      <w:r w:rsidRPr="002B3F36">
        <w:rPr>
          <w:spacing w:val="-4"/>
        </w:rPr>
        <w:t xml:space="preserve"> </w:t>
      </w:r>
      <w:r w:rsidRPr="002B3F36">
        <w:t>activities</w:t>
      </w:r>
      <w:r w:rsidRPr="002B3F36">
        <w:rPr>
          <w:spacing w:val="-6"/>
        </w:rPr>
        <w:t xml:space="preserve"> </w:t>
      </w:r>
      <w:r w:rsidRPr="002B3F36">
        <w:t>of</w:t>
      </w:r>
      <w:r w:rsidRPr="002B3F36">
        <w:rPr>
          <w:spacing w:val="-6"/>
        </w:rPr>
        <w:t xml:space="preserve"> </w:t>
      </w:r>
      <w:r w:rsidRPr="002B3F36">
        <w:t>state</w:t>
      </w:r>
      <w:r w:rsidRPr="002B3F36">
        <w:rPr>
          <w:spacing w:val="-6"/>
        </w:rPr>
        <w:t xml:space="preserve"> </w:t>
      </w:r>
      <w:r w:rsidRPr="002B3F36">
        <w:t>and</w:t>
      </w:r>
      <w:r w:rsidRPr="002B3F36">
        <w:rPr>
          <w:spacing w:val="-4"/>
        </w:rPr>
        <w:t xml:space="preserve"> </w:t>
      </w:r>
      <w:r w:rsidRPr="002B3F36">
        <w:t>local</w:t>
      </w:r>
      <w:r w:rsidRPr="002B3F36">
        <w:rPr>
          <w:spacing w:val="-3"/>
        </w:rPr>
        <w:t xml:space="preserve"> </w:t>
      </w:r>
      <w:r w:rsidRPr="002B3F36">
        <w:t>self-government</w:t>
      </w:r>
      <w:r w:rsidRPr="002B3F36">
        <w:rPr>
          <w:spacing w:val="-4"/>
        </w:rPr>
        <w:t xml:space="preserve"> </w:t>
      </w:r>
      <w:r w:rsidRPr="002B3F36">
        <w:t>bodies.</w:t>
      </w:r>
    </w:p>
    <w:p w14:paraId="2D321967" w14:textId="77777777" w:rsidR="009F6423" w:rsidRPr="002B3F36" w:rsidRDefault="009F6423" w:rsidP="00F82096">
      <w:pPr>
        <w:pStyle w:val="Bullet12"/>
        <w:numPr>
          <w:ilvl w:val="0"/>
          <w:numId w:val="0"/>
        </w:numPr>
        <w:ind w:left="990"/>
      </w:pPr>
    </w:p>
    <w:p w14:paraId="52B992CB" w14:textId="77777777" w:rsidR="00F61F8E" w:rsidRPr="002B3F36" w:rsidRDefault="000F264B">
      <w:pPr>
        <w:pStyle w:val="numbereditemsinpar"/>
      </w:pPr>
      <w:r w:rsidRPr="002B3F36">
        <w:t>The Ecological Code of Kazakhstan</w:t>
      </w:r>
    </w:p>
    <w:p w14:paraId="34415A9A" w14:textId="77777777" w:rsidR="00F61F8E" w:rsidRPr="002B3F36" w:rsidRDefault="000F264B">
      <w:pPr>
        <w:pStyle w:val="2ndParaBody"/>
      </w:pPr>
      <w:r w:rsidRPr="002B3F36">
        <w:t>The Ecological Code of Kazakhstan (#400-VI, adopted 2 January 2021, with the last amendment</w:t>
      </w:r>
      <w:r w:rsidRPr="002B3F36">
        <w:rPr>
          <w:spacing w:val="-3"/>
        </w:rPr>
        <w:t xml:space="preserve"> </w:t>
      </w:r>
      <w:r w:rsidRPr="002B3F36">
        <w:t>on</w:t>
      </w:r>
      <w:r w:rsidRPr="002B3F36">
        <w:rPr>
          <w:spacing w:val="-5"/>
        </w:rPr>
        <w:t xml:space="preserve"> </w:t>
      </w:r>
      <w:r w:rsidRPr="002B3F36">
        <w:rPr>
          <w:rStyle w:val="ReportParagraphChar"/>
        </w:rPr>
        <w:t>21</w:t>
      </w:r>
      <w:r w:rsidRPr="002B3F36">
        <w:rPr>
          <w:spacing w:val="-6"/>
        </w:rPr>
        <w:t xml:space="preserve"> </w:t>
      </w:r>
      <w:r w:rsidRPr="002B3F36">
        <w:t>May</w:t>
      </w:r>
      <w:r w:rsidRPr="002B3F36">
        <w:rPr>
          <w:spacing w:val="-4"/>
        </w:rPr>
        <w:t xml:space="preserve"> </w:t>
      </w:r>
      <w:r w:rsidRPr="002B3F36">
        <w:t>2024)</w:t>
      </w:r>
      <w:r w:rsidRPr="002B3F36">
        <w:rPr>
          <w:spacing w:val="-5"/>
        </w:rPr>
        <w:t xml:space="preserve"> </w:t>
      </w:r>
      <w:r w:rsidRPr="002B3F36">
        <w:t>sets</w:t>
      </w:r>
      <w:r w:rsidRPr="002B3F36">
        <w:rPr>
          <w:spacing w:val="-4"/>
        </w:rPr>
        <w:t xml:space="preserve"> </w:t>
      </w:r>
      <w:r w:rsidRPr="002B3F36">
        <w:t>the</w:t>
      </w:r>
      <w:r w:rsidRPr="002B3F36">
        <w:rPr>
          <w:spacing w:val="-7"/>
        </w:rPr>
        <w:t xml:space="preserve"> </w:t>
      </w:r>
      <w:r w:rsidRPr="002B3F36">
        <w:t>legal</w:t>
      </w:r>
      <w:r w:rsidRPr="002B3F36">
        <w:rPr>
          <w:spacing w:val="-5"/>
        </w:rPr>
        <w:t xml:space="preserve"> </w:t>
      </w:r>
      <w:r w:rsidRPr="002B3F36">
        <w:t>framework</w:t>
      </w:r>
      <w:r w:rsidRPr="002B3F36">
        <w:rPr>
          <w:spacing w:val="-4"/>
        </w:rPr>
        <w:t xml:space="preserve"> </w:t>
      </w:r>
      <w:r w:rsidRPr="002B3F36">
        <w:t>for</w:t>
      </w:r>
      <w:r w:rsidRPr="002B3F36">
        <w:rPr>
          <w:spacing w:val="-5"/>
        </w:rPr>
        <w:t xml:space="preserve"> </w:t>
      </w:r>
      <w:r w:rsidRPr="002B3F36">
        <w:t>environmental</w:t>
      </w:r>
      <w:r w:rsidRPr="002B3F36">
        <w:rPr>
          <w:spacing w:val="-5"/>
        </w:rPr>
        <w:t xml:space="preserve"> </w:t>
      </w:r>
      <w:r w:rsidRPr="002B3F36">
        <w:t>protection</w:t>
      </w:r>
      <w:r w:rsidRPr="002B3F36">
        <w:rPr>
          <w:spacing w:val="-5"/>
        </w:rPr>
        <w:t xml:space="preserve"> </w:t>
      </w:r>
      <w:r w:rsidRPr="002B3F36">
        <w:t>and includes provisions for public hearings related to environmental expertise.</w:t>
      </w:r>
    </w:p>
    <w:p w14:paraId="4A3D8C27" w14:textId="77777777" w:rsidR="00F61F8E" w:rsidRPr="002B3F36" w:rsidRDefault="000F264B" w:rsidP="00F83434">
      <w:pPr>
        <w:pStyle w:val="Bullet12"/>
      </w:pPr>
      <w:r w:rsidRPr="002B3F36">
        <w:rPr>
          <w:b/>
        </w:rPr>
        <w:t>Purpose of Public Hearings</w:t>
      </w:r>
      <w:r w:rsidRPr="002B3F36">
        <w:t>: While public hearings are not directly part of the land acquisition process, they provide affected individuals with opportunities to understand project</w:t>
      </w:r>
      <w:r w:rsidRPr="002B3F36">
        <w:rPr>
          <w:spacing w:val="-6"/>
        </w:rPr>
        <w:t xml:space="preserve"> </w:t>
      </w:r>
      <w:r w:rsidRPr="002B3F36">
        <w:t>details,</w:t>
      </w:r>
      <w:r w:rsidRPr="002B3F36">
        <w:rPr>
          <w:spacing w:val="-7"/>
        </w:rPr>
        <w:t xml:space="preserve"> </w:t>
      </w:r>
      <w:r w:rsidRPr="002B3F36">
        <w:t>raise</w:t>
      </w:r>
      <w:r w:rsidRPr="002B3F36">
        <w:rPr>
          <w:spacing w:val="-5"/>
        </w:rPr>
        <w:t xml:space="preserve"> </w:t>
      </w:r>
      <w:r w:rsidRPr="002B3F36">
        <w:t>concerns</w:t>
      </w:r>
      <w:r w:rsidRPr="002B3F36">
        <w:rPr>
          <w:spacing w:val="-7"/>
        </w:rPr>
        <w:t xml:space="preserve"> </w:t>
      </w:r>
      <w:r w:rsidRPr="002B3F36">
        <w:t>about</w:t>
      </w:r>
      <w:r w:rsidRPr="002B3F36">
        <w:rPr>
          <w:spacing w:val="-5"/>
        </w:rPr>
        <w:t xml:space="preserve"> </w:t>
      </w:r>
      <w:r w:rsidRPr="002B3F36">
        <w:t>impacts</w:t>
      </w:r>
      <w:r w:rsidRPr="002B3F36">
        <w:rPr>
          <w:spacing w:val="-4"/>
        </w:rPr>
        <w:t xml:space="preserve"> </w:t>
      </w:r>
      <w:r w:rsidRPr="002B3F36">
        <w:t>on</w:t>
      </w:r>
      <w:r w:rsidRPr="002B3F36">
        <w:rPr>
          <w:spacing w:val="-5"/>
        </w:rPr>
        <w:t xml:space="preserve"> </w:t>
      </w:r>
      <w:r w:rsidRPr="002B3F36">
        <w:t>their</w:t>
      </w:r>
      <w:r w:rsidRPr="002B3F36">
        <w:rPr>
          <w:spacing w:val="-7"/>
        </w:rPr>
        <w:t xml:space="preserve"> </w:t>
      </w:r>
      <w:r w:rsidRPr="002B3F36">
        <w:t>property,</w:t>
      </w:r>
      <w:r w:rsidRPr="002B3F36">
        <w:rPr>
          <w:spacing w:val="-7"/>
        </w:rPr>
        <w:t xml:space="preserve"> </w:t>
      </w:r>
      <w:r w:rsidRPr="002B3F36">
        <w:t>and</w:t>
      </w:r>
      <w:r w:rsidRPr="002B3F36">
        <w:rPr>
          <w:spacing w:val="-5"/>
        </w:rPr>
        <w:t xml:space="preserve"> </w:t>
      </w:r>
      <w:r w:rsidRPr="002B3F36">
        <w:t>learn</w:t>
      </w:r>
      <w:r w:rsidRPr="002B3F36">
        <w:rPr>
          <w:spacing w:val="-5"/>
        </w:rPr>
        <w:t xml:space="preserve"> </w:t>
      </w:r>
      <w:r w:rsidRPr="002B3F36">
        <w:t>about</w:t>
      </w:r>
      <w:r w:rsidRPr="002B3F36">
        <w:rPr>
          <w:spacing w:val="-5"/>
        </w:rPr>
        <w:t xml:space="preserve"> </w:t>
      </w:r>
      <w:r w:rsidRPr="002B3F36">
        <w:t xml:space="preserve">mitigation </w:t>
      </w:r>
      <w:r w:rsidRPr="002B3F36">
        <w:rPr>
          <w:spacing w:val="-2"/>
        </w:rPr>
        <w:t>measures.</w:t>
      </w:r>
    </w:p>
    <w:p w14:paraId="36369593" w14:textId="77777777" w:rsidR="00F61F8E" w:rsidRPr="002B3F36" w:rsidRDefault="000F264B" w:rsidP="00F83434">
      <w:pPr>
        <w:pStyle w:val="Bullet12"/>
      </w:pPr>
      <w:r w:rsidRPr="002B3F36">
        <w:rPr>
          <w:b/>
        </w:rPr>
        <w:lastRenderedPageBreak/>
        <w:t>Draft</w:t>
      </w:r>
      <w:r w:rsidRPr="002B3F36">
        <w:rPr>
          <w:b/>
          <w:spacing w:val="-2"/>
        </w:rPr>
        <w:t xml:space="preserve"> </w:t>
      </w:r>
      <w:r w:rsidRPr="002B3F36">
        <w:rPr>
          <w:b/>
        </w:rPr>
        <w:t>Report</w:t>
      </w:r>
      <w:r w:rsidRPr="002B3F36">
        <w:t>:</w:t>
      </w:r>
      <w:r w:rsidRPr="002B3F36">
        <w:rPr>
          <w:spacing w:val="-3"/>
        </w:rPr>
        <w:t xml:space="preserve"> </w:t>
      </w:r>
      <w:r w:rsidRPr="002B3F36">
        <w:t>Article</w:t>
      </w:r>
      <w:r w:rsidRPr="002B3F36">
        <w:rPr>
          <w:spacing w:val="-5"/>
        </w:rPr>
        <w:t xml:space="preserve"> </w:t>
      </w:r>
      <w:r w:rsidRPr="002B3F36">
        <w:t>73</w:t>
      </w:r>
      <w:r w:rsidRPr="002B3F36">
        <w:rPr>
          <w:spacing w:val="-4"/>
        </w:rPr>
        <w:t xml:space="preserve"> </w:t>
      </w:r>
      <w:r w:rsidRPr="002B3F36">
        <w:t>requires</w:t>
      </w:r>
      <w:r w:rsidRPr="002B3F36">
        <w:rPr>
          <w:spacing w:val="-5"/>
        </w:rPr>
        <w:t xml:space="preserve"> </w:t>
      </w:r>
      <w:r w:rsidRPr="002B3F36">
        <w:t>that</w:t>
      </w:r>
      <w:r w:rsidRPr="002B3F36">
        <w:rPr>
          <w:spacing w:val="-3"/>
        </w:rPr>
        <w:t xml:space="preserve"> </w:t>
      </w:r>
      <w:r w:rsidRPr="002B3F36">
        <w:t>a</w:t>
      </w:r>
      <w:r w:rsidRPr="002B3F36">
        <w:rPr>
          <w:spacing w:val="-4"/>
        </w:rPr>
        <w:t xml:space="preserve"> </w:t>
      </w:r>
      <w:r w:rsidRPr="002B3F36">
        <w:t>draft</w:t>
      </w:r>
      <w:r w:rsidRPr="002B3F36">
        <w:rPr>
          <w:spacing w:val="-1"/>
        </w:rPr>
        <w:t xml:space="preserve"> </w:t>
      </w:r>
      <w:r w:rsidRPr="002B3F36">
        <w:t>report</w:t>
      </w:r>
      <w:r w:rsidRPr="002B3F36">
        <w:rPr>
          <w:spacing w:val="-3"/>
        </w:rPr>
        <w:t xml:space="preserve"> </w:t>
      </w:r>
      <w:r w:rsidRPr="002B3F36">
        <w:t>on</w:t>
      </w:r>
      <w:r w:rsidRPr="002B3F36">
        <w:rPr>
          <w:spacing w:val="-3"/>
        </w:rPr>
        <w:t xml:space="preserve"> </w:t>
      </w:r>
      <w:r w:rsidRPr="002B3F36">
        <w:t>potential</w:t>
      </w:r>
      <w:r w:rsidRPr="002B3F36">
        <w:rPr>
          <w:spacing w:val="-3"/>
        </w:rPr>
        <w:t xml:space="preserve"> </w:t>
      </w:r>
      <w:r w:rsidRPr="002B3F36">
        <w:t>impacts</w:t>
      </w:r>
      <w:r w:rsidRPr="002B3F36">
        <w:rPr>
          <w:spacing w:val="-5"/>
        </w:rPr>
        <w:t xml:space="preserve"> </w:t>
      </w:r>
      <w:r w:rsidRPr="002B3F36">
        <w:t>be</w:t>
      </w:r>
      <w:r w:rsidRPr="002B3F36">
        <w:rPr>
          <w:spacing w:val="-5"/>
        </w:rPr>
        <w:t xml:space="preserve"> </w:t>
      </w:r>
      <w:r w:rsidRPr="002B3F36">
        <w:t>submitted</w:t>
      </w:r>
      <w:r w:rsidRPr="002B3F36">
        <w:rPr>
          <w:spacing w:val="-2"/>
        </w:rPr>
        <w:t xml:space="preserve"> </w:t>
      </w:r>
      <w:r w:rsidRPr="002B3F36">
        <w:t>for public hearings before assessment by the environmental protection authority.</w:t>
      </w:r>
    </w:p>
    <w:p w14:paraId="67150756" w14:textId="77777777" w:rsidR="00F61F8E" w:rsidRPr="002B3F36" w:rsidRDefault="000F264B" w:rsidP="00F83434">
      <w:pPr>
        <w:pStyle w:val="Bullet12"/>
      </w:pPr>
      <w:r w:rsidRPr="002B3F36">
        <w:rPr>
          <w:b/>
        </w:rPr>
        <w:t>Organisation</w:t>
      </w:r>
      <w:r w:rsidRPr="002B3F36">
        <w:rPr>
          <w:b/>
          <w:spacing w:val="-4"/>
        </w:rPr>
        <w:t xml:space="preserve"> </w:t>
      </w:r>
      <w:r w:rsidRPr="002B3F36">
        <w:rPr>
          <w:b/>
        </w:rPr>
        <w:t>of</w:t>
      </w:r>
      <w:r w:rsidRPr="002B3F36">
        <w:rPr>
          <w:b/>
          <w:spacing w:val="-4"/>
        </w:rPr>
        <w:t xml:space="preserve"> </w:t>
      </w:r>
      <w:r w:rsidRPr="002B3F36">
        <w:rPr>
          <w:b/>
        </w:rPr>
        <w:t>Hearings</w:t>
      </w:r>
      <w:r w:rsidRPr="002B3F36">
        <w:t>:</w:t>
      </w:r>
      <w:r w:rsidRPr="002B3F36">
        <w:rPr>
          <w:spacing w:val="-3"/>
        </w:rPr>
        <w:t xml:space="preserve"> </w:t>
      </w:r>
      <w:r w:rsidRPr="002B3F36">
        <w:t>The</w:t>
      </w:r>
      <w:r w:rsidRPr="002B3F36">
        <w:rPr>
          <w:spacing w:val="-6"/>
        </w:rPr>
        <w:t xml:space="preserve"> </w:t>
      </w:r>
      <w:r w:rsidRPr="002B3F36">
        <w:t>hearings</w:t>
      </w:r>
      <w:r w:rsidRPr="002B3F36">
        <w:rPr>
          <w:spacing w:val="-3"/>
        </w:rPr>
        <w:t xml:space="preserve"> </w:t>
      </w:r>
      <w:r w:rsidRPr="002B3F36">
        <w:t>must</w:t>
      </w:r>
      <w:r w:rsidRPr="002B3F36">
        <w:rPr>
          <w:spacing w:val="-2"/>
        </w:rPr>
        <w:t xml:space="preserve"> </w:t>
      </w:r>
      <w:r w:rsidRPr="002B3F36">
        <w:t>follow</w:t>
      </w:r>
      <w:r w:rsidRPr="002B3F36">
        <w:rPr>
          <w:spacing w:val="-5"/>
        </w:rPr>
        <w:t xml:space="preserve"> </w:t>
      </w:r>
      <w:r w:rsidRPr="002B3F36">
        <w:t>guidelines</w:t>
      </w:r>
      <w:r w:rsidRPr="002B3F36">
        <w:rPr>
          <w:spacing w:val="-6"/>
        </w:rPr>
        <w:t xml:space="preserve"> </w:t>
      </w:r>
      <w:r w:rsidRPr="002B3F36">
        <w:t>from</w:t>
      </w:r>
      <w:r w:rsidRPr="002B3F36">
        <w:rPr>
          <w:spacing w:val="-2"/>
        </w:rPr>
        <w:t xml:space="preserve"> </w:t>
      </w:r>
      <w:r w:rsidRPr="002B3F36">
        <w:t>the</w:t>
      </w:r>
      <w:r w:rsidRPr="002B3F36">
        <w:rPr>
          <w:spacing w:val="-6"/>
        </w:rPr>
        <w:t xml:space="preserve"> </w:t>
      </w:r>
      <w:r w:rsidRPr="002B3F36">
        <w:t>Minister</w:t>
      </w:r>
      <w:r w:rsidRPr="002B3F36">
        <w:rPr>
          <w:spacing w:val="-4"/>
        </w:rPr>
        <w:t xml:space="preserve"> </w:t>
      </w:r>
      <w:r w:rsidRPr="002B3F36">
        <w:t>of Ecology, including:</w:t>
      </w:r>
    </w:p>
    <w:p w14:paraId="2CC74D67" w14:textId="77777777" w:rsidR="00F61F8E" w:rsidRPr="002B3F36" w:rsidRDefault="000F264B">
      <w:pPr>
        <w:pStyle w:val="Letteredsmall"/>
      </w:pPr>
      <w:r w:rsidRPr="002B3F36">
        <w:t>The</w:t>
      </w:r>
      <w:r w:rsidRPr="002B3F36">
        <w:rPr>
          <w:spacing w:val="-7"/>
        </w:rPr>
        <w:t xml:space="preserve"> </w:t>
      </w:r>
      <w:r w:rsidRPr="002B3F36">
        <w:t>draft</w:t>
      </w:r>
      <w:r w:rsidRPr="002B3F36">
        <w:rPr>
          <w:spacing w:val="-3"/>
        </w:rPr>
        <w:t xml:space="preserve"> </w:t>
      </w:r>
      <w:r w:rsidRPr="002B3F36">
        <w:t>report</w:t>
      </w:r>
      <w:r w:rsidRPr="002B3F36">
        <w:rPr>
          <w:spacing w:val="-5"/>
        </w:rPr>
        <w:t xml:space="preserve"> </w:t>
      </w:r>
      <w:r w:rsidRPr="002B3F36">
        <w:t>must</w:t>
      </w:r>
      <w:r w:rsidRPr="002B3F36">
        <w:rPr>
          <w:spacing w:val="-6"/>
        </w:rPr>
        <w:t xml:space="preserve"> </w:t>
      </w:r>
      <w:r w:rsidRPr="002B3F36">
        <w:t>be</w:t>
      </w:r>
      <w:r w:rsidRPr="002B3F36">
        <w:rPr>
          <w:spacing w:val="-7"/>
        </w:rPr>
        <w:t xml:space="preserve"> </w:t>
      </w:r>
      <w:r w:rsidRPr="002B3F36">
        <w:t>accessible</w:t>
      </w:r>
      <w:r w:rsidRPr="002B3F36">
        <w:rPr>
          <w:spacing w:val="-5"/>
        </w:rPr>
        <w:t xml:space="preserve"> </w:t>
      </w:r>
      <w:r w:rsidRPr="002B3F36">
        <w:t>online</w:t>
      </w:r>
      <w:r w:rsidRPr="002B3F36">
        <w:rPr>
          <w:spacing w:val="-6"/>
        </w:rPr>
        <w:t xml:space="preserve"> </w:t>
      </w:r>
      <w:r w:rsidRPr="002B3F36">
        <w:t>for</w:t>
      </w:r>
      <w:r w:rsidRPr="002B3F36">
        <w:rPr>
          <w:spacing w:val="-7"/>
        </w:rPr>
        <w:t xml:space="preserve"> </w:t>
      </w:r>
      <w:r w:rsidRPr="002B3F36">
        <w:t>at</w:t>
      </w:r>
      <w:r w:rsidRPr="002B3F36">
        <w:rPr>
          <w:spacing w:val="-5"/>
        </w:rPr>
        <w:t xml:space="preserve"> </w:t>
      </w:r>
      <w:r w:rsidRPr="002B3F36">
        <w:t>least</w:t>
      </w:r>
      <w:r w:rsidRPr="002B3F36">
        <w:rPr>
          <w:spacing w:val="-6"/>
        </w:rPr>
        <w:t xml:space="preserve"> </w:t>
      </w:r>
      <w:r w:rsidRPr="002B3F36">
        <w:t>thirty</w:t>
      </w:r>
      <w:r w:rsidRPr="002B3F36">
        <w:rPr>
          <w:spacing w:val="-6"/>
        </w:rPr>
        <w:t xml:space="preserve"> </w:t>
      </w:r>
      <w:r w:rsidRPr="002B3F36">
        <w:rPr>
          <w:spacing w:val="-2"/>
        </w:rPr>
        <w:t>days.</w:t>
      </w:r>
    </w:p>
    <w:p w14:paraId="74F1361E" w14:textId="77777777" w:rsidR="00F61F8E" w:rsidRPr="002B3F36" w:rsidRDefault="000F264B">
      <w:pPr>
        <w:pStyle w:val="Letteredsmall"/>
      </w:pPr>
      <w:r w:rsidRPr="002B3F36">
        <w:t>Announcements</w:t>
      </w:r>
      <w:r w:rsidRPr="002B3F36">
        <w:rPr>
          <w:spacing w:val="-3"/>
        </w:rPr>
        <w:t xml:space="preserve"> </w:t>
      </w:r>
      <w:r w:rsidRPr="002B3F36">
        <w:t>must</w:t>
      </w:r>
      <w:r w:rsidRPr="002B3F36">
        <w:rPr>
          <w:spacing w:val="-5"/>
        </w:rPr>
        <w:t xml:space="preserve"> </w:t>
      </w:r>
      <w:r w:rsidRPr="002B3F36">
        <w:t>be</w:t>
      </w:r>
      <w:r w:rsidRPr="002B3F36">
        <w:rPr>
          <w:spacing w:val="-6"/>
        </w:rPr>
        <w:t xml:space="preserve"> </w:t>
      </w:r>
      <w:r w:rsidRPr="002B3F36">
        <w:t>published</w:t>
      </w:r>
      <w:r w:rsidRPr="002B3F36">
        <w:rPr>
          <w:spacing w:val="-4"/>
        </w:rPr>
        <w:t xml:space="preserve"> </w:t>
      </w:r>
      <w:r w:rsidRPr="002B3F36">
        <w:t>in</w:t>
      </w:r>
      <w:r w:rsidRPr="002B3F36">
        <w:rPr>
          <w:spacing w:val="-3"/>
        </w:rPr>
        <w:t xml:space="preserve"> </w:t>
      </w:r>
      <w:r w:rsidRPr="002B3F36">
        <w:t>local</w:t>
      </w:r>
      <w:r w:rsidRPr="002B3F36">
        <w:rPr>
          <w:spacing w:val="-5"/>
        </w:rPr>
        <w:t xml:space="preserve"> </w:t>
      </w:r>
      <w:r w:rsidRPr="002B3F36">
        <w:t>newspapers</w:t>
      </w:r>
      <w:r w:rsidRPr="002B3F36">
        <w:rPr>
          <w:spacing w:val="-6"/>
        </w:rPr>
        <w:t xml:space="preserve"> </w:t>
      </w:r>
      <w:r w:rsidRPr="002B3F36">
        <w:t>and</w:t>
      </w:r>
      <w:r w:rsidRPr="002B3F36">
        <w:rPr>
          <w:spacing w:val="-4"/>
        </w:rPr>
        <w:t xml:space="preserve"> </w:t>
      </w:r>
      <w:r w:rsidRPr="002B3F36">
        <w:t>broadcasted</w:t>
      </w:r>
      <w:r w:rsidRPr="002B3F36">
        <w:rPr>
          <w:spacing w:val="-4"/>
        </w:rPr>
        <w:t xml:space="preserve"> </w:t>
      </w:r>
      <w:r w:rsidRPr="002B3F36">
        <w:t>on</w:t>
      </w:r>
      <w:r w:rsidRPr="002B3F36">
        <w:rPr>
          <w:spacing w:val="-4"/>
        </w:rPr>
        <w:t xml:space="preserve"> </w:t>
      </w:r>
      <w:r w:rsidRPr="002B3F36">
        <w:t xml:space="preserve">TV or radio in both Kazakh and Russian at least twenty working days before the </w:t>
      </w:r>
      <w:r w:rsidRPr="002B3F36">
        <w:rPr>
          <w:spacing w:val="-2"/>
        </w:rPr>
        <w:t>hearings.</w:t>
      </w:r>
    </w:p>
    <w:p w14:paraId="64B60499" w14:textId="77777777" w:rsidR="00F61F8E" w:rsidRPr="002B3F36" w:rsidRDefault="000F264B" w:rsidP="00F83434">
      <w:pPr>
        <w:pStyle w:val="Bullet12"/>
      </w:pPr>
      <w:r w:rsidRPr="002B3F36">
        <w:rPr>
          <w:b/>
        </w:rPr>
        <w:t>Public</w:t>
      </w:r>
      <w:r w:rsidRPr="002B3F36">
        <w:rPr>
          <w:b/>
          <w:spacing w:val="-5"/>
        </w:rPr>
        <w:t xml:space="preserve"> </w:t>
      </w:r>
      <w:r w:rsidRPr="002B3F36">
        <w:rPr>
          <w:b/>
        </w:rPr>
        <w:t>Participation</w:t>
      </w:r>
      <w:r w:rsidRPr="002B3F36">
        <w:t>:</w:t>
      </w:r>
      <w:r w:rsidRPr="002B3F36">
        <w:rPr>
          <w:spacing w:val="-4"/>
        </w:rPr>
        <w:t xml:space="preserve"> </w:t>
      </w:r>
      <w:r w:rsidRPr="002B3F36">
        <w:t>Government</w:t>
      </w:r>
      <w:r w:rsidRPr="002B3F36">
        <w:rPr>
          <w:spacing w:val="-5"/>
        </w:rPr>
        <w:t xml:space="preserve"> </w:t>
      </w:r>
      <w:r w:rsidRPr="002B3F36">
        <w:t>bodies</w:t>
      </w:r>
      <w:r w:rsidRPr="002B3F36">
        <w:rPr>
          <w:spacing w:val="-6"/>
        </w:rPr>
        <w:t xml:space="preserve"> </w:t>
      </w:r>
      <w:r w:rsidRPr="002B3F36">
        <w:t>and</w:t>
      </w:r>
      <w:r w:rsidRPr="002B3F36">
        <w:rPr>
          <w:spacing w:val="-3"/>
        </w:rPr>
        <w:t xml:space="preserve"> </w:t>
      </w:r>
      <w:r w:rsidRPr="002B3F36">
        <w:t>the</w:t>
      </w:r>
      <w:r w:rsidRPr="002B3F36">
        <w:rPr>
          <w:spacing w:val="-6"/>
        </w:rPr>
        <w:t xml:space="preserve"> </w:t>
      </w:r>
      <w:r w:rsidRPr="002B3F36">
        <w:t>public</w:t>
      </w:r>
      <w:r w:rsidRPr="002B3F36">
        <w:rPr>
          <w:spacing w:val="-6"/>
        </w:rPr>
        <w:t xml:space="preserve"> </w:t>
      </w:r>
      <w:r w:rsidRPr="002B3F36">
        <w:t>can</w:t>
      </w:r>
      <w:r w:rsidRPr="002B3F36">
        <w:rPr>
          <w:spacing w:val="-3"/>
        </w:rPr>
        <w:t xml:space="preserve"> </w:t>
      </w:r>
      <w:r w:rsidRPr="002B3F36">
        <w:t>submit</w:t>
      </w:r>
      <w:r w:rsidRPr="002B3F36">
        <w:rPr>
          <w:spacing w:val="-5"/>
        </w:rPr>
        <w:t xml:space="preserve"> </w:t>
      </w:r>
      <w:r w:rsidRPr="002B3F36">
        <w:t>comments</w:t>
      </w:r>
      <w:r w:rsidRPr="002B3F36">
        <w:rPr>
          <w:spacing w:val="-4"/>
        </w:rPr>
        <w:t xml:space="preserve"> </w:t>
      </w:r>
      <w:r w:rsidRPr="002B3F36">
        <w:t>in</w:t>
      </w:r>
      <w:r w:rsidRPr="002B3F36">
        <w:rPr>
          <w:spacing w:val="-4"/>
        </w:rPr>
        <w:t xml:space="preserve"> </w:t>
      </w:r>
      <w:r w:rsidRPr="002B3F36">
        <w:t xml:space="preserve">writing or express them orally during the hearings. Participation is open to anyone, regardless of </w:t>
      </w:r>
      <w:r w:rsidRPr="002B3F36">
        <w:rPr>
          <w:spacing w:val="-2"/>
        </w:rPr>
        <w:t>residence.</w:t>
      </w:r>
    </w:p>
    <w:p w14:paraId="35DB4A68" w14:textId="77777777" w:rsidR="00F61F8E" w:rsidRPr="002B3F36" w:rsidRDefault="000F264B" w:rsidP="00F83434">
      <w:pPr>
        <w:pStyle w:val="Bullet12"/>
      </w:pPr>
      <w:r w:rsidRPr="002B3F36">
        <w:rPr>
          <w:b/>
        </w:rPr>
        <w:t>Post-Hearing Protocol</w:t>
      </w:r>
      <w:r w:rsidRPr="002B3F36">
        <w:t>: After the hearings, a protocol is created documenting all comments, responses from the project initiator, and any follow-up consultations if necessary.</w:t>
      </w:r>
      <w:r w:rsidRPr="002B3F36">
        <w:rPr>
          <w:spacing w:val="-8"/>
        </w:rPr>
        <w:t xml:space="preserve"> </w:t>
      </w:r>
      <w:r w:rsidRPr="002B3F36">
        <w:t>This</w:t>
      </w:r>
      <w:r w:rsidRPr="002B3F36">
        <w:rPr>
          <w:spacing w:val="-6"/>
        </w:rPr>
        <w:t xml:space="preserve"> </w:t>
      </w:r>
      <w:r w:rsidRPr="002B3F36">
        <w:t>protocol</w:t>
      </w:r>
      <w:r w:rsidRPr="002B3F36">
        <w:rPr>
          <w:spacing w:val="-5"/>
        </w:rPr>
        <w:t xml:space="preserve"> </w:t>
      </w:r>
      <w:r w:rsidRPr="002B3F36">
        <w:t>excludes</w:t>
      </w:r>
      <w:r w:rsidRPr="002B3F36">
        <w:rPr>
          <w:spacing w:val="-6"/>
        </w:rPr>
        <w:t xml:space="preserve"> </w:t>
      </w:r>
      <w:r w:rsidRPr="002B3F36">
        <w:t>any</w:t>
      </w:r>
      <w:r w:rsidRPr="002B3F36">
        <w:rPr>
          <w:spacing w:val="-6"/>
        </w:rPr>
        <w:t xml:space="preserve"> </w:t>
      </w:r>
      <w:r w:rsidRPr="002B3F36">
        <w:t>comments</w:t>
      </w:r>
      <w:r w:rsidRPr="002B3F36">
        <w:rPr>
          <w:spacing w:val="-8"/>
        </w:rPr>
        <w:t xml:space="preserve"> </w:t>
      </w:r>
      <w:r w:rsidRPr="002B3F36">
        <w:t>that</w:t>
      </w:r>
      <w:r w:rsidRPr="002B3F36">
        <w:rPr>
          <w:spacing w:val="-7"/>
        </w:rPr>
        <w:t xml:space="preserve"> </w:t>
      </w:r>
      <w:r w:rsidRPr="002B3F36">
        <w:t>were</w:t>
      </w:r>
      <w:r w:rsidRPr="002B3F36">
        <w:rPr>
          <w:spacing w:val="-8"/>
        </w:rPr>
        <w:t xml:space="preserve"> </w:t>
      </w:r>
      <w:r w:rsidRPr="002B3F36">
        <w:t>withdrawn</w:t>
      </w:r>
      <w:r w:rsidRPr="002B3F36">
        <w:rPr>
          <w:spacing w:val="-6"/>
        </w:rPr>
        <w:t xml:space="preserve"> </w:t>
      </w:r>
      <w:r w:rsidRPr="002B3F36">
        <w:t>during</w:t>
      </w:r>
      <w:r w:rsidRPr="002B3F36">
        <w:rPr>
          <w:spacing w:val="-7"/>
        </w:rPr>
        <w:t xml:space="preserve"> </w:t>
      </w:r>
      <w:r w:rsidRPr="002B3F36">
        <w:t>the</w:t>
      </w:r>
      <w:r w:rsidRPr="002B3F36">
        <w:rPr>
          <w:spacing w:val="-8"/>
        </w:rPr>
        <w:t xml:space="preserve"> </w:t>
      </w:r>
      <w:r w:rsidRPr="002B3F36">
        <w:t>hearings.</w:t>
      </w:r>
    </w:p>
    <w:p w14:paraId="38C2560B" w14:textId="77777777" w:rsidR="00F61F8E" w:rsidRPr="002B3F36" w:rsidRDefault="00F61F8E">
      <w:pPr>
        <w:rPr>
          <w:rFonts w:ascii="Arial" w:hAnsi="Arial" w:cs="Arial"/>
        </w:rPr>
      </w:pPr>
    </w:p>
    <w:p w14:paraId="126BAACE" w14:textId="77777777" w:rsidR="00F61F8E" w:rsidRPr="002B3F36" w:rsidRDefault="000F264B" w:rsidP="005A68AD">
      <w:pPr>
        <w:pStyle w:val="31"/>
      </w:pPr>
      <w:bookmarkStart w:id="677" w:name="_bookmark71"/>
      <w:bookmarkStart w:id="678" w:name="_Toc208973746"/>
      <w:bookmarkStart w:id="679" w:name="_Toc208973946"/>
      <w:bookmarkStart w:id="680" w:name="_Toc208974146"/>
      <w:bookmarkStart w:id="681" w:name="_Toc208974348"/>
      <w:bookmarkStart w:id="682" w:name="_Toc208974556"/>
      <w:bookmarkStart w:id="683" w:name="_Toc210589422"/>
      <w:bookmarkEnd w:id="677"/>
      <w:r w:rsidRPr="002B3F36">
        <w:t>Land</w:t>
      </w:r>
      <w:r w:rsidRPr="002B3F36">
        <w:rPr>
          <w:spacing w:val="33"/>
        </w:rPr>
        <w:t xml:space="preserve"> </w:t>
      </w:r>
      <w:r w:rsidRPr="002B3F36">
        <w:t>Acquisition</w:t>
      </w:r>
      <w:bookmarkEnd w:id="678"/>
      <w:bookmarkEnd w:id="679"/>
      <w:bookmarkEnd w:id="680"/>
      <w:bookmarkEnd w:id="681"/>
      <w:bookmarkEnd w:id="682"/>
      <w:bookmarkEnd w:id="683"/>
    </w:p>
    <w:p w14:paraId="47846D43" w14:textId="77777777" w:rsidR="00F61F8E" w:rsidRPr="002B3F36" w:rsidRDefault="000F264B">
      <w:pPr>
        <w:pStyle w:val="ReportBodyTextNogap"/>
      </w:pPr>
      <w:r w:rsidRPr="002B3F36">
        <w:t>The Project’s land procurement considers (i) the Project’s land requirement, and (ii) the Project’s Right of Way (RoW) as regulated by national laws. The Law of the Republic of Kazakhstan</w:t>
      </w:r>
      <w:r w:rsidRPr="002B3F36">
        <w:rPr>
          <w:spacing w:val="-8"/>
        </w:rPr>
        <w:t xml:space="preserve"> </w:t>
      </w:r>
      <w:r w:rsidRPr="002B3F36">
        <w:t>on</w:t>
      </w:r>
      <w:r w:rsidRPr="002B3F36">
        <w:rPr>
          <w:spacing w:val="-7"/>
        </w:rPr>
        <w:t xml:space="preserve"> </w:t>
      </w:r>
      <w:r w:rsidRPr="002B3F36">
        <w:t>Railway</w:t>
      </w:r>
      <w:r w:rsidRPr="002B3F36">
        <w:rPr>
          <w:spacing w:val="-6"/>
        </w:rPr>
        <w:t xml:space="preserve"> </w:t>
      </w:r>
      <w:r w:rsidRPr="002B3F36">
        <w:t>Transport</w:t>
      </w:r>
      <w:r w:rsidRPr="002B3F36">
        <w:rPr>
          <w:spacing w:val="-9"/>
        </w:rPr>
        <w:t xml:space="preserve"> </w:t>
      </w:r>
      <w:r w:rsidRPr="002B3F36">
        <w:t>establishes</w:t>
      </w:r>
      <w:r w:rsidRPr="002B3F36">
        <w:rPr>
          <w:spacing w:val="-11"/>
        </w:rPr>
        <w:t xml:space="preserve"> </w:t>
      </w:r>
      <w:r w:rsidRPr="002B3F36">
        <w:t>‘protective</w:t>
      </w:r>
      <w:r w:rsidRPr="002B3F36">
        <w:rPr>
          <w:spacing w:val="-9"/>
        </w:rPr>
        <w:t xml:space="preserve"> </w:t>
      </w:r>
      <w:r w:rsidRPr="002B3F36">
        <w:t>zones’</w:t>
      </w:r>
      <w:r w:rsidRPr="002B3F36">
        <w:rPr>
          <w:spacing w:val="-9"/>
        </w:rPr>
        <w:t xml:space="preserve"> </w:t>
      </w:r>
      <w:r w:rsidRPr="002B3F36">
        <w:t>around</w:t>
      </w:r>
      <w:r w:rsidRPr="002B3F36">
        <w:rPr>
          <w:spacing w:val="-8"/>
        </w:rPr>
        <w:t xml:space="preserve"> </w:t>
      </w:r>
      <w:r w:rsidRPr="002B3F36">
        <w:t>railway</w:t>
      </w:r>
      <w:r w:rsidRPr="002B3F36">
        <w:rPr>
          <w:spacing w:val="-10"/>
        </w:rPr>
        <w:t xml:space="preserve"> </w:t>
      </w:r>
      <w:r w:rsidRPr="002B3F36">
        <w:t>infrastructure</w:t>
      </w:r>
      <w:r w:rsidRPr="002B3F36">
        <w:rPr>
          <w:spacing w:val="-11"/>
        </w:rPr>
        <w:t xml:space="preserve"> </w:t>
      </w:r>
      <w:r w:rsidRPr="002B3F36">
        <w:t>to ensure the safety, operational integrity, and durability of rail transport. These zones regulate activities near railway tracks, safeguarding public safety and preventing disruptions to railway operations.</w:t>
      </w:r>
      <w:r w:rsidRPr="002B3F36">
        <w:rPr>
          <w:spacing w:val="-6"/>
        </w:rPr>
        <w:t xml:space="preserve"> </w:t>
      </w:r>
      <w:r w:rsidRPr="002B3F36">
        <w:t>Specific</w:t>
      </w:r>
      <w:r w:rsidRPr="002B3F36">
        <w:rPr>
          <w:spacing w:val="-3"/>
        </w:rPr>
        <w:t xml:space="preserve"> </w:t>
      </w:r>
      <w:r w:rsidRPr="002B3F36">
        <w:t>restrictions</w:t>
      </w:r>
      <w:r w:rsidRPr="002B3F36">
        <w:rPr>
          <w:spacing w:val="-3"/>
        </w:rPr>
        <w:t xml:space="preserve"> </w:t>
      </w:r>
      <w:r w:rsidRPr="002B3F36">
        <w:t>apply</w:t>
      </w:r>
      <w:r w:rsidRPr="002B3F36">
        <w:rPr>
          <w:spacing w:val="-5"/>
        </w:rPr>
        <w:t xml:space="preserve"> </w:t>
      </w:r>
      <w:r w:rsidRPr="002B3F36">
        <w:t>to</w:t>
      </w:r>
      <w:r w:rsidRPr="002B3F36">
        <w:rPr>
          <w:spacing w:val="-3"/>
        </w:rPr>
        <w:t xml:space="preserve"> </w:t>
      </w:r>
      <w:r w:rsidRPr="002B3F36">
        <w:t>construction,</w:t>
      </w:r>
      <w:r w:rsidRPr="002B3F36">
        <w:rPr>
          <w:spacing w:val="-6"/>
        </w:rPr>
        <w:t xml:space="preserve"> </w:t>
      </w:r>
      <w:r w:rsidRPr="002B3F36">
        <w:t>land</w:t>
      </w:r>
      <w:r w:rsidRPr="002B3F36">
        <w:rPr>
          <w:spacing w:val="-4"/>
        </w:rPr>
        <w:t xml:space="preserve"> </w:t>
      </w:r>
      <w:r w:rsidRPr="002B3F36">
        <w:t>use,</w:t>
      </w:r>
      <w:r w:rsidRPr="002B3F36">
        <w:rPr>
          <w:spacing w:val="-6"/>
        </w:rPr>
        <w:t xml:space="preserve"> </w:t>
      </w:r>
      <w:r w:rsidRPr="002B3F36">
        <w:t>and</w:t>
      </w:r>
      <w:r w:rsidRPr="002B3F36">
        <w:rPr>
          <w:spacing w:val="-3"/>
        </w:rPr>
        <w:t xml:space="preserve"> </w:t>
      </w:r>
      <w:r w:rsidRPr="002B3F36">
        <w:t>other</w:t>
      </w:r>
      <w:r w:rsidRPr="002B3F36">
        <w:rPr>
          <w:spacing w:val="-3"/>
        </w:rPr>
        <w:t xml:space="preserve"> </w:t>
      </w:r>
      <w:r w:rsidRPr="002B3F36">
        <w:t>activities</w:t>
      </w:r>
      <w:r w:rsidRPr="002B3F36">
        <w:rPr>
          <w:spacing w:val="-6"/>
        </w:rPr>
        <w:t xml:space="preserve"> </w:t>
      </w:r>
      <w:r w:rsidRPr="002B3F36">
        <w:t>within these designated zones.</w:t>
      </w:r>
    </w:p>
    <w:p w14:paraId="3E6087AB" w14:textId="77777777" w:rsidR="00F61F8E" w:rsidRPr="002B3F36" w:rsidRDefault="000F264B" w:rsidP="009B4CDB">
      <w:pPr>
        <w:pStyle w:val="a0"/>
        <w:numPr>
          <w:ilvl w:val="0"/>
          <w:numId w:val="66"/>
        </w:numPr>
      </w:pPr>
      <w:r w:rsidRPr="002B3F36">
        <w:t>The</w:t>
      </w:r>
      <w:r w:rsidRPr="002B3F36">
        <w:rPr>
          <w:spacing w:val="-9"/>
        </w:rPr>
        <w:t xml:space="preserve"> </w:t>
      </w:r>
      <w:r w:rsidRPr="002B3F36">
        <w:t>Project</w:t>
      </w:r>
      <w:r w:rsidRPr="002B3F36">
        <w:rPr>
          <w:spacing w:val="-5"/>
        </w:rPr>
        <w:t xml:space="preserve"> </w:t>
      </w:r>
      <w:r w:rsidRPr="002B3F36">
        <w:t>footprint</w:t>
      </w:r>
      <w:r w:rsidRPr="002B3F36">
        <w:rPr>
          <w:spacing w:val="-7"/>
        </w:rPr>
        <w:t xml:space="preserve"> </w:t>
      </w:r>
      <w:r w:rsidRPr="002B3F36">
        <w:t>includes</w:t>
      </w:r>
      <w:r w:rsidRPr="002B3F36">
        <w:rPr>
          <w:spacing w:val="-8"/>
        </w:rPr>
        <w:t xml:space="preserve"> </w:t>
      </w:r>
      <w:r w:rsidRPr="002B3F36">
        <w:t>a</w:t>
      </w:r>
      <w:r w:rsidRPr="002B3F36">
        <w:rPr>
          <w:spacing w:val="-8"/>
        </w:rPr>
        <w:t xml:space="preserve"> </w:t>
      </w:r>
      <w:r w:rsidRPr="002B3F36">
        <w:t>30m-wide</w:t>
      </w:r>
      <w:r w:rsidRPr="002B3F36">
        <w:rPr>
          <w:spacing w:val="-8"/>
        </w:rPr>
        <w:t xml:space="preserve"> </w:t>
      </w:r>
      <w:r w:rsidRPr="002B3F36">
        <w:t>rail</w:t>
      </w:r>
      <w:r w:rsidRPr="002B3F36">
        <w:rPr>
          <w:spacing w:val="-6"/>
        </w:rPr>
        <w:t xml:space="preserve"> </w:t>
      </w:r>
      <w:r w:rsidRPr="002B3F36">
        <w:rPr>
          <w:spacing w:val="-2"/>
        </w:rPr>
        <w:t>track;</w:t>
      </w:r>
    </w:p>
    <w:p w14:paraId="18418D48" w14:textId="3AD1CE7E" w:rsidR="00F61F8E" w:rsidRPr="002B3F36" w:rsidRDefault="000F264B" w:rsidP="009B4CDB">
      <w:pPr>
        <w:pStyle w:val="a0"/>
        <w:numPr>
          <w:ilvl w:val="0"/>
          <w:numId w:val="66"/>
        </w:numPr>
      </w:pPr>
      <w:r w:rsidRPr="002B3F36">
        <w:t>A</w:t>
      </w:r>
      <w:r w:rsidRPr="002B3F36">
        <w:rPr>
          <w:spacing w:val="-6"/>
        </w:rPr>
        <w:t xml:space="preserve"> </w:t>
      </w:r>
      <w:r w:rsidR="00C452FA" w:rsidRPr="002B3F36">
        <w:rPr>
          <w:spacing w:val="-6"/>
        </w:rPr>
        <w:t>50-</w:t>
      </w:r>
      <w:r w:rsidRPr="002B3F36">
        <w:t>100m</w:t>
      </w:r>
      <w:r w:rsidRPr="002B3F36">
        <w:rPr>
          <w:spacing w:val="-6"/>
        </w:rPr>
        <w:t xml:space="preserve"> </w:t>
      </w:r>
      <w:r w:rsidRPr="002B3F36">
        <w:t>right</w:t>
      </w:r>
      <w:r w:rsidRPr="002B3F36">
        <w:rPr>
          <w:spacing w:val="-5"/>
        </w:rPr>
        <w:t xml:space="preserve"> </w:t>
      </w:r>
      <w:r w:rsidRPr="002B3F36">
        <w:t>of</w:t>
      </w:r>
      <w:r w:rsidRPr="002B3F36">
        <w:rPr>
          <w:spacing w:val="-7"/>
        </w:rPr>
        <w:t xml:space="preserve"> </w:t>
      </w:r>
      <w:r w:rsidRPr="002B3F36">
        <w:t>way</w:t>
      </w:r>
      <w:r w:rsidRPr="002B3F36">
        <w:rPr>
          <w:spacing w:val="-6"/>
        </w:rPr>
        <w:t xml:space="preserve"> </w:t>
      </w:r>
      <w:r w:rsidRPr="002B3F36">
        <w:t>(RoW)</w:t>
      </w:r>
      <w:r w:rsidRPr="002B3F36">
        <w:rPr>
          <w:spacing w:val="-4"/>
        </w:rPr>
        <w:t xml:space="preserve"> </w:t>
      </w:r>
      <w:r w:rsidRPr="002B3F36">
        <w:t>on</w:t>
      </w:r>
      <w:r w:rsidRPr="002B3F36">
        <w:rPr>
          <w:spacing w:val="-5"/>
        </w:rPr>
        <w:t xml:space="preserve"> </w:t>
      </w:r>
      <w:r w:rsidRPr="002B3F36">
        <w:t>both</w:t>
      </w:r>
      <w:r w:rsidRPr="002B3F36">
        <w:rPr>
          <w:spacing w:val="-3"/>
        </w:rPr>
        <w:t xml:space="preserve"> </w:t>
      </w:r>
      <w:r w:rsidRPr="002B3F36">
        <w:t>sides</w:t>
      </w:r>
      <w:r w:rsidRPr="002B3F36">
        <w:rPr>
          <w:spacing w:val="-4"/>
        </w:rPr>
        <w:t xml:space="preserve"> </w:t>
      </w:r>
      <w:r w:rsidRPr="002B3F36">
        <w:t>of</w:t>
      </w:r>
      <w:r w:rsidRPr="002B3F36">
        <w:rPr>
          <w:spacing w:val="-7"/>
        </w:rPr>
        <w:t xml:space="preserve"> </w:t>
      </w:r>
      <w:r w:rsidRPr="002B3F36">
        <w:t>the</w:t>
      </w:r>
      <w:r w:rsidRPr="002B3F36">
        <w:rPr>
          <w:spacing w:val="-7"/>
        </w:rPr>
        <w:t xml:space="preserve"> </w:t>
      </w:r>
      <w:r w:rsidRPr="002B3F36">
        <w:t>track</w:t>
      </w:r>
      <w:r w:rsidR="00C452FA" w:rsidRPr="002B3F36">
        <w:t xml:space="preserve"> depending on the location</w:t>
      </w:r>
      <w:r w:rsidRPr="002B3F36">
        <w:t>;</w:t>
      </w:r>
      <w:r w:rsidRPr="002B3F36">
        <w:rPr>
          <w:spacing w:val="-6"/>
        </w:rPr>
        <w:t xml:space="preserve"> </w:t>
      </w:r>
      <w:r w:rsidRPr="002B3F36">
        <w:rPr>
          <w:spacing w:val="-5"/>
        </w:rPr>
        <w:t>and</w:t>
      </w:r>
    </w:p>
    <w:p w14:paraId="25D5B4B0" w14:textId="77777777" w:rsidR="00F61F8E" w:rsidRPr="002B3F36" w:rsidRDefault="000F264B" w:rsidP="009B4CDB">
      <w:pPr>
        <w:pStyle w:val="a0"/>
        <w:numPr>
          <w:ilvl w:val="0"/>
          <w:numId w:val="66"/>
        </w:numPr>
      </w:pPr>
      <w:r w:rsidRPr="002B3F36">
        <w:t>The</w:t>
      </w:r>
      <w:r w:rsidRPr="002B3F36">
        <w:rPr>
          <w:spacing w:val="-6"/>
        </w:rPr>
        <w:t xml:space="preserve"> </w:t>
      </w:r>
      <w:r w:rsidRPr="002B3F36">
        <w:t>Project’s</w:t>
      </w:r>
      <w:r w:rsidRPr="002B3F36">
        <w:rPr>
          <w:spacing w:val="-3"/>
        </w:rPr>
        <w:t xml:space="preserve"> </w:t>
      </w:r>
      <w:r w:rsidRPr="002B3F36">
        <w:t>OHTLs</w:t>
      </w:r>
      <w:r w:rsidRPr="002B3F36">
        <w:rPr>
          <w:spacing w:val="-3"/>
        </w:rPr>
        <w:t xml:space="preserve"> </w:t>
      </w:r>
      <w:r w:rsidRPr="002B3F36">
        <w:t>will</w:t>
      </w:r>
      <w:r w:rsidRPr="002B3F36">
        <w:rPr>
          <w:spacing w:val="-2"/>
        </w:rPr>
        <w:t xml:space="preserve"> </w:t>
      </w:r>
      <w:r w:rsidRPr="002B3F36">
        <w:t>run</w:t>
      </w:r>
      <w:r w:rsidRPr="002B3F36">
        <w:rPr>
          <w:spacing w:val="-4"/>
        </w:rPr>
        <w:t xml:space="preserve"> </w:t>
      </w:r>
      <w:r w:rsidRPr="002B3F36">
        <w:t>parallel</w:t>
      </w:r>
      <w:r w:rsidRPr="002B3F36">
        <w:rPr>
          <w:spacing w:val="-4"/>
        </w:rPr>
        <w:t xml:space="preserve"> </w:t>
      </w:r>
      <w:r w:rsidRPr="002B3F36">
        <w:t>to</w:t>
      </w:r>
      <w:r w:rsidRPr="002B3F36">
        <w:rPr>
          <w:spacing w:val="-6"/>
        </w:rPr>
        <w:t xml:space="preserve"> </w:t>
      </w:r>
      <w:r w:rsidRPr="002B3F36">
        <w:t>the</w:t>
      </w:r>
      <w:r w:rsidRPr="002B3F36">
        <w:rPr>
          <w:spacing w:val="-4"/>
        </w:rPr>
        <w:t xml:space="preserve"> </w:t>
      </w:r>
      <w:r w:rsidRPr="002B3F36">
        <w:t>alignment</w:t>
      </w:r>
      <w:r w:rsidRPr="002B3F36">
        <w:rPr>
          <w:spacing w:val="-4"/>
        </w:rPr>
        <w:t xml:space="preserve"> </w:t>
      </w:r>
      <w:r w:rsidRPr="002B3F36">
        <w:t>through</w:t>
      </w:r>
      <w:r w:rsidRPr="002B3F36">
        <w:rPr>
          <w:spacing w:val="-4"/>
        </w:rPr>
        <w:t xml:space="preserve"> </w:t>
      </w:r>
      <w:r w:rsidRPr="002B3F36">
        <w:t>a</w:t>
      </w:r>
      <w:r w:rsidRPr="002B3F36">
        <w:rPr>
          <w:spacing w:val="-5"/>
        </w:rPr>
        <w:t xml:space="preserve"> </w:t>
      </w:r>
      <w:r w:rsidRPr="002B3F36">
        <w:t>10kV</w:t>
      </w:r>
      <w:r w:rsidRPr="002B3F36">
        <w:rPr>
          <w:spacing w:val="-5"/>
        </w:rPr>
        <w:t xml:space="preserve"> </w:t>
      </w:r>
      <w:r w:rsidRPr="002B3F36">
        <w:t>low</w:t>
      </w:r>
      <w:r w:rsidRPr="002B3F36">
        <w:rPr>
          <w:spacing w:val="-5"/>
        </w:rPr>
        <w:t xml:space="preserve"> </w:t>
      </w:r>
      <w:r w:rsidRPr="002B3F36">
        <w:t>voltage transmission</w:t>
      </w:r>
      <w:r w:rsidRPr="002B3F36">
        <w:rPr>
          <w:spacing w:val="-1"/>
        </w:rPr>
        <w:t xml:space="preserve"> </w:t>
      </w:r>
      <w:r w:rsidRPr="002B3F36">
        <w:t>line</w:t>
      </w:r>
      <w:r w:rsidRPr="002B3F36">
        <w:rPr>
          <w:spacing w:val="-3"/>
        </w:rPr>
        <w:t xml:space="preserve"> </w:t>
      </w:r>
      <w:r w:rsidRPr="002B3F36">
        <w:t>which is</w:t>
      </w:r>
      <w:r w:rsidRPr="002B3F36">
        <w:rPr>
          <w:spacing w:val="-3"/>
        </w:rPr>
        <w:t xml:space="preserve"> </w:t>
      </w:r>
      <w:r w:rsidRPr="002B3F36">
        <w:t>to</w:t>
      </w:r>
      <w:r w:rsidRPr="002B3F36">
        <w:rPr>
          <w:spacing w:val="-3"/>
        </w:rPr>
        <w:t xml:space="preserve"> </w:t>
      </w:r>
      <w:r w:rsidRPr="002B3F36">
        <w:t>be</w:t>
      </w:r>
      <w:r w:rsidRPr="002B3F36">
        <w:rPr>
          <w:spacing w:val="-3"/>
        </w:rPr>
        <w:t xml:space="preserve"> </w:t>
      </w:r>
      <w:r w:rsidRPr="002B3F36">
        <w:t>located</w:t>
      </w:r>
      <w:r w:rsidRPr="002B3F36">
        <w:rPr>
          <w:spacing w:val="-1"/>
        </w:rPr>
        <w:t xml:space="preserve"> </w:t>
      </w:r>
      <w:r w:rsidRPr="002B3F36">
        <w:t>underground</w:t>
      </w:r>
      <w:r w:rsidRPr="002B3F36">
        <w:rPr>
          <w:spacing w:val="-1"/>
        </w:rPr>
        <w:t xml:space="preserve"> </w:t>
      </w:r>
      <w:r w:rsidRPr="002B3F36">
        <w:t>and</w:t>
      </w:r>
      <w:r w:rsidRPr="002B3F36">
        <w:rPr>
          <w:spacing w:val="-1"/>
        </w:rPr>
        <w:t xml:space="preserve"> </w:t>
      </w:r>
      <w:r w:rsidRPr="002B3F36">
        <w:t>within</w:t>
      </w:r>
      <w:r w:rsidRPr="002B3F36">
        <w:rPr>
          <w:spacing w:val="-1"/>
        </w:rPr>
        <w:t xml:space="preserve"> </w:t>
      </w:r>
      <w:r w:rsidRPr="002B3F36">
        <w:t>the</w:t>
      </w:r>
      <w:r w:rsidRPr="002B3F36">
        <w:rPr>
          <w:spacing w:val="-3"/>
        </w:rPr>
        <w:t xml:space="preserve"> </w:t>
      </w:r>
      <w:r w:rsidRPr="002B3F36">
        <w:t>right</w:t>
      </w:r>
      <w:r w:rsidRPr="002B3F36">
        <w:rPr>
          <w:spacing w:val="-1"/>
        </w:rPr>
        <w:t xml:space="preserve"> </w:t>
      </w:r>
      <w:r w:rsidRPr="002B3F36">
        <w:t>of</w:t>
      </w:r>
      <w:r w:rsidRPr="002B3F36">
        <w:rPr>
          <w:spacing w:val="-3"/>
        </w:rPr>
        <w:t xml:space="preserve"> </w:t>
      </w:r>
      <w:r w:rsidRPr="002B3F36">
        <w:t>way.</w:t>
      </w:r>
    </w:p>
    <w:p w14:paraId="0C2DCAEA" w14:textId="77777777" w:rsidR="00F61F8E" w:rsidRPr="002B3F36" w:rsidRDefault="00F61F8E">
      <w:pPr>
        <w:pStyle w:val="ReportBodyTextNogap"/>
      </w:pPr>
    </w:p>
    <w:p w14:paraId="53CE377E" w14:textId="77777777" w:rsidR="00F61F8E" w:rsidRPr="002B3F36" w:rsidRDefault="000F264B">
      <w:pPr>
        <w:pStyle w:val="ReportBodyTextNogap"/>
      </w:pPr>
      <w:r w:rsidRPr="002B3F36">
        <w:t>In Kazakhstan, land ownership resides with the State, which has the authority to transfer, sell, or lease it to individuals or legal entities. Most leases are typically long-term, lasting around 49 years, while some individuals or organisations may opt for shorter leases that range from 1 to 5 years. The State is permitted to reclaim privately owned land only for designated purposes, such as railroad construction (refer to Land Code, Article 84.2.4), and must provide compensation to the landowner for their property and any related losses (refer to Land Code, Article 166).</w:t>
      </w:r>
    </w:p>
    <w:p w14:paraId="2933B75D" w14:textId="77777777" w:rsidR="00F61F8E" w:rsidRPr="002B3F36" w:rsidRDefault="00F61F8E">
      <w:pPr>
        <w:pStyle w:val="ReportBodyTextNogap"/>
      </w:pPr>
    </w:p>
    <w:p w14:paraId="400E356A" w14:textId="77777777" w:rsidR="00F61F8E" w:rsidRPr="002B3F36" w:rsidRDefault="000F264B">
      <w:pPr>
        <w:pStyle w:val="ReportBodyTextNogap"/>
      </w:pPr>
      <w:r w:rsidRPr="002B3F36">
        <w:t>Land acquisition for state purposes, including compulsory acquisition for state projects like railway development, is categorised as an “exceptional circumstance” (refer to Land Code, Article 84), is undertaken as per the Land Code “Article 84: Expropriation of land for public and state use”. Article 84.1 states that the plot may be forcibly alienated for state needs by the court if there is no other way to reach an agreement between the owner and the court.</w:t>
      </w:r>
    </w:p>
    <w:p w14:paraId="7C23FA0C" w14:textId="77777777" w:rsidR="00F61F8E" w:rsidRPr="002B3F36" w:rsidRDefault="000F264B" w:rsidP="005A68AD">
      <w:pPr>
        <w:pStyle w:val="31"/>
      </w:pPr>
      <w:bookmarkStart w:id="684" w:name="_Toc208973747"/>
      <w:bookmarkStart w:id="685" w:name="_Toc208973947"/>
      <w:bookmarkStart w:id="686" w:name="_Toc208974147"/>
      <w:bookmarkStart w:id="687" w:name="_Toc208974349"/>
      <w:bookmarkStart w:id="688" w:name="_Toc208974557"/>
      <w:bookmarkStart w:id="689" w:name="_Toc210589423"/>
      <w:r w:rsidRPr="002B3F36">
        <w:t>Land</w:t>
      </w:r>
      <w:r w:rsidRPr="002B3F36">
        <w:rPr>
          <w:spacing w:val="-6"/>
        </w:rPr>
        <w:t xml:space="preserve"> </w:t>
      </w:r>
      <w:r w:rsidRPr="002B3F36">
        <w:t>Acquisition</w:t>
      </w:r>
      <w:r w:rsidRPr="002B3F36">
        <w:rPr>
          <w:spacing w:val="-10"/>
        </w:rPr>
        <w:t xml:space="preserve"> </w:t>
      </w:r>
      <w:r w:rsidRPr="002B3F36">
        <w:t>on</w:t>
      </w:r>
      <w:r w:rsidRPr="002B3F36">
        <w:rPr>
          <w:spacing w:val="-9"/>
        </w:rPr>
        <w:t xml:space="preserve"> </w:t>
      </w:r>
      <w:r w:rsidRPr="002B3F36">
        <w:t>Private</w:t>
      </w:r>
      <w:r w:rsidRPr="002B3F36">
        <w:rPr>
          <w:spacing w:val="-7"/>
        </w:rPr>
        <w:t xml:space="preserve"> </w:t>
      </w:r>
      <w:r w:rsidRPr="002B3F36">
        <w:rPr>
          <w:spacing w:val="-4"/>
        </w:rPr>
        <w:t>Land</w:t>
      </w:r>
      <w:bookmarkEnd w:id="684"/>
      <w:bookmarkEnd w:id="685"/>
      <w:bookmarkEnd w:id="686"/>
      <w:bookmarkEnd w:id="687"/>
      <w:bookmarkEnd w:id="688"/>
      <w:bookmarkEnd w:id="689"/>
    </w:p>
    <w:p w14:paraId="0B3C96B3" w14:textId="77777777" w:rsidR="00F61F8E" w:rsidRPr="002B3F36" w:rsidRDefault="000F264B">
      <w:pPr>
        <w:pStyle w:val="ReportBodyTextNogap"/>
      </w:pPr>
      <w:r w:rsidRPr="002B3F36">
        <w:t>The</w:t>
      </w:r>
      <w:r w:rsidRPr="002B3F36">
        <w:rPr>
          <w:spacing w:val="-8"/>
        </w:rPr>
        <w:t xml:space="preserve"> </w:t>
      </w:r>
      <w:r w:rsidRPr="002B3F36">
        <w:t>land</w:t>
      </w:r>
      <w:r w:rsidRPr="002B3F36">
        <w:rPr>
          <w:spacing w:val="-6"/>
        </w:rPr>
        <w:t xml:space="preserve"> </w:t>
      </w:r>
      <w:r w:rsidRPr="002B3F36">
        <w:t>acquisition</w:t>
      </w:r>
      <w:r w:rsidRPr="002B3F36">
        <w:rPr>
          <w:spacing w:val="-7"/>
        </w:rPr>
        <w:t xml:space="preserve"> </w:t>
      </w:r>
      <w:r w:rsidRPr="002B3F36">
        <w:t>for</w:t>
      </w:r>
      <w:r w:rsidRPr="002B3F36">
        <w:rPr>
          <w:spacing w:val="-6"/>
        </w:rPr>
        <w:t xml:space="preserve"> </w:t>
      </w:r>
      <w:r w:rsidRPr="002B3F36">
        <w:t>private</w:t>
      </w:r>
      <w:r w:rsidRPr="002B3F36">
        <w:rPr>
          <w:spacing w:val="-8"/>
        </w:rPr>
        <w:t xml:space="preserve"> </w:t>
      </w:r>
      <w:r w:rsidRPr="002B3F36">
        <w:t>land</w:t>
      </w:r>
      <w:r w:rsidRPr="002B3F36">
        <w:rPr>
          <w:spacing w:val="-6"/>
        </w:rPr>
        <w:t xml:space="preserve"> </w:t>
      </w:r>
      <w:r w:rsidRPr="002B3F36">
        <w:t>typically</w:t>
      </w:r>
      <w:r w:rsidRPr="002B3F36">
        <w:rPr>
          <w:spacing w:val="-7"/>
        </w:rPr>
        <w:t xml:space="preserve"> </w:t>
      </w:r>
      <w:r w:rsidRPr="002B3F36">
        <w:t>adheres</w:t>
      </w:r>
      <w:r w:rsidRPr="002B3F36">
        <w:rPr>
          <w:spacing w:val="-8"/>
        </w:rPr>
        <w:t xml:space="preserve"> </w:t>
      </w:r>
      <w:r w:rsidRPr="002B3F36">
        <w:t>to</w:t>
      </w:r>
      <w:r w:rsidRPr="002B3F36">
        <w:rPr>
          <w:spacing w:val="-7"/>
        </w:rPr>
        <w:t xml:space="preserve"> </w:t>
      </w:r>
      <w:r w:rsidRPr="002B3F36">
        <w:t>the</w:t>
      </w:r>
      <w:r w:rsidRPr="002B3F36">
        <w:rPr>
          <w:spacing w:val="-7"/>
        </w:rPr>
        <w:t xml:space="preserve"> </w:t>
      </w:r>
      <w:r w:rsidRPr="002B3F36">
        <w:t>following</w:t>
      </w:r>
      <w:r w:rsidRPr="002B3F36">
        <w:rPr>
          <w:spacing w:val="-6"/>
        </w:rPr>
        <w:t xml:space="preserve"> </w:t>
      </w:r>
      <w:r w:rsidRPr="002B3F36">
        <w:rPr>
          <w:spacing w:val="-2"/>
        </w:rPr>
        <w:t>procedures:</w:t>
      </w:r>
    </w:p>
    <w:p w14:paraId="2E6DF9B7" w14:textId="77777777" w:rsidR="00F61F8E" w:rsidRPr="002B3F36" w:rsidRDefault="000F264B">
      <w:pPr>
        <w:pStyle w:val="a0"/>
      </w:pPr>
      <w:r w:rsidRPr="002B3F36">
        <w:rPr>
          <w:b/>
        </w:rPr>
        <w:t>Initial Request:</w:t>
      </w:r>
      <w:r w:rsidRPr="002B3F36">
        <w:t xml:space="preserve"> Following an agreed alignment with local officials, the agency needing the land requests the relevant Akimat to issue a resolution for land acquisition.</w:t>
      </w:r>
    </w:p>
    <w:p w14:paraId="4C11AD28" w14:textId="04F7739C" w:rsidR="00F61F8E" w:rsidRPr="002B3F36" w:rsidRDefault="000F264B">
      <w:pPr>
        <w:pStyle w:val="a0"/>
      </w:pPr>
      <w:r w:rsidRPr="002B3F36">
        <w:rPr>
          <w:b/>
        </w:rPr>
        <w:t>Akimat Resolution</w:t>
      </w:r>
      <w:r w:rsidRPr="002B3F36">
        <w:t xml:space="preserve">: The Akimat issues a resolution for the land acquisition and registers it with the </w:t>
      </w:r>
      <w:r w:rsidR="003A184C">
        <w:t>Region</w:t>
      </w:r>
      <w:r w:rsidRPr="002B3F36">
        <w:t xml:space="preserve"> Department of Justice, with notifications sent to property </w:t>
      </w:r>
      <w:r w:rsidRPr="002B3F36">
        <w:lastRenderedPageBreak/>
        <w:t>owners regarding the extent of acquisition.</w:t>
      </w:r>
    </w:p>
    <w:p w14:paraId="5D2CC2E7" w14:textId="77777777" w:rsidR="00F61F8E" w:rsidRPr="002B3F36" w:rsidRDefault="000F264B">
      <w:pPr>
        <w:pStyle w:val="a0"/>
      </w:pPr>
      <w:r w:rsidRPr="002B3F36">
        <w:rPr>
          <w:b/>
        </w:rPr>
        <w:t>Valuation:</w:t>
      </w:r>
      <w:r w:rsidRPr="002B3F36">
        <w:t xml:space="preserve"> Licensed valuators are engaged by the Akimat to determine official compensation amounts for the affected properties.</w:t>
      </w:r>
    </w:p>
    <w:p w14:paraId="193DFCED" w14:textId="77777777" w:rsidR="00F61F8E" w:rsidRPr="002B3F36" w:rsidRDefault="000F264B">
      <w:pPr>
        <w:pStyle w:val="a0"/>
      </w:pPr>
      <w:r w:rsidRPr="002B3F36">
        <w:rPr>
          <w:b/>
        </w:rPr>
        <w:t>Negotiation:</w:t>
      </w:r>
      <w:r w:rsidRPr="002B3F36">
        <w:t xml:space="preserve"> After establishing compensation amounts, negotiations between the government and affected parties commence. Signed agreements are registered with the “Government for Citizens” State Corporation in Almaty Region, and compensation amounts are processed for payment to affected individuals.</w:t>
      </w:r>
    </w:p>
    <w:p w14:paraId="7A1CBDE0" w14:textId="77777777" w:rsidR="00F61F8E" w:rsidRPr="002B3F36" w:rsidRDefault="000F264B">
      <w:pPr>
        <w:pStyle w:val="a0"/>
      </w:pPr>
      <w:r w:rsidRPr="002B3F36">
        <w:rPr>
          <w:b/>
        </w:rPr>
        <w:t xml:space="preserve">Court Appeal: </w:t>
      </w:r>
      <w:r w:rsidRPr="002B3F36">
        <w:t>If no agreement is reached, the government may initiate a court appeal for expropriation after three months from the notification date to the owner.</w:t>
      </w:r>
    </w:p>
    <w:p w14:paraId="3BAD39E7" w14:textId="77777777" w:rsidR="00F61F8E" w:rsidRPr="002B3F36" w:rsidRDefault="000F264B">
      <w:pPr>
        <w:pStyle w:val="a0"/>
      </w:pPr>
      <w:r w:rsidRPr="002B3F36">
        <w:rPr>
          <w:b/>
        </w:rPr>
        <w:t>Court Decision:</w:t>
      </w:r>
      <w:r w:rsidRPr="002B3F36">
        <w:t xml:space="preserve"> Following a court decision, the compensation will be transferred to the affected land user's account. Access to the land cannot be granted until compensation is paid, and ownership title is transferred.</w:t>
      </w:r>
    </w:p>
    <w:p w14:paraId="7F9332BF" w14:textId="77777777" w:rsidR="00F61F8E" w:rsidRPr="002B3F36" w:rsidRDefault="000F264B">
      <w:pPr>
        <w:pStyle w:val="a0"/>
      </w:pPr>
      <w:r w:rsidRPr="002B3F36">
        <w:rPr>
          <w:b/>
        </w:rPr>
        <w:t>Financing and Payment:</w:t>
      </w:r>
      <w:r w:rsidRPr="002B3F36">
        <w:t xml:space="preserve"> Funds for compensation are allocated, with payments required within one month after the court ruling becomes final or after the signing of the land acquisition agreement.</w:t>
      </w:r>
    </w:p>
    <w:p w14:paraId="4D0ED5CD" w14:textId="77777777" w:rsidR="00F61F8E" w:rsidRPr="002B3F36" w:rsidRDefault="00F61F8E">
      <w:pPr>
        <w:spacing w:before="95"/>
        <w:ind w:left="145" w:right="36"/>
        <w:jc w:val="both"/>
        <w:rPr>
          <w:rFonts w:ascii="Arial" w:hAnsi="Arial" w:cs="Arial"/>
          <w:sz w:val="18"/>
        </w:rPr>
      </w:pPr>
    </w:p>
    <w:p w14:paraId="4D2D0299" w14:textId="77777777" w:rsidR="00F61F8E" w:rsidRPr="002B3F36" w:rsidRDefault="000F264B" w:rsidP="005A68AD">
      <w:pPr>
        <w:pStyle w:val="31"/>
      </w:pPr>
      <w:bookmarkStart w:id="690" w:name="_Toc208973748"/>
      <w:bookmarkStart w:id="691" w:name="_Toc208973948"/>
      <w:bookmarkStart w:id="692" w:name="_Toc208974148"/>
      <w:bookmarkStart w:id="693" w:name="_Toc208974350"/>
      <w:bookmarkStart w:id="694" w:name="_Toc208974558"/>
      <w:bookmarkStart w:id="695" w:name="_Toc210589424"/>
      <w:r w:rsidRPr="002B3F36">
        <w:t>Land Acquisition on Leased Land</w:t>
      </w:r>
      <w:bookmarkEnd w:id="690"/>
      <w:bookmarkEnd w:id="691"/>
      <w:bookmarkEnd w:id="692"/>
      <w:bookmarkEnd w:id="693"/>
      <w:bookmarkEnd w:id="694"/>
      <w:bookmarkEnd w:id="695"/>
    </w:p>
    <w:p w14:paraId="52C97B5A" w14:textId="77777777" w:rsidR="00F61F8E" w:rsidRPr="002B3F36" w:rsidRDefault="000F264B">
      <w:pPr>
        <w:pStyle w:val="ReportParagraph"/>
      </w:pPr>
      <w:r w:rsidRPr="002B3F36">
        <w:t>Article</w:t>
      </w:r>
      <w:r w:rsidRPr="002B3F36">
        <w:rPr>
          <w:spacing w:val="-4"/>
        </w:rPr>
        <w:t xml:space="preserve"> </w:t>
      </w:r>
      <w:r w:rsidRPr="002B3F36">
        <w:t>84.4</w:t>
      </w:r>
      <w:r w:rsidRPr="002B3F36">
        <w:rPr>
          <w:spacing w:val="-4"/>
        </w:rPr>
        <w:t xml:space="preserve"> </w:t>
      </w:r>
      <w:r w:rsidRPr="002B3F36">
        <w:t>states</w:t>
      </w:r>
      <w:r w:rsidRPr="002B3F36">
        <w:rPr>
          <w:spacing w:val="-2"/>
        </w:rPr>
        <w:t xml:space="preserve"> </w:t>
      </w:r>
      <w:r w:rsidRPr="002B3F36">
        <w:t>that,</w:t>
      </w:r>
      <w:r w:rsidRPr="002B3F36">
        <w:rPr>
          <w:spacing w:val="-2"/>
        </w:rPr>
        <w:t xml:space="preserve"> </w:t>
      </w:r>
      <w:r w:rsidRPr="002B3F36">
        <w:t>the</w:t>
      </w:r>
      <w:r w:rsidRPr="002B3F36">
        <w:rPr>
          <w:spacing w:val="-4"/>
        </w:rPr>
        <w:t xml:space="preserve"> </w:t>
      </w:r>
      <w:r w:rsidRPr="002B3F36">
        <w:t>expropriation</w:t>
      </w:r>
      <w:r w:rsidRPr="002B3F36">
        <w:rPr>
          <w:spacing w:val="-1"/>
        </w:rPr>
        <w:t xml:space="preserve"> </w:t>
      </w:r>
      <w:r w:rsidRPr="002B3F36">
        <w:t>of</w:t>
      </w:r>
      <w:r w:rsidRPr="002B3F36">
        <w:rPr>
          <w:spacing w:val="-4"/>
        </w:rPr>
        <w:t xml:space="preserve"> </w:t>
      </w:r>
      <w:r w:rsidRPr="002B3F36">
        <w:t>land</w:t>
      </w:r>
      <w:r w:rsidRPr="002B3F36">
        <w:rPr>
          <w:spacing w:val="-3"/>
        </w:rPr>
        <w:t xml:space="preserve"> </w:t>
      </w:r>
      <w:r w:rsidRPr="002B3F36">
        <w:t>for</w:t>
      </w:r>
      <w:r w:rsidRPr="002B3F36">
        <w:rPr>
          <w:spacing w:val="-4"/>
        </w:rPr>
        <w:t xml:space="preserve"> </w:t>
      </w:r>
      <w:r w:rsidRPr="002B3F36">
        <w:t>public</w:t>
      </w:r>
      <w:r w:rsidRPr="002B3F36">
        <w:rPr>
          <w:spacing w:val="-4"/>
        </w:rPr>
        <w:t xml:space="preserve"> </w:t>
      </w:r>
      <w:r w:rsidRPr="002B3F36">
        <w:t>use</w:t>
      </w:r>
      <w:r w:rsidRPr="002B3F36">
        <w:rPr>
          <w:spacing w:val="-4"/>
        </w:rPr>
        <w:t xml:space="preserve"> </w:t>
      </w:r>
      <w:r w:rsidRPr="002B3F36">
        <w:t>for</w:t>
      </w:r>
      <w:r w:rsidRPr="002B3F36">
        <w:rPr>
          <w:spacing w:val="-4"/>
        </w:rPr>
        <w:t xml:space="preserve"> </w:t>
      </w:r>
      <w:r w:rsidRPr="002B3F36">
        <w:t>those</w:t>
      </w:r>
      <w:r w:rsidRPr="002B3F36">
        <w:rPr>
          <w:spacing w:val="-4"/>
        </w:rPr>
        <w:t xml:space="preserve"> </w:t>
      </w:r>
      <w:r w:rsidRPr="002B3F36">
        <w:t>under</w:t>
      </w:r>
      <w:r w:rsidRPr="002B3F36">
        <w:rPr>
          <w:spacing w:val="-4"/>
        </w:rPr>
        <w:t xml:space="preserve"> </w:t>
      </w:r>
      <w:r w:rsidRPr="002B3F36">
        <w:t>leased</w:t>
      </w:r>
      <w:r w:rsidRPr="002B3F36">
        <w:rPr>
          <w:spacing w:val="-1"/>
        </w:rPr>
        <w:t xml:space="preserve"> </w:t>
      </w:r>
      <w:r w:rsidRPr="002B3F36">
        <w:t>land, shall be without compensation of land use rights. It further stresses that land users will be reimbursed of the losses in full, and at their request may be granted another land.</w:t>
      </w:r>
    </w:p>
    <w:p w14:paraId="168E0862" w14:textId="77777777" w:rsidR="00F61F8E" w:rsidRPr="002B3F36" w:rsidRDefault="00F61F8E">
      <w:pPr>
        <w:pStyle w:val="ReportParagraph"/>
      </w:pPr>
    </w:p>
    <w:p w14:paraId="61E46586" w14:textId="77777777" w:rsidR="00F61F8E" w:rsidRPr="002B3F36" w:rsidRDefault="000F264B" w:rsidP="005A68AD">
      <w:pPr>
        <w:pStyle w:val="31"/>
      </w:pPr>
      <w:bookmarkStart w:id="696" w:name="_Toc208973749"/>
      <w:bookmarkStart w:id="697" w:name="_Toc208973949"/>
      <w:bookmarkStart w:id="698" w:name="_Toc208974149"/>
      <w:bookmarkStart w:id="699" w:name="_Toc208974351"/>
      <w:bookmarkStart w:id="700" w:name="_Toc208974559"/>
      <w:bookmarkStart w:id="701" w:name="_Toc210589425"/>
      <w:r w:rsidRPr="002B3F36">
        <w:t>Land Acquisition on State Land</w:t>
      </w:r>
      <w:bookmarkEnd w:id="696"/>
      <w:bookmarkEnd w:id="697"/>
      <w:bookmarkEnd w:id="698"/>
      <w:bookmarkEnd w:id="699"/>
      <w:bookmarkEnd w:id="700"/>
      <w:bookmarkEnd w:id="701"/>
    </w:p>
    <w:p w14:paraId="1217C24A" w14:textId="77777777" w:rsidR="00F61F8E" w:rsidRPr="002B3F36" w:rsidRDefault="000F264B">
      <w:pPr>
        <w:pStyle w:val="ReportParagraph"/>
      </w:pPr>
      <w:r w:rsidRPr="002B3F36">
        <w:t>The land acquisition process from state land for public use (refer to Land Code, Article 89), follows the principle that the seizure of land from state land for public needs is based on a “unilateral decision by the executive body which carries out the removal. Such a decision may be</w:t>
      </w:r>
      <w:r w:rsidRPr="002B3F36">
        <w:rPr>
          <w:spacing w:val="-5"/>
        </w:rPr>
        <w:t xml:space="preserve"> </w:t>
      </w:r>
      <w:r w:rsidRPr="002B3F36">
        <w:t>appealed</w:t>
      </w:r>
      <w:r w:rsidRPr="002B3F36">
        <w:rPr>
          <w:spacing w:val="-3"/>
        </w:rPr>
        <w:t xml:space="preserve"> </w:t>
      </w:r>
      <w:r w:rsidRPr="002B3F36">
        <w:t>to</w:t>
      </w:r>
      <w:r w:rsidRPr="002B3F36">
        <w:rPr>
          <w:spacing w:val="-5"/>
        </w:rPr>
        <w:t xml:space="preserve"> </w:t>
      </w:r>
      <w:r w:rsidRPr="002B3F36">
        <w:t>a</w:t>
      </w:r>
      <w:r w:rsidRPr="002B3F36">
        <w:rPr>
          <w:spacing w:val="-4"/>
        </w:rPr>
        <w:t xml:space="preserve"> </w:t>
      </w:r>
      <w:r w:rsidRPr="002B3F36">
        <w:t>higher</w:t>
      </w:r>
      <w:r w:rsidRPr="002B3F36">
        <w:rPr>
          <w:spacing w:val="-2"/>
        </w:rPr>
        <w:t xml:space="preserve"> </w:t>
      </w:r>
      <w:r w:rsidRPr="002B3F36">
        <w:t>authority</w:t>
      </w:r>
      <w:r w:rsidRPr="002B3F36">
        <w:rPr>
          <w:spacing w:val="-2"/>
        </w:rPr>
        <w:t xml:space="preserve"> </w:t>
      </w:r>
      <w:r w:rsidRPr="002B3F36">
        <w:t>or</w:t>
      </w:r>
      <w:r w:rsidRPr="002B3F36">
        <w:rPr>
          <w:spacing w:val="-5"/>
        </w:rPr>
        <w:t xml:space="preserve"> </w:t>
      </w:r>
      <w:r w:rsidRPr="002B3F36">
        <w:t>by</w:t>
      </w:r>
      <w:r w:rsidRPr="002B3F36">
        <w:rPr>
          <w:spacing w:val="-2"/>
        </w:rPr>
        <w:t xml:space="preserve"> </w:t>
      </w:r>
      <w:r w:rsidRPr="002B3F36">
        <w:t>the</w:t>
      </w:r>
      <w:r w:rsidRPr="002B3F36">
        <w:rPr>
          <w:spacing w:val="-5"/>
        </w:rPr>
        <w:t xml:space="preserve"> </w:t>
      </w:r>
      <w:r w:rsidRPr="002B3F36">
        <w:t>courts,</w:t>
      </w:r>
      <w:r w:rsidRPr="002B3F36">
        <w:rPr>
          <w:spacing w:val="-5"/>
        </w:rPr>
        <w:t xml:space="preserve"> </w:t>
      </w:r>
      <w:r w:rsidRPr="002B3F36">
        <w:t>and</w:t>
      </w:r>
      <w:r w:rsidRPr="002B3F36">
        <w:rPr>
          <w:spacing w:val="-2"/>
        </w:rPr>
        <w:t xml:space="preserve"> </w:t>
      </w:r>
      <w:r w:rsidRPr="002B3F36">
        <w:t>filing</w:t>
      </w:r>
      <w:r w:rsidRPr="002B3F36">
        <w:rPr>
          <w:spacing w:val="-3"/>
        </w:rPr>
        <w:t xml:space="preserve"> </w:t>
      </w:r>
      <w:r w:rsidRPr="002B3F36">
        <w:t>an</w:t>
      </w:r>
      <w:r w:rsidRPr="002B3F36">
        <w:rPr>
          <w:spacing w:val="-3"/>
        </w:rPr>
        <w:t xml:space="preserve"> </w:t>
      </w:r>
      <w:r w:rsidRPr="002B3F36">
        <w:t>appeal</w:t>
      </w:r>
      <w:r w:rsidRPr="002B3F36">
        <w:rPr>
          <w:spacing w:val="-1"/>
        </w:rPr>
        <w:t xml:space="preserve"> </w:t>
      </w:r>
      <w:r w:rsidRPr="002B3F36">
        <w:t>suspends</w:t>
      </w:r>
      <w:r w:rsidRPr="002B3F36">
        <w:rPr>
          <w:spacing w:val="-5"/>
        </w:rPr>
        <w:t xml:space="preserve"> </w:t>
      </w:r>
      <w:r w:rsidRPr="002B3F36">
        <w:t>the</w:t>
      </w:r>
      <w:r w:rsidRPr="002B3F36">
        <w:rPr>
          <w:spacing w:val="-3"/>
        </w:rPr>
        <w:t xml:space="preserve"> </w:t>
      </w:r>
      <w:r w:rsidRPr="002B3F36">
        <w:t>execution of the decision on seizure.</w:t>
      </w:r>
    </w:p>
    <w:p w14:paraId="348546FB" w14:textId="77777777" w:rsidR="00F61F8E" w:rsidRPr="002B3F36" w:rsidRDefault="00F61F8E">
      <w:pPr>
        <w:pStyle w:val="ReportParagraph"/>
      </w:pPr>
    </w:p>
    <w:p w14:paraId="7800EA90" w14:textId="77777777" w:rsidR="00F61F8E" w:rsidRPr="002B3F36" w:rsidRDefault="000F264B">
      <w:pPr>
        <w:pStyle w:val="ReportParagraph"/>
      </w:pPr>
      <w:r w:rsidRPr="002B3F36">
        <w:t>A</w:t>
      </w:r>
      <w:r w:rsidRPr="002B3F36">
        <w:rPr>
          <w:spacing w:val="-2"/>
        </w:rPr>
        <w:t xml:space="preserve"> </w:t>
      </w:r>
      <w:r w:rsidRPr="002B3F36">
        <w:t>detailed</w:t>
      </w:r>
      <w:r w:rsidRPr="002B3F36">
        <w:rPr>
          <w:spacing w:val="-1"/>
        </w:rPr>
        <w:t xml:space="preserve"> </w:t>
      </w:r>
      <w:r w:rsidRPr="002B3F36">
        <w:t>overview of the</w:t>
      </w:r>
      <w:r w:rsidRPr="002B3F36">
        <w:rPr>
          <w:spacing w:val="-3"/>
        </w:rPr>
        <w:t xml:space="preserve"> </w:t>
      </w:r>
      <w:r w:rsidRPr="002B3F36">
        <w:t>land</w:t>
      </w:r>
      <w:r w:rsidRPr="002B3F36">
        <w:rPr>
          <w:spacing w:val="-1"/>
        </w:rPr>
        <w:t xml:space="preserve"> </w:t>
      </w:r>
      <w:r w:rsidRPr="002B3F36">
        <w:t>acquisition</w:t>
      </w:r>
      <w:r w:rsidRPr="002B3F36">
        <w:rPr>
          <w:spacing w:val="-1"/>
        </w:rPr>
        <w:t xml:space="preserve"> </w:t>
      </w:r>
      <w:r w:rsidRPr="002B3F36">
        <w:t>process</w:t>
      </w:r>
      <w:r w:rsidRPr="002B3F36">
        <w:rPr>
          <w:spacing w:val="-1"/>
        </w:rPr>
        <w:t xml:space="preserve"> </w:t>
      </w:r>
      <w:r w:rsidRPr="002B3F36">
        <w:t>and</w:t>
      </w:r>
      <w:r w:rsidRPr="002B3F36">
        <w:rPr>
          <w:spacing w:val="-1"/>
        </w:rPr>
        <w:t xml:space="preserve"> </w:t>
      </w:r>
      <w:r w:rsidRPr="002B3F36">
        <w:t>the</w:t>
      </w:r>
      <w:r w:rsidRPr="002B3F36">
        <w:rPr>
          <w:spacing w:val="-1"/>
        </w:rPr>
        <w:t xml:space="preserve"> </w:t>
      </w:r>
      <w:r w:rsidRPr="002B3F36">
        <w:t>key</w:t>
      </w:r>
      <w:r w:rsidRPr="002B3F36">
        <w:rPr>
          <w:spacing w:val="-2"/>
        </w:rPr>
        <w:t xml:space="preserve"> </w:t>
      </w:r>
      <w:r w:rsidRPr="002B3F36">
        <w:t>national</w:t>
      </w:r>
      <w:r w:rsidRPr="002B3F36">
        <w:rPr>
          <w:spacing w:val="-1"/>
        </w:rPr>
        <w:t xml:space="preserve"> </w:t>
      </w:r>
      <w:r w:rsidRPr="002B3F36">
        <w:t>legal</w:t>
      </w:r>
      <w:r w:rsidRPr="002B3F36">
        <w:rPr>
          <w:spacing w:val="-1"/>
        </w:rPr>
        <w:t xml:space="preserve"> </w:t>
      </w:r>
      <w:r w:rsidRPr="002B3F36">
        <w:t>requirements are presented</w:t>
      </w:r>
      <w:r w:rsidRPr="002B3F36">
        <w:rPr>
          <w:spacing w:val="-3"/>
        </w:rPr>
        <w:t xml:space="preserve"> </w:t>
      </w:r>
      <w:r w:rsidRPr="002B3F36">
        <w:t>in</w:t>
      </w:r>
      <w:r w:rsidRPr="002B3F36">
        <w:rPr>
          <w:spacing w:val="-4"/>
        </w:rPr>
        <w:t xml:space="preserve"> </w:t>
      </w:r>
      <w:r w:rsidRPr="002B3F36">
        <w:t>the</w:t>
      </w:r>
      <w:r w:rsidRPr="002B3F36">
        <w:rPr>
          <w:spacing w:val="-6"/>
        </w:rPr>
        <w:t xml:space="preserve"> </w:t>
      </w:r>
      <w:r w:rsidRPr="002B3F36">
        <w:t>Livelihood</w:t>
      </w:r>
      <w:r w:rsidRPr="002B3F36">
        <w:rPr>
          <w:spacing w:val="-4"/>
        </w:rPr>
        <w:t xml:space="preserve"> </w:t>
      </w:r>
      <w:r w:rsidRPr="002B3F36">
        <w:t>Restoration</w:t>
      </w:r>
      <w:r w:rsidRPr="002B3F36">
        <w:rPr>
          <w:spacing w:val="-3"/>
        </w:rPr>
        <w:t xml:space="preserve"> </w:t>
      </w:r>
      <w:r w:rsidRPr="002B3F36">
        <w:t>Plan.</w:t>
      </w:r>
      <w:r w:rsidRPr="002B3F36">
        <w:rPr>
          <w:spacing w:val="-2"/>
        </w:rPr>
        <w:t xml:space="preserve"> </w:t>
      </w:r>
      <w:r w:rsidRPr="002B3F36">
        <w:rPr>
          <w:b/>
        </w:rPr>
        <w:t>Table below</w:t>
      </w:r>
      <w:r w:rsidRPr="002B3F36">
        <w:rPr>
          <w:b/>
          <w:spacing w:val="-3"/>
        </w:rPr>
        <w:t xml:space="preserve"> </w:t>
      </w:r>
      <w:r w:rsidRPr="002B3F36">
        <w:t>lists</w:t>
      </w:r>
      <w:r w:rsidRPr="002B3F36">
        <w:rPr>
          <w:spacing w:val="-4"/>
        </w:rPr>
        <w:t xml:space="preserve"> </w:t>
      </w:r>
      <w:r w:rsidRPr="002B3F36">
        <w:t>of</w:t>
      </w:r>
      <w:r w:rsidRPr="002B3F36">
        <w:rPr>
          <w:spacing w:val="-6"/>
        </w:rPr>
        <w:t xml:space="preserve"> </w:t>
      </w:r>
      <w:r w:rsidRPr="002B3F36">
        <w:t>key</w:t>
      </w:r>
      <w:r w:rsidRPr="002B3F36">
        <w:rPr>
          <w:spacing w:val="-4"/>
        </w:rPr>
        <w:t xml:space="preserve"> </w:t>
      </w:r>
      <w:r w:rsidRPr="002B3F36">
        <w:t>national</w:t>
      </w:r>
      <w:r w:rsidRPr="002B3F36">
        <w:rPr>
          <w:spacing w:val="-4"/>
        </w:rPr>
        <w:t xml:space="preserve"> </w:t>
      </w:r>
      <w:r w:rsidRPr="002B3F36">
        <w:t>legal</w:t>
      </w:r>
      <w:r w:rsidRPr="002B3F36">
        <w:rPr>
          <w:spacing w:val="-4"/>
        </w:rPr>
        <w:t xml:space="preserve"> </w:t>
      </w:r>
      <w:r w:rsidRPr="002B3F36">
        <w:t xml:space="preserve">requirements related to land acquisition and/or affected by projects where land acquisition is required (such as cultural heritage laws). Refer to the LARAP for a further breakdown of the national legal </w:t>
      </w:r>
      <w:r w:rsidRPr="002B3F36">
        <w:rPr>
          <w:spacing w:val="-2"/>
        </w:rPr>
        <w:t>requirements.</w:t>
      </w:r>
    </w:p>
    <w:p w14:paraId="56339F48" w14:textId="77777777" w:rsidR="00F61F8E" w:rsidRPr="002B3F36" w:rsidRDefault="00F61F8E">
      <w:pPr>
        <w:pStyle w:val="a5"/>
        <w:jc w:val="both"/>
        <w:rPr>
          <w:rFonts w:ascii="Arial" w:hAnsi="Arial" w:cs="Arial"/>
        </w:rPr>
      </w:pPr>
    </w:p>
    <w:p w14:paraId="1572687F" w14:textId="08E1ED96" w:rsidR="00F61F8E" w:rsidRPr="002B3F36" w:rsidRDefault="00517A3E" w:rsidP="000E123E">
      <w:pPr>
        <w:pStyle w:val="CaptionTable"/>
      </w:pPr>
      <w:bookmarkStart w:id="702" w:name="_Toc210589554"/>
      <w:r w:rsidRPr="002B3F36">
        <w:t xml:space="preserve">Table </w:t>
      </w:r>
      <w:r w:rsidR="00F30C2C" w:rsidRPr="002B3F36">
        <w:fldChar w:fldCharType="begin"/>
      </w:r>
      <w:r w:rsidR="00F30C2C" w:rsidRPr="002B3F36">
        <w:rPr>
          <w:noProof/>
        </w:rPr>
        <w:instrText xml:space="preserve"> SEQ Table \* ARABIC </w:instrText>
      </w:r>
      <w:r w:rsidR="00F30C2C" w:rsidRPr="002B3F36">
        <w:fldChar w:fldCharType="separate"/>
      </w:r>
      <w:r w:rsidR="00A023DA">
        <w:rPr>
          <w:noProof/>
        </w:rPr>
        <w:t>10</w:t>
      </w:r>
      <w:r w:rsidR="00F30C2C" w:rsidRPr="002B3F36">
        <w:fldChar w:fldCharType="end"/>
      </w:r>
      <w:r w:rsidR="000F264B" w:rsidRPr="002B3F36">
        <w:rPr>
          <w:spacing w:val="-5"/>
        </w:rPr>
        <w:t>:</w:t>
      </w:r>
      <w:r w:rsidR="006D654A" w:rsidRPr="002B3F36">
        <w:rPr>
          <w:spacing w:val="-5"/>
        </w:rPr>
        <w:t xml:space="preserve"> </w:t>
      </w:r>
      <w:r w:rsidR="000F264B" w:rsidRPr="002B3F36">
        <w:t>Land</w:t>
      </w:r>
      <w:r w:rsidR="000F264B" w:rsidRPr="002B3F36">
        <w:rPr>
          <w:spacing w:val="24"/>
        </w:rPr>
        <w:t xml:space="preserve"> </w:t>
      </w:r>
      <w:r w:rsidR="000F264B" w:rsidRPr="002B3F36">
        <w:t>Acquisition</w:t>
      </w:r>
      <w:r w:rsidR="000F264B" w:rsidRPr="002B3F36">
        <w:rPr>
          <w:spacing w:val="24"/>
        </w:rPr>
        <w:t xml:space="preserve"> </w:t>
      </w:r>
      <w:r w:rsidR="000F264B" w:rsidRPr="002B3F36">
        <w:rPr>
          <w:spacing w:val="-2"/>
        </w:rPr>
        <w:t>Regulations</w:t>
      </w:r>
      <w:bookmarkEnd w:id="702"/>
    </w:p>
    <w:tbl>
      <w:tblPr>
        <w:tblStyle w:val="TableGrid2"/>
        <w:tblW w:w="0" w:type="auto"/>
        <w:tblLook w:val="01E0" w:firstRow="1" w:lastRow="1" w:firstColumn="1" w:lastColumn="1" w:noHBand="0" w:noVBand="0"/>
      </w:tblPr>
      <w:tblGrid>
        <w:gridCol w:w="8960"/>
        <w:gridCol w:w="750"/>
      </w:tblGrid>
      <w:tr w:rsidR="00F61F8E" w:rsidRPr="002B3F36" w14:paraId="3C03BAA3" w14:textId="77777777" w:rsidTr="00F82096">
        <w:trPr>
          <w:trHeight w:val="20"/>
          <w:tblHeader/>
        </w:trPr>
        <w:tc>
          <w:tcPr>
            <w:tcW w:w="0" w:type="auto"/>
            <w:shd w:val="clear" w:color="auto" w:fill="F2F2F2" w:themeFill="background1" w:themeFillShade="F2"/>
            <w:vAlign w:val="center"/>
          </w:tcPr>
          <w:p w14:paraId="611F93B8" w14:textId="77777777" w:rsidR="00F61F8E" w:rsidRPr="002B3F36" w:rsidRDefault="000F264B">
            <w:pPr>
              <w:pStyle w:val="TableParagraph"/>
              <w:spacing w:before="0"/>
              <w:ind w:left="122"/>
              <w:jc w:val="center"/>
              <w:rPr>
                <w:rFonts w:ascii="Arial" w:hAnsi="Arial" w:cs="Arial"/>
                <w:b/>
                <w:sz w:val="20"/>
                <w:szCs w:val="20"/>
              </w:rPr>
            </w:pPr>
            <w:r w:rsidRPr="002B3F36">
              <w:rPr>
                <w:rFonts w:ascii="Arial" w:hAnsi="Arial" w:cs="Arial"/>
                <w:b/>
                <w:sz w:val="20"/>
                <w:szCs w:val="20"/>
              </w:rPr>
              <w:t>National</w:t>
            </w:r>
            <w:r w:rsidRPr="002B3F36">
              <w:rPr>
                <w:rFonts w:ascii="Arial" w:hAnsi="Arial" w:cs="Arial"/>
                <w:b/>
                <w:spacing w:val="-3"/>
                <w:sz w:val="20"/>
                <w:szCs w:val="20"/>
              </w:rPr>
              <w:t xml:space="preserve"> </w:t>
            </w:r>
            <w:r w:rsidRPr="002B3F36">
              <w:rPr>
                <w:rFonts w:ascii="Arial" w:hAnsi="Arial" w:cs="Arial"/>
                <w:b/>
                <w:sz w:val="20"/>
                <w:szCs w:val="20"/>
              </w:rPr>
              <w:t>Legal</w:t>
            </w:r>
            <w:r w:rsidRPr="002B3F36">
              <w:rPr>
                <w:rFonts w:ascii="Arial" w:hAnsi="Arial" w:cs="Arial"/>
                <w:b/>
                <w:spacing w:val="-2"/>
                <w:sz w:val="20"/>
                <w:szCs w:val="20"/>
              </w:rPr>
              <w:t xml:space="preserve"> Requirements</w:t>
            </w:r>
          </w:p>
        </w:tc>
        <w:tc>
          <w:tcPr>
            <w:tcW w:w="0" w:type="auto"/>
            <w:shd w:val="clear" w:color="auto" w:fill="F2F2F2" w:themeFill="background1" w:themeFillShade="F2"/>
            <w:vAlign w:val="center"/>
          </w:tcPr>
          <w:p w14:paraId="1372F3E8" w14:textId="77777777" w:rsidR="00F61F8E" w:rsidRPr="002B3F36" w:rsidRDefault="000F264B">
            <w:pPr>
              <w:pStyle w:val="TableParagraph"/>
              <w:spacing w:before="0"/>
              <w:ind w:left="105"/>
              <w:jc w:val="center"/>
              <w:rPr>
                <w:rFonts w:ascii="Arial" w:hAnsi="Arial" w:cs="Arial"/>
                <w:b/>
                <w:sz w:val="20"/>
                <w:szCs w:val="20"/>
              </w:rPr>
            </w:pPr>
            <w:r w:rsidRPr="002B3F36">
              <w:rPr>
                <w:rFonts w:ascii="Arial" w:hAnsi="Arial" w:cs="Arial"/>
                <w:b/>
                <w:spacing w:val="-4"/>
                <w:sz w:val="20"/>
                <w:szCs w:val="20"/>
              </w:rPr>
              <w:t>Year</w:t>
            </w:r>
          </w:p>
        </w:tc>
      </w:tr>
      <w:tr w:rsidR="00F61F8E" w:rsidRPr="002B3F36" w14:paraId="0BC84A64" w14:textId="77777777">
        <w:trPr>
          <w:trHeight w:val="20"/>
        </w:trPr>
        <w:tc>
          <w:tcPr>
            <w:tcW w:w="0" w:type="auto"/>
          </w:tcPr>
          <w:p w14:paraId="761BD142"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Land</w:t>
            </w:r>
            <w:r w:rsidRPr="002B3F36">
              <w:rPr>
                <w:rFonts w:ascii="Arial" w:hAnsi="Arial" w:cs="Arial"/>
                <w:spacing w:val="-4"/>
                <w:sz w:val="20"/>
                <w:szCs w:val="20"/>
              </w:rPr>
              <w:t xml:space="preserve"> </w:t>
            </w:r>
            <w:r w:rsidRPr="002B3F36">
              <w:rPr>
                <w:rFonts w:ascii="Arial" w:hAnsi="Arial" w:cs="Arial"/>
                <w:sz w:val="20"/>
                <w:szCs w:val="20"/>
              </w:rPr>
              <w:t>Code</w:t>
            </w:r>
            <w:r w:rsidRPr="002B3F36">
              <w:rPr>
                <w:rFonts w:ascii="Arial" w:hAnsi="Arial" w:cs="Arial"/>
                <w:spacing w:val="-4"/>
                <w:sz w:val="20"/>
                <w:szCs w:val="20"/>
              </w:rPr>
              <w:t xml:space="preserve"> </w:t>
            </w:r>
            <w:r w:rsidRPr="002B3F36">
              <w:rPr>
                <w:rFonts w:ascii="Arial" w:hAnsi="Arial" w:cs="Arial"/>
                <w:sz w:val="20"/>
                <w:szCs w:val="20"/>
              </w:rPr>
              <w:t>(RK</w:t>
            </w:r>
            <w:r w:rsidRPr="002B3F36">
              <w:rPr>
                <w:rFonts w:ascii="Arial" w:hAnsi="Arial" w:cs="Arial"/>
                <w:spacing w:val="-2"/>
                <w:sz w:val="20"/>
                <w:szCs w:val="20"/>
              </w:rPr>
              <w:t xml:space="preserve"> </w:t>
            </w:r>
            <w:r w:rsidRPr="002B3F36">
              <w:rPr>
                <w:rFonts w:ascii="Arial" w:hAnsi="Arial" w:cs="Arial"/>
                <w:sz w:val="20"/>
                <w:szCs w:val="20"/>
              </w:rPr>
              <w:t>Code</w:t>
            </w:r>
            <w:r w:rsidRPr="002B3F36">
              <w:rPr>
                <w:rFonts w:ascii="Arial" w:hAnsi="Arial" w:cs="Arial"/>
                <w:spacing w:val="-4"/>
                <w:sz w:val="20"/>
                <w:szCs w:val="20"/>
              </w:rPr>
              <w:t xml:space="preserve"> </w:t>
            </w:r>
            <w:r w:rsidRPr="002B3F36">
              <w:rPr>
                <w:rFonts w:ascii="Arial" w:hAnsi="Arial" w:cs="Arial"/>
                <w:sz w:val="20"/>
                <w:szCs w:val="20"/>
              </w:rPr>
              <w:t>#442-II,</w:t>
            </w:r>
            <w:r w:rsidRPr="002B3F36">
              <w:rPr>
                <w:rFonts w:ascii="Arial" w:hAnsi="Arial" w:cs="Arial"/>
                <w:spacing w:val="-5"/>
                <w:sz w:val="20"/>
                <w:szCs w:val="20"/>
              </w:rPr>
              <w:t xml:space="preserve"> </w:t>
            </w:r>
            <w:r w:rsidRPr="002B3F36">
              <w:rPr>
                <w:rFonts w:ascii="Arial" w:hAnsi="Arial" w:cs="Arial"/>
                <w:sz w:val="20"/>
                <w:szCs w:val="20"/>
              </w:rPr>
              <w:t>adopted</w:t>
            </w:r>
            <w:r w:rsidRPr="002B3F36">
              <w:rPr>
                <w:rFonts w:ascii="Arial" w:hAnsi="Arial" w:cs="Arial"/>
                <w:spacing w:val="-4"/>
                <w:sz w:val="20"/>
                <w:szCs w:val="20"/>
              </w:rPr>
              <w:t xml:space="preserve"> </w:t>
            </w:r>
            <w:r w:rsidRPr="002B3F36">
              <w:rPr>
                <w:rFonts w:ascii="Arial" w:hAnsi="Arial" w:cs="Arial"/>
                <w:sz w:val="20"/>
                <w:szCs w:val="20"/>
              </w:rPr>
              <w:t>20</w:t>
            </w:r>
            <w:r w:rsidRPr="002B3F36">
              <w:rPr>
                <w:rFonts w:ascii="Arial" w:hAnsi="Arial" w:cs="Arial"/>
                <w:spacing w:val="-4"/>
                <w:sz w:val="20"/>
                <w:szCs w:val="20"/>
              </w:rPr>
              <w:t xml:space="preserve"> </w:t>
            </w:r>
            <w:r w:rsidRPr="002B3F36">
              <w:rPr>
                <w:rFonts w:ascii="Arial" w:hAnsi="Arial" w:cs="Arial"/>
                <w:sz w:val="20"/>
                <w:szCs w:val="20"/>
              </w:rPr>
              <w:t>June</w:t>
            </w:r>
            <w:r w:rsidRPr="002B3F36">
              <w:rPr>
                <w:rFonts w:ascii="Arial" w:hAnsi="Arial" w:cs="Arial"/>
                <w:spacing w:val="-4"/>
                <w:sz w:val="20"/>
                <w:szCs w:val="20"/>
              </w:rPr>
              <w:t xml:space="preserve"> </w:t>
            </w:r>
            <w:r w:rsidRPr="002B3F36">
              <w:rPr>
                <w:rFonts w:ascii="Arial" w:hAnsi="Arial" w:cs="Arial"/>
                <w:sz w:val="20"/>
                <w:szCs w:val="20"/>
              </w:rPr>
              <w:t>2003,</w:t>
            </w:r>
            <w:r w:rsidRPr="002B3F36">
              <w:rPr>
                <w:rFonts w:ascii="Arial" w:hAnsi="Arial" w:cs="Arial"/>
                <w:spacing w:val="-5"/>
                <w:sz w:val="20"/>
                <w:szCs w:val="20"/>
              </w:rPr>
              <w:t xml:space="preserve"> </w:t>
            </w:r>
            <w:r w:rsidRPr="002B3F36">
              <w:rPr>
                <w:rFonts w:ascii="Arial" w:hAnsi="Arial" w:cs="Arial"/>
                <w:sz w:val="20"/>
                <w:szCs w:val="20"/>
              </w:rPr>
              <w:t>with</w:t>
            </w:r>
            <w:r w:rsidRPr="002B3F36">
              <w:rPr>
                <w:rFonts w:ascii="Arial" w:hAnsi="Arial" w:cs="Arial"/>
                <w:spacing w:val="-5"/>
                <w:sz w:val="20"/>
                <w:szCs w:val="20"/>
              </w:rPr>
              <w:t xml:space="preserve"> </w:t>
            </w:r>
            <w:r w:rsidRPr="002B3F36">
              <w:rPr>
                <w:rFonts w:ascii="Arial" w:hAnsi="Arial" w:cs="Arial"/>
                <w:sz w:val="20"/>
                <w:szCs w:val="20"/>
              </w:rPr>
              <w:t>last</w:t>
            </w:r>
            <w:r w:rsidRPr="002B3F36">
              <w:rPr>
                <w:rFonts w:ascii="Arial" w:hAnsi="Arial" w:cs="Arial"/>
                <w:spacing w:val="-4"/>
                <w:sz w:val="20"/>
                <w:szCs w:val="20"/>
              </w:rPr>
              <w:t xml:space="preserve"> </w:t>
            </w:r>
            <w:r w:rsidRPr="002B3F36">
              <w:rPr>
                <w:rFonts w:ascii="Arial" w:hAnsi="Arial" w:cs="Arial"/>
                <w:sz w:val="20"/>
                <w:szCs w:val="20"/>
              </w:rPr>
              <w:t>amendment</w:t>
            </w:r>
            <w:r w:rsidRPr="002B3F36">
              <w:rPr>
                <w:rFonts w:ascii="Arial" w:hAnsi="Arial" w:cs="Arial"/>
                <w:spacing w:val="-3"/>
                <w:sz w:val="20"/>
                <w:szCs w:val="20"/>
              </w:rPr>
              <w:t xml:space="preserve"> </w:t>
            </w:r>
            <w:r w:rsidRPr="002B3F36">
              <w:rPr>
                <w:rFonts w:ascii="Arial" w:hAnsi="Arial" w:cs="Arial"/>
                <w:sz w:val="20"/>
                <w:szCs w:val="20"/>
              </w:rPr>
              <w:t>on</w:t>
            </w:r>
            <w:r w:rsidRPr="002B3F36">
              <w:rPr>
                <w:rFonts w:ascii="Arial" w:hAnsi="Arial" w:cs="Arial"/>
                <w:spacing w:val="-5"/>
                <w:sz w:val="20"/>
                <w:szCs w:val="20"/>
              </w:rPr>
              <w:t xml:space="preserve"> </w:t>
            </w:r>
            <w:r w:rsidRPr="002B3F36">
              <w:rPr>
                <w:rFonts w:ascii="Arial" w:hAnsi="Arial" w:cs="Arial"/>
                <w:sz w:val="20"/>
                <w:szCs w:val="20"/>
              </w:rPr>
              <w:t>21</w:t>
            </w:r>
            <w:r w:rsidRPr="002B3F36">
              <w:rPr>
                <w:rFonts w:ascii="Arial" w:hAnsi="Arial" w:cs="Arial"/>
                <w:spacing w:val="-4"/>
                <w:sz w:val="20"/>
                <w:szCs w:val="20"/>
              </w:rPr>
              <w:t xml:space="preserve"> </w:t>
            </w:r>
            <w:r w:rsidRPr="002B3F36">
              <w:rPr>
                <w:rFonts w:ascii="Arial" w:hAnsi="Arial" w:cs="Arial"/>
                <w:sz w:val="20"/>
                <w:szCs w:val="20"/>
              </w:rPr>
              <w:t xml:space="preserve">May </w:t>
            </w:r>
            <w:r w:rsidRPr="002B3F36">
              <w:rPr>
                <w:rFonts w:ascii="Arial" w:hAnsi="Arial" w:cs="Arial"/>
                <w:spacing w:val="-2"/>
                <w:sz w:val="20"/>
                <w:szCs w:val="20"/>
              </w:rPr>
              <w:t>2024)</w:t>
            </w:r>
          </w:p>
        </w:tc>
        <w:tc>
          <w:tcPr>
            <w:tcW w:w="0" w:type="auto"/>
          </w:tcPr>
          <w:p w14:paraId="2437CD36" w14:textId="77777777" w:rsidR="00F61F8E" w:rsidRPr="002B3F36" w:rsidRDefault="000F264B">
            <w:pPr>
              <w:pStyle w:val="TableParagraph"/>
              <w:spacing w:before="0"/>
              <w:ind w:left="105"/>
              <w:jc w:val="both"/>
              <w:rPr>
                <w:rFonts w:ascii="Arial" w:hAnsi="Arial" w:cs="Arial"/>
                <w:sz w:val="20"/>
                <w:szCs w:val="20"/>
              </w:rPr>
            </w:pPr>
            <w:r w:rsidRPr="002B3F36">
              <w:rPr>
                <w:rFonts w:ascii="Arial" w:hAnsi="Arial" w:cs="Arial"/>
                <w:spacing w:val="-4"/>
                <w:sz w:val="20"/>
                <w:szCs w:val="20"/>
              </w:rPr>
              <w:t>2024</w:t>
            </w:r>
          </w:p>
        </w:tc>
      </w:tr>
      <w:tr w:rsidR="00F61F8E" w:rsidRPr="002B3F36" w14:paraId="5B1BA11A" w14:textId="77777777">
        <w:trPr>
          <w:trHeight w:val="20"/>
        </w:trPr>
        <w:tc>
          <w:tcPr>
            <w:tcW w:w="0" w:type="auto"/>
          </w:tcPr>
          <w:p w14:paraId="1DDA9388" w14:textId="77777777" w:rsidR="00F61F8E" w:rsidRPr="002B3F36" w:rsidRDefault="000F264B">
            <w:pPr>
              <w:pStyle w:val="TableParagraph"/>
              <w:spacing w:before="0"/>
              <w:ind w:left="122" w:right="165"/>
              <w:jc w:val="both"/>
              <w:rPr>
                <w:rFonts w:ascii="Arial" w:hAnsi="Arial" w:cs="Arial"/>
                <w:sz w:val="20"/>
                <w:szCs w:val="20"/>
              </w:rPr>
            </w:pPr>
            <w:r w:rsidRPr="002B3F36">
              <w:rPr>
                <w:rFonts w:ascii="Arial" w:hAnsi="Arial" w:cs="Arial"/>
                <w:sz w:val="20"/>
                <w:szCs w:val="20"/>
              </w:rPr>
              <w:t>Law</w:t>
            </w:r>
            <w:r w:rsidRPr="002B3F36">
              <w:rPr>
                <w:rFonts w:ascii="Arial" w:hAnsi="Arial" w:cs="Arial"/>
                <w:spacing w:val="-4"/>
                <w:sz w:val="20"/>
                <w:szCs w:val="20"/>
              </w:rPr>
              <w:t xml:space="preserve"> </w:t>
            </w:r>
            <w:r w:rsidRPr="002B3F36">
              <w:rPr>
                <w:rFonts w:ascii="Arial" w:hAnsi="Arial" w:cs="Arial"/>
                <w:sz w:val="20"/>
                <w:szCs w:val="20"/>
              </w:rPr>
              <w:t>on</w:t>
            </w:r>
            <w:r w:rsidRPr="002B3F36">
              <w:rPr>
                <w:rFonts w:ascii="Arial" w:hAnsi="Arial" w:cs="Arial"/>
                <w:spacing w:val="-4"/>
                <w:sz w:val="20"/>
                <w:szCs w:val="20"/>
              </w:rPr>
              <w:t xml:space="preserve"> </w:t>
            </w:r>
            <w:r w:rsidRPr="002B3F36">
              <w:rPr>
                <w:rFonts w:ascii="Arial" w:hAnsi="Arial" w:cs="Arial"/>
                <w:sz w:val="20"/>
                <w:szCs w:val="20"/>
              </w:rPr>
              <w:t>State</w:t>
            </w:r>
            <w:r w:rsidRPr="002B3F36">
              <w:rPr>
                <w:rFonts w:ascii="Arial" w:hAnsi="Arial" w:cs="Arial"/>
                <w:spacing w:val="-3"/>
                <w:sz w:val="20"/>
                <w:szCs w:val="20"/>
              </w:rPr>
              <w:t xml:space="preserve"> </w:t>
            </w:r>
            <w:r w:rsidRPr="002B3F36">
              <w:rPr>
                <w:rFonts w:ascii="Arial" w:hAnsi="Arial" w:cs="Arial"/>
                <w:sz w:val="20"/>
                <w:szCs w:val="20"/>
              </w:rPr>
              <w:t>Property</w:t>
            </w:r>
            <w:r w:rsidRPr="002B3F36">
              <w:rPr>
                <w:rFonts w:ascii="Arial" w:hAnsi="Arial" w:cs="Arial"/>
                <w:spacing w:val="-4"/>
                <w:sz w:val="20"/>
                <w:szCs w:val="20"/>
              </w:rPr>
              <w:t xml:space="preserve"> </w:t>
            </w:r>
            <w:r w:rsidRPr="002B3F36">
              <w:rPr>
                <w:rFonts w:ascii="Arial" w:hAnsi="Arial" w:cs="Arial"/>
                <w:sz w:val="20"/>
                <w:szCs w:val="20"/>
              </w:rPr>
              <w:t>(#413-IV</w:t>
            </w:r>
            <w:r w:rsidRPr="002B3F36">
              <w:rPr>
                <w:rFonts w:ascii="Arial" w:hAnsi="Arial" w:cs="Arial"/>
                <w:spacing w:val="-4"/>
                <w:sz w:val="20"/>
                <w:szCs w:val="20"/>
              </w:rPr>
              <w:t xml:space="preserve"> </w:t>
            </w:r>
            <w:r w:rsidRPr="002B3F36">
              <w:rPr>
                <w:rFonts w:ascii="Arial" w:hAnsi="Arial" w:cs="Arial"/>
                <w:sz w:val="20"/>
                <w:szCs w:val="20"/>
              </w:rPr>
              <w:t>LRK</w:t>
            </w:r>
            <w:r w:rsidRPr="002B3F36">
              <w:rPr>
                <w:rFonts w:ascii="Arial" w:hAnsi="Arial" w:cs="Arial"/>
                <w:spacing w:val="-3"/>
                <w:sz w:val="20"/>
                <w:szCs w:val="20"/>
              </w:rPr>
              <w:t xml:space="preserve"> </w:t>
            </w:r>
            <w:r w:rsidRPr="002B3F36">
              <w:rPr>
                <w:rFonts w:ascii="Arial" w:hAnsi="Arial" w:cs="Arial"/>
                <w:sz w:val="20"/>
                <w:szCs w:val="20"/>
              </w:rPr>
              <w:t>adopted</w:t>
            </w:r>
            <w:r w:rsidRPr="002B3F36">
              <w:rPr>
                <w:rFonts w:ascii="Arial" w:hAnsi="Arial" w:cs="Arial"/>
                <w:spacing w:val="-3"/>
                <w:sz w:val="20"/>
                <w:szCs w:val="20"/>
              </w:rPr>
              <w:t xml:space="preserve"> </w:t>
            </w:r>
            <w:r w:rsidRPr="002B3F36">
              <w:rPr>
                <w:rFonts w:ascii="Arial" w:hAnsi="Arial" w:cs="Arial"/>
                <w:sz w:val="20"/>
                <w:szCs w:val="20"/>
              </w:rPr>
              <w:t>on</w:t>
            </w:r>
            <w:r w:rsidRPr="002B3F36">
              <w:rPr>
                <w:rFonts w:ascii="Arial" w:hAnsi="Arial" w:cs="Arial"/>
                <w:spacing w:val="-4"/>
                <w:sz w:val="20"/>
                <w:szCs w:val="20"/>
              </w:rPr>
              <w:t xml:space="preserve"> </w:t>
            </w:r>
            <w:r w:rsidRPr="002B3F36">
              <w:rPr>
                <w:rFonts w:ascii="Arial" w:hAnsi="Arial" w:cs="Arial"/>
                <w:sz w:val="20"/>
                <w:szCs w:val="20"/>
              </w:rPr>
              <w:t>1</w:t>
            </w:r>
            <w:r w:rsidRPr="002B3F36">
              <w:rPr>
                <w:rFonts w:ascii="Arial" w:hAnsi="Arial" w:cs="Arial"/>
                <w:spacing w:val="-3"/>
                <w:sz w:val="20"/>
                <w:szCs w:val="20"/>
              </w:rPr>
              <w:t xml:space="preserve"> </w:t>
            </w:r>
            <w:r w:rsidRPr="002B3F36">
              <w:rPr>
                <w:rFonts w:ascii="Arial" w:hAnsi="Arial" w:cs="Arial"/>
                <w:sz w:val="20"/>
                <w:szCs w:val="20"/>
              </w:rPr>
              <w:t>March</w:t>
            </w:r>
            <w:r w:rsidRPr="002B3F36">
              <w:rPr>
                <w:rFonts w:ascii="Arial" w:hAnsi="Arial" w:cs="Arial"/>
                <w:spacing w:val="-5"/>
                <w:sz w:val="20"/>
                <w:szCs w:val="20"/>
              </w:rPr>
              <w:t xml:space="preserve"> </w:t>
            </w:r>
            <w:r w:rsidRPr="002B3F36">
              <w:rPr>
                <w:rFonts w:ascii="Arial" w:hAnsi="Arial" w:cs="Arial"/>
                <w:sz w:val="20"/>
                <w:szCs w:val="20"/>
              </w:rPr>
              <w:t>2011,</w:t>
            </w:r>
            <w:r w:rsidRPr="002B3F36">
              <w:rPr>
                <w:rFonts w:ascii="Arial" w:hAnsi="Arial" w:cs="Arial"/>
                <w:spacing w:val="-4"/>
                <w:sz w:val="20"/>
                <w:szCs w:val="20"/>
              </w:rPr>
              <w:t xml:space="preserve"> </w:t>
            </w:r>
            <w:r w:rsidRPr="002B3F36">
              <w:rPr>
                <w:rFonts w:ascii="Arial" w:hAnsi="Arial" w:cs="Arial"/>
                <w:sz w:val="20"/>
                <w:szCs w:val="20"/>
              </w:rPr>
              <w:t>last</w:t>
            </w:r>
            <w:r w:rsidRPr="002B3F36">
              <w:rPr>
                <w:rFonts w:ascii="Arial" w:hAnsi="Arial" w:cs="Arial"/>
                <w:spacing w:val="-3"/>
                <w:sz w:val="20"/>
                <w:szCs w:val="20"/>
              </w:rPr>
              <w:t xml:space="preserve"> </w:t>
            </w:r>
            <w:r w:rsidRPr="002B3F36">
              <w:rPr>
                <w:rFonts w:ascii="Arial" w:hAnsi="Arial" w:cs="Arial"/>
                <w:sz w:val="20"/>
                <w:szCs w:val="20"/>
              </w:rPr>
              <w:t>amendment</w:t>
            </w:r>
            <w:r w:rsidRPr="002B3F36">
              <w:rPr>
                <w:rFonts w:ascii="Arial" w:hAnsi="Arial" w:cs="Arial"/>
                <w:spacing w:val="-2"/>
                <w:sz w:val="20"/>
                <w:szCs w:val="20"/>
              </w:rPr>
              <w:t xml:space="preserve"> </w:t>
            </w:r>
            <w:r w:rsidRPr="002B3F36">
              <w:rPr>
                <w:rFonts w:ascii="Arial" w:hAnsi="Arial" w:cs="Arial"/>
                <w:sz w:val="20"/>
                <w:szCs w:val="20"/>
              </w:rPr>
              <w:t>dated</w:t>
            </w:r>
            <w:r w:rsidRPr="002B3F36">
              <w:rPr>
                <w:rFonts w:ascii="Arial" w:hAnsi="Arial" w:cs="Arial"/>
                <w:spacing w:val="-3"/>
                <w:sz w:val="20"/>
                <w:szCs w:val="20"/>
              </w:rPr>
              <w:t xml:space="preserve"> </w:t>
            </w:r>
            <w:r w:rsidRPr="002B3F36">
              <w:rPr>
                <w:rFonts w:ascii="Arial" w:hAnsi="Arial" w:cs="Arial"/>
                <w:sz w:val="20"/>
                <w:szCs w:val="20"/>
              </w:rPr>
              <w:t>21 May 2024 to be enforced on 22 July 2024)</w:t>
            </w:r>
          </w:p>
        </w:tc>
        <w:tc>
          <w:tcPr>
            <w:tcW w:w="0" w:type="auto"/>
          </w:tcPr>
          <w:p w14:paraId="655A7A88" w14:textId="77777777" w:rsidR="00F61F8E" w:rsidRPr="002B3F36" w:rsidRDefault="000F264B">
            <w:pPr>
              <w:pStyle w:val="TableParagraph"/>
              <w:spacing w:before="0"/>
              <w:ind w:left="105"/>
              <w:jc w:val="both"/>
              <w:rPr>
                <w:rFonts w:ascii="Arial" w:hAnsi="Arial" w:cs="Arial"/>
                <w:sz w:val="20"/>
                <w:szCs w:val="20"/>
              </w:rPr>
            </w:pPr>
            <w:r w:rsidRPr="002B3F36">
              <w:rPr>
                <w:rFonts w:ascii="Arial" w:hAnsi="Arial" w:cs="Arial"/>
                <w:spacing w:val="-4"/>
                <w:sz w:val="20"/>
                <w:szCs w:val="20"/>
              </w:rPr>
              <w:t>2024</w:t>
            </w:r>
          </w:p>
        </w:tc>
      </w:tr>
      <w:tr w:rsidR="00F61F8E" w:rsidRPr="002B3F36" w14:paraId="6CFC3B90" w14:textId="77777777">
        <w:trPr>
          <w:trHeight w:val="20"/>
        </w:trPr>
        <w:tc>
          <w:tcPr>
            <w:tcW w:w="0" w:type="auto"/>
          </w:tcPr>
          <w:p w14:paraId="4E003949"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The</w:t>
            </w:r>
            <w:r w:rsidRPr="002B3F36">
              <w:rPr>
                <w:rFonts w:ascii="Arial" w:hAnsi="Arial" w:cs="Arial"/>
                <w:spacing w:val="-3"/>
                <w:sz w:val="20"/>
                <w:szCs w:val="20"/>
              </w:rPr>
              <w:t xml:space="preserve"> </w:t>
            </w:r>
            <w:r w:rsidRPr="002B3F36">
              <w:rPr>
                <w:rFonts w:ascii="Arial" w:hAnsi="Arial" w:cs="Arial"/>
                <w:sz w:val="20"/>
                <w:szCs w:val="20"/>
              </w:rPr>
              <w:t>Law</w:t>
            </w:r>
            <w:r w:rsidRPr="002B3F36">
              <w:rPr>
                <w:rFonts w:ascii="Arial" w:hAnsi="Arial" w:cs="Arial"/>
                <w:spacing w:val="-4"/>
                <w:sz w:val="20"/>
                <w:szCs w:val="20"/>
              </w:rPr>
              <w:t xml:space="preserve"> </w:t>
            </w:r>
            <w:r w:rsidRPr="002B3F36">
              <w:rPr>
                <w:rFonts w:ascii="Arial" w:hAnsi="Arial" w:cs="Arial"/>
                <w:sz w:val="20"/>
                <w:szCs w:val="20"/>
              </w:rPr>
              <w:t>on</w:t>
            </w:r>
            <w:r w:rsidRPr="002B3F36">
              <w:rPr>
                <w:rFonts w:ascii="Arial" w:hAnsi="Arial" w:cs="Arial"/>
                <w:spacing w:val="-2"/>
                <w:sz w:val="20"/>
                <w:szCs w:val="20"/>
              </w:rPr>
              <w:t xml:space="preserve"> </w:t>
            </w:r>
            <w:r w:rsidRPr="002B3F36">
              <w:rPr>
                <w:rFonts w:ascii="Arial" w:hAnsi="Arial" w:cs="Arial"/>
                <w:sz w:val="20"/>
                <w:szCs w:val="20"/>
              </w:rPr>
              <w:t>Housing</w:t>
            </w:r>
            <w:r w:rsidRPr="002B3F36">
              <w:rPr>
                <w:rFonts w:ascii="Arial" w:hAnsi="Arial" w:cs="Arial"/>
                <w:spacing w:val="-3"/>
                <w:sz w:val="20"/>
                <w:szCs w:val="20"/>
              </w:rPr>
              <w:t xml:space="preserve"> </w:t>
            </w:r>
            <w:r w:rsidRPr="002B3F36">
              <w:rPr>
                <w:rFonts w:ascii="Arial" w:hAnsi="Arial" w:cs="Arial"/>
                <w:sz w:val="20"/>
                <w:szCs w:val="20"/>
              </w:rPr>
              <w:t>Relations</w:t>
            </w:r>
            <w:r w:rsidRPr="002B3F36">
              <w:rPr>
                <w:rFonts w:ascii="Arial" w:hAnsi="Arial" w:cs="Arial"/>
                <w:spacing w:val="-3"/>
                <w:sz w:val="20"/>
                <w:szCs w:val="20"/>
              </w:rPr>
              <w:t xml:space="preserve"> </w:t>
            </w:r>
            <w:r w:rsidRPr="002B3F36">
              <w:rPr>
                <w:rFonts w:ascii="Arial" w:hAnsi="Arial" w:cs="Arial"/>
                <w:sz w:val="20"/>
                <w:szCs w:val="20"/>
              </w:rPr>
              <w:t>(№</w:t>
            </w:r>
            <w:r w:rsidRPr="002B3F36">
              <w:rPr>
                <w:rFonts w:ascii="Arial" w:hAnsi="Arial" w:cs="Arial"/>
                <w:spacing w:val="-3"/>
                <w:sz w:val="20"/>
                <w:szCs w:val="20"/>
              </w:rPr>
              <w:t xml:space="preserve"> </w:t>
            </w:r>
            <w:r w:rsidRPr="002B3F36">
              <w:rPr>
                <w:rFonts w:ascii="Arial" w:hAnsi="Arial" w:cs="Arial"/>
                <w:sz w:val="20"/>
                <w:szCs w:val="20"/>
              </w:rPr>
              <w:t>94-I,</w:t>
            </w:r>
            <w:r w:rsidRPr="002B3F36">
              <w:rPr>
                <w:rFonts w:ascii="Arial" w:hAnsi="Arial" w:cs="Arial"/>
                <w:spacing w:val="-4"/>
                <w:sz w:val="20"/>
                <w:szCs w:val="20"/>
              </w:rPr>
              <w:t xml:space="preserve"> </w:t>
            </w:r>
            <w:r w:rsidRPr="002B3F36">
              <w:rPr>
                <w:rFonts w:ascii="Arial" w:hAnsi="Arial" w:cs="Arial"/>
                <w:sz w:val="20"/>
                <w:szCs w:val="20"/>
              </w:rPr>
              <w:t>adopted</w:t>
            </w:r>
            <w:r w:rsidRPr="002B3F36">
              <w:rPr>
                <w:rFonts w:ascii="Arial" w:hAnsi="Arial" w:cs="Arial"/>
                <w:spacing w:val="-3"/>
                <w:sz w:val="20"/>
                <w:szCs w:val="20"/>
              </w:rPr>
              <w:t xml:space="preserve"> </w:t>
            </w:r>
            <w:r w:rsidRPr="002B3F36">
              <w:rPr>
                <w:rFonts w:ascii="Arial" w:hAnsi="Arial" w:cs="Arial"/>
                <w:sz w:val="20"/>
                <w:szCs w:val="20"/>
              </w:rPr>
              <w:t>on</w:t>
            </w:r>
            <w:r w:rsidRPr="002B3F36">
              <w:rPr>
                <w:rFonts w:ascii="Arial" w:hAnsi="Arial" w:cs="Arial"/>
                <w:spacing w:val="-4"/>
                <w:sz w:val="20"/>
                <w:szCs w:val="20"/>
              </w:rPr>
              <w:t xml:space="preserve"> </w:t>
            </w:r>
            <w:r w:rsidRPr="002B3F36">
              <w:rPr>
                <w:rFonts w:ascii="Arial" w:hAnsi="Arial" w:cs="Arial"/>
                <w:sz w:val="20"/>
                <w:szCs w:val="20"/>
              </w:rPr>
              <w:t>16</w:t>
            </w:r>
            <w:r w:rsidRPr="002B3F36">
              <w:rPr>
                <w:rFonts w:ascii="Arial" w:hAnsi="Arial" w:cs="Arial"/>
                <w:spacing w:val="-3"/>
                <w:sz w:val="20"/>
                <w:szCs w:val="20"/>
              </w:rPr>
              <w:t xml:space="preserve"> </w:t>
            </w:r>
            <w:r w:rsidRPr="002B3F36">
              <w:rPr>
                <w:rFonts w:ascii="Arial" w:hAnsi="Arial" w:cs="Arial"/>
                <w:sz w:val="20"/>
                <w:szCs w:val="20"/>
              </w:rPr>
              <w:t>April</w:t>
            </w:r>
            <w:r w:rsidRPr="002B3F36">
              <w:rPr>
                <w:rFonts w:ascii="Arial" w:hAnsi="Arial" w:cs="Arial"/>
                <w:spacing w:val="-2"/>
                <w:sz w:val="20"/>
                <w:szCs w:val="20"/>
              </w:rPr>
              <w:t xml:space="preserve"> </w:t>
            </w:r>
            <w:r w:rsidRPr="002B3F36">
              <w:rPr>
                <w:rFonts w:ascii="Arial" w:hAnsi="Arial" w:cs="Arial"/>
                <w:sz w:val="20"/>
                <w:szCs w:val="20"/>
              </w:rPr>
              <w:t>1997,</w:t>
            </w:r>
            <w:r w:rsidRPr="002B3F36">
              <w:rPr>
                <w:rFonts w:ascii="Arial" w:hAnsi="Arial" w:cs="Arial"/>
                <w:spacing w:val="-4"/>
                <w:sz w:val="20"/>
                <w:szCs w:val="20"/>
              </w:rPr>
              <w:t xml:space="preserve"> </w:t>
            </w:r>
            <w:r w:rsidRPr="002B3F36">
              <w:rPr>
                <w:rFonts w:ascii="Arial" w:hAnsi="Arial" w:cs="Arial"/>
                <w:sz w:val="20"/>
                <w:szCs w:val="20"/>
              </w:rPr>
              <w:t>last</w:t>
            </w:r>
            <w:r w:rsidRPr="002B3F36">
              <w:rPr>
                <w:rFonts w:ascii="Arial" w:hAnsi="Arial" w:cs="Arial"/>
                <w:spacing w:val="-3"/>
                <w:sz w:val="20"/>
                <w:szCs w:val="20"/>
              </w:rPr>
              <w:t xml:space="preserve"> </w:t>
            </w:r>
            <w:r w:rsidRPr="002B3F36">
              <w:rPr>
                <w:rFonts w:ascii="Arial" w:hAnsi="Arial" w:cs="Arial"/>
                <w:sz w:val="20"/>
                <w:szCs w:val="20"/>
              </w:rPr>
              <w:t>amendment</w:t>
            </w:r>
            <w:r w:rsidRPr="002B3F36">
              <w:rPr>
                <w:rFonts w:ascii="Arial" w:hAnsi="Arial" w:cs="Arial"/>
                <w:spacing w:val="-2"/>
                <w:sz w:val="20"/>
                <w:szCs w:val="20"/>
              </w:rPr>
              <w:t xml:space="preserve"> </w:t>
            </w:r>
            <w:r w:rsidRPr="002B3F36">
              <w:rPr>
                <w:rFonts w:ascii="Arial" w:hAnsi="Arial" w:cs="Arial"/>
                <w:sz w:val="20"/>
                <w:szCs w:val="20"/>
              </w:rPr>
              <w:t>dated</w:t>
            </w:r>
            <w:r w:rsidRPr="002B3F36">
              <w:rPr>
                <w:rFonts w:ascii="Arial" w:hAnsi="Arial" w:cs="Arial"/>
                <w:spacing w:val="-3"/>
                <w:sz w:val="20"/>
                <w:szCs w:val="20"/>
              </w:rPr>
              <w:t xml:space="preserve"> </w:t>
            </w:r>
            <w:r w:rsidRPr="002B3F36">
              <w:rPr>
                <w:rFonts w:ascii="Arial" w:hAnsi="Arial" w:cs="Arial"/>
                <w:sz w:val="20"/>
                <w:szCs w:val="20"/>
              </w:rPr>
              <w:t>21 May 2024 to be enforced on 22 July 2024)</w:t>
            </w:r>
          </w:p>
        </w:tc>
        <w:tc>
          <w:tcPr>
            <w:tcW w:w="0" w:type="auto"/>
          </w:tcPr>
          <w:p w14:paraId="79A2935C" w14:textId="77777777" w:rsidR="00F61F8E" w:rsidRPr="002B3F36" w:rsidRDefault="000F264B">
            <w:pPr>
              <w:pStyle w:val="TableParagraph"/>
              <w:spacing w:before="0"/>
              <w:ind w:left="105"/>
              <w:jc w:val="both"/>
              <w:rPr>
                <w:rFonts w:ascii="Arial" w:hAnsi="Arial" w:cs="Arial"/>
                <w:sz w:val="20"/>
                <w:szCs w:val="20"/>
              </w:rPr>
            </w:pPr>
            <w:r w:rsidRPr="002B3F36">
              <w:rPr>
                <w:rFonts w:ascii="Arial" w:hAnsi="Arial" w:cs="Arial"/>
                <w:spacing w:val="-4"/>
                <w:sz w:val="20"/>
                <w:szCs w:val="20"/>
              </w:rPr>
              <w:t>2024</w:t>
            </w:r>
          </w:p>
        </w:tc>
      </w:tr>
      <w:tr w:rsidR="00F61F8E" w:rsidRPr="002B3F36" w14:paraId="60C63617" w14:textId="77777777">
        <w:trPr>
          <w:trHeight w:val="20"/>
        </w:trPr>
        <w:tc>
          <w:tcPr>
            <w:tcW w:w="0" w:type="auto"/>
          </w:tcPr>
          <w:p w14:paraId="2385E8FE" w14:textId="77777777" w:rsidR="00F61F8E" w:rsidRPr="002B3F36" w:rsidRDefault="000F264B">
            <w:pPr>
              <w:pStyle w:val="TableParagraph"/>
              <w:spacing w:before="0"/>
              <w:ind w:left="122" w:right="165"/>
              <w:jc w:val="both"/>
              <w:rPr>
                <w:rFonts w:ascii="Arial" w:hAnsi="Arial" w:cs="Arial"/>
                <w:sz w:val="20"/>
                <w:szCs w:val="20"/>
              </w:rPr>
            </w:pPr>
            <w:r w:rsidRPr="002B3F36">
              <w:rPr>
                <w:rFonts w:ascii="Arial" w:hAnsi="Arial" w:cs="Arial"/>
                <w:sz w:val="20"/>
                <w:szCs w:val="20"/>
              </w:rPr>
              <w:t>Labour</w:t>
            </w:r>
            <w:r w:rsidRPr="002B3F36">
              <w:rPr>
                <w:rFonts w:ascii="Arial" w:hAnsi="Arial" w:cs="Arial"/>
                <w:spacing w:val="-6"/>
                <w:sz w:val="20"/>
                <w:szCs w:val="20"/>
              </w:rPr>
              <w:t xml:space="preserve"> </w:t>
            </w:r>
            <w:r w:rsidRPr="002B3F36">
              <w:rPr>
                <w:rFonts w:ascii="Arial" w:hAnsi="Arial" w:cs="Arial"/>
                <w:sz w:val="20"/>
                <w:szCs w:val="20"/>
              </w:rPr>
              <w:t>Code</w:t>
            </w:r>
            <w:r w:rsidRPr="002B3F36">
              <w:rPr>
                <w:rFonts w:ascii="Arial" w:hAnsi="Arial" w:cs="Arial"/>
                <w:spacing w:val="-6"/>
                <w:sz w:val="20"/>
                <w:szCs w:val="20"/>
              </w:rPr>
              <w:t xml:space="preserve"> </w:t>
            </w:r>
            <w:r w:rsidRPr="002B3F36">
              <w:rPr>
                <w:rFonts w:ascii="Arial" w:hAnsi="Arial" w:cs="Arial"/>
                <w:sz w:val="20"/>
                <w:szCs w:val="20"/>
              </w:rPr>
              <w:t>(№</w:t>
            </w:r>
            <w:r w:rsidRPr="002B3F36">
              <w:rPr>
                <w:rFonts w:ascii="Arial" w:hAnsi="Arial" w:cs="Arial"/>
                <w:spacing w:val="-6"/>
                <w:sz w:val="20"/>
                <w:szCs w:val="20"/>
              </w:rPr>
              <w:t xml:space="preserve"> </w:t>
            </w:r>
            <w:r w:rsidRPr="002B3F36">
              <w:rPr>
                <w:rFonts w:ascii="Arial" w:hAnsi="Arial" w:cs="Arial"/>
                <w:sz w:val="20"/>
                <w:szCs w:val="20"/>
              </w:rPr>
              <w:t>414-V,</w:t>
            </w:r>
            <w:r w:rsidRPr="002B3F36">
              <w:rPr>
                <w:rFonts w:ascii="Arial" w:hAnsi="Arial" w:cs="Arial"/>
                <w:spacing w:val="-7"/>
                <w:sz w:val="20"/>
                <w:szCs w:val="20"/>
              </w:rPr>
              <w:t xml:space="preserve"> </w:t>
            </w:r>
            <w:r w:rsidRPr="002B3F36">
              <w:rPr>
                <w:rFonts w:ascii="Arial" w:hAnsi="Arial" w:cs="Arial"/>
                <w:sz w:val="20"/>
                <w:szCs w:val="20"/>
              </w:rPr>
              <w:t>adopted</w:t>
            </w:r>
            <w:r w:rsidRPr="002B3F36">
              <w:rPr>
                <w:rFonts w:ascii="Arial" w:hAnsi="Arial" w:cs="Arial"/>
                <w:spacing w:val="-6"/>
                <w:sz w:val="20"/>
                <w:szCs w:val="20"/>
              </w:rPr>
              <w:t xml:space="preserve"> </w:t>
            </w:r>
            <w:r w:rsidRPr="002B3F36">
              <w:rPr>
                <w:rFonts w:ascii="Arial" w:hAnsi="Arial" w:cs="Arial"/>
                <w:sz w:val="20"/>
                <w:szCs w:val="20"/>
              </w:rPr>
              <w:t>on</w:t>
            </w:r>
            <w:r w:rsidRPr="002B3F36">
              <w:rPr>
                <w:rFonts w:ascii="Arial" w:hAnsi="Arial" w:cs="Arial"/>
                <w:spacing w:val="-7"/>
                <w:sz w:val="20"/>
                <w:szCs w:val="20"/>
              </w:rPr>
              <w:t xml:space="preserve"> </w:t>
            </w:r>
            <w:r w:rsidRPr="002B3F36">
              <w:rPr>
                <w:rFonts w:ascii="Arial" w:hAnsi="Arial" w:cs="Arial"/>
                <w:sz w:val="20"/>
                <w:szCs w:val="20"/>
              </w:rPr>
              <w:t>23</w:t>
            </w:r>
            <w:r w:rsidRPr="002B3F36">
              <w:rPr>
                <w:rFonts w:ascii="Arial" w:hAnsi="Arial" w:cs="Arial"/>
                <w:spacing w:val="-6"/>
                <w:sz w:val="20"/>
                <w:szCs w:val="20"/>
              </w:rPr>
              <w:t xml:space="preserve"> </w:t>
            </w:r>
            <w:r w:rsidRPr="002B3F36">
              <w:rPr>
                <w:rFonts w:ascii="Arial" w:hAnsi="Arial" w:cs="Arial"/>
                <w:sz w:val="20"/>
                <w:szCs w:val="20"/>
              </w:rPr>
              <w:t>November</w:t>
            </w:r>
            <w:r w:rsidRPr="002B3F36">
              <w:rPr>
                <w:rFonts w:ascii="Arial" w:hAnsi="Arial" w:cs="Arial"/>
                <w:spacing w:val="-6"/>
                <w:sz w:val="20"/>
                <w:szCs w:val="20"/>
              </w:rPr>
              <w:t xml:space="preserve"> </w:t>
            </w:r>
            <w:r w:rsidRPr="002B3F36">
              <w:rPr>
                <w:rFonts w:ascii="Arial" w:hAnsi="Arial" w:cs="Arial"/>
                <w:sz w:val="20"/>
                <w:szCs w:val="20"/>
              </w:rPr>
              <w:t>2015,</w:t>
            </w:r>
            <w:r w:rsidRPr="002B3F36">
              <w:rPr>
                <w:rFonts w:ascii="Arial" w:hAnsi="Arial" w:cs="Arial"/>
                <w:spacing w:val="-7"/>
                <w:sz w:val="20"/>
                <w:szCs w:val="20"/>
              </w:rPr>
              <w:t xml:space="preserve"> </w:t>
            </w:r>
            <w:r w:rsidRPr="002B3F36">
              <w:rPr>
                <w:rFonts w:ascii="Arial" w:hAnsi="Arial" w:cs="Arial"/>
                <w:sz w:val="20"/>
                <w:szCs w:val="20"/>
              </w:rPr>
              <w:t>last</w:t>
            </w:r>
            <w:r w:rsidRPr="002B3F36">
              <w:rPr>
                <w:rFonts w:ascii="Arial" w:hAnsi="Arial" w:cs="Arial"/>
                <w:spacing w:val="-6"/>
                <w:sz w:val="20"/>
                <w:szCs w:val="20"/>
              </w:rPr>
              <w:t xml:space="preserve"> </w:t>
            </w:r>
            <w:r w:rsidRPr="002B3F36">
              <w:rPr>
                <w:rFonts w:ascii="Arial" w:hAnsi="Arial" w:cs="Arial"/>
                <w:sz w:val="20"/>
                <w:szCs w:val="20"/>
              </w:rPr>
              <w:t>amendment</w:t>
            </w:r>
            <w:r w:rsidRPr="002B3F36">
              <w:rPr>
                <w:rFonts w:ascii="Arial" w:hAnsi="Arial" w:cs="Arial"/>
                <w:spacing w:val="-5"/>
                <w:sz w:val="20"/>
                <w:szCs w:val="20"/>
              </w:rPr>
              <w:t xml:space="preserve"> </w:t>
            </w:r>
            <w:r w:rsidRPr="002B3F36">
              <w:rPr>
                <w:rFonts w:ascii="Arial" w:hAnsi="Arial" w:cs="Arial"/>
                <w:sz w:val="20"/>
                <w:szCs w:val="20"/>
              </w:rPr>
              <w:t>dated</w:t>
            </w:r>
            <w:r w:rsidRPr="002B3F36">
              <w:rPr>
                <w:rFonts w:ascii="Arial" w:hAnsi="Arial" w:cs="Arial"/>
                <w:spacing w:val="-8"/>
                <w:sz w:val="20"/>
                <w:szCs w:val="20"/>
              </w:rPr>
              <w:t xml:space="preserve"> </w:t>
            </w:r>
            <w:r w:rsidRPr="002B3F36">
              <w:rPr>
                <w:rFonts w:ascii="Arial" w:hAnsi="Arial" w:cs="Arial"/>
                <w:sz w:val="20"/>
                <w:szCs w:val="20"/>
              </w:rPr>
              <w:t>15</w:t>
            </w:r>
            <w:r w:rsidRPr="002B3F36">
              <w:rPr>
                <w:rFonts w:ascii="Arial" w:hAnsi="Arial" w:cs="Arial"/>
                <w:spacing w:val="-6"/>
                <w:sz w:val="20"/>
                <w:szCs w:val="20"/>
              </w:rPr>
              <w:t xml:space="preserve"> </w:t>
            </w:r>
            <w:r w:rsidRPr="002B3F36">
              <w:rPr>
                <w:rFonts w:ascii="Arial" w:hAnsi="Arial" w:cs="Arial"/>
                <w:sz w:val="20"/>
                <w:szCs w:val="20"/>
              </w:rPr>
              <w:t>April</w:t>
            </w:r>
            <w:r w:rsidRPr="002B3F36">
              <w:rPr>
                <w:rFonts w:ascii="Arial" w:hAnsi="Arial" w:cs="Arial"/>
                <w:spacing w:val="-5"/>
                <w:sz w:val="20"/>
                <w:szCs w:val="20"/>
              </w:rPr>
              <w:t xml:space="preserve"> </w:t>
            </w:r>
            <w:r w:rsidRPr="002B3F36">
              <w:rPr>
                <w:rFonts w:ascii="Arial" w:hAnsi="Arial" w:cs="Arial"/>
                <w:sz w:val="20"/>
                <w:szCs w:val="20"/>
              </w:rPr>
              <w:t>2024 to be enforced on 16 June 2024)</w:t>
            </w:r>
          </w:p>
        </w:tc>
        <w:tc>
          <w:tcPr>
            <w:tcW w:w="0" w:type="auto"/>
          </w:tcPr>
          <w:p w14:paraId="63481E7B" w14:textId="77777777" w:rsidR="00F61F8E" w:rsidRPr="002B3F36" w:rsidRDefault="000F264B">
            <w:pPr>
              <w:pStyle w:val="TableParagraph"/>
              <w:spacing w:before="0"/>
              <w:ind w:left="105"/>
              <w:jc w:val="both"/>
              <w:rPr>
                <w:rFonts w:ascii="Arial" w:hAnsi="Arial" w:cs="Arial"/>
                <w:sz w:val="20"/>
                <w:szCs w:val="20"/>
              </w:rPr>
            </w:pPr>
            <w:r w:rsidRPr="002B3F36">
              <w:rPr>
                <w:rFonts w:ascii="Arial" w:hAnsi="Arial" w:cs="Arial"/>
                <w:spacing w:val="-4"/>
                <w:sz w:val="20"/>
                <w:szCs w:val="20"/>
              </w:rPr>
              <w:t>2024</w:t>
            </w:r>
          </w:p>
        </w:tc>
      </w:tr>
      <w:tr w:rsidR="00F61F8E" w:rsidRPr="002B3F36" w14:paraId="7BF278B2" w14:textId="77777777">
        <w:trPr>
          <w:trHeight w:val="20"/>
        </w:trPr>
        <w:tc>
          <w:tcPr>
            <w:tcW w:w="0" w:type="auto"/>
          </w:tcPr>
          <w:p w14:paraId="2F15EF4A" w14:textId="77777777" w:rsidR="00F61F8E" w:rsidRPr="002B3F36" w:rsidRDefault="000F264B">
            <w:pPr>
              <w:pStyle w:val="TableParagraph"/>
              <w:spacing w:before="0"/>
              <w:ind w:left="122" w:right="321"/>
              <w:jc w:val="both"/>
              <w:rPr>
                <w:rFonts w:ascii="Arial" w:hAnsi="Arial" w:cs="Arial"/>
                <w:sz w:val="20"/>
                <w:szCs w:val="20"/>
              </w:rPr>
            </w:pPr>
            <w:r w:rsidRPr="002B3F36">
              <w:rPr>
                <w:rFonts w:ascii="Arial" w:hAnsi="Arial" w:cs="Arial"/>
                <w:sz w:val="20"/>
                <w:szCs w:val="20"/>
              </w:rPr>
              <w:t>The</w:t>
            </w:r>
            <w:r w:rsidRPr="002B3F36">
              <w:rPr>
                <w:rFonts w:ascii="Arial" w:hAnsi="Arial" w:cs="Arial"/>
                <w:spacing w:val="-6"/>
                <w:sz w:val="20"/>
                <w:szCs w:val="20"/>
              </w:rPr>
              <w:t xml:space="preserve"> </w:t>
            </w:r>
            <w:r w:rsidRPr="002B3F36">
              <w:rPr>
                <w:rFonts w:ascii="Arial" w:hAnsi="Arial" w:cs="Arial"/>
                <w:sz w:val="20"/>
                <w:szCs w:val="20"/>
              </w:rPr>
              <w:t>Law</w:t>
            </w:r>
            <w:r w:rsidRPr="002B3F36">
              <w:rPr>
                <w:rFonts w:ascii="Arial" w:hAnsi="Arial" w:cs="Arial"/>
                <w:spacing w:val="-7"/>
                <w:sz w:val="20"/>
                <w:szCs w:val="20"/>
              </w:rPr>
              <w:t xml:space="preserve"> </w:t>
            </w:r>
            <w:r w:rsidRPr="002B3F36">
              <w:rPr>
                <w:rFonts w:ascii="Arial" w:hAnsi="Arial" w:cs="Arial"/>
                <w:sz w:val="20"/>
                <w:szCs w:val="20"/>
              </w:rPr>
              <w:t>of</w:t>
            </w:r>
            <w:r w:rsidRPr="002B3F36">
              <w:rPr>
                <w:rFonts w:ascii="Arial" w:hAnsi="Arial" w:cs="Arial"/>
                <w:spacing w:val="-7"/>
                <w:sz w:val="20"/>
                <w:szCs w:val="20"/>
              </w:rPr>
              <w:t xml:space="preserve"> </w:t>
            </w: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Republic</w:t>
            </w:r>
            <w:r w:rsidRPr="002B3F36">
              <w:rPr>
                <w:rFonts w:ascii="Arial" w:hAnsi="Arial" w:cs="Arial"/>
                <w:spacing w:val="-6"/>
                <w:sz w:val="20"/>
                <w:szCs w:val="20"/>
              </w:rPr>
              <w:t xml:space="preserve"> </w:t>
            </w:r>
            <w:r w:rsidRPr="002B3F36">
              <w:rPr>
                <w:rFonts w:ascii="Arial" w:hAnsi="Arial" w:cs="Arial"/>
                <w:sz w:val="20"/>
                <w:szCs w:val="20"/>
              </w:rPr>
              <w:t>of</w:t>
            </w:r>
            <w:r w:rsidRPr="002B3F36">
              <w:rPr>
                <w:rFonts w:ascii="Arial" w:hAnsi="Arial" w:cs="Arial"/>
                <w:spacing w:val="-7"/>
                <w:sz w:val="20"/>
                <w:szCs w:val="20"/>
              </w:rPr>
              <w:t xml:space="preserve"> </w:t>
            </w:r>
            <w:r w:rsidRPr="002B3F36">
              <w:rPr>
                <w:rFonts w:ascii="Arial" w:hAnsi="Arial" w:cs="Arial"/>
                <w:sz w:val="20"/>
                <w:szCs w:val="20"/>
              </w:rPr>
              <w:t>Kazakhstan</w:t>
            </w:r>
            <w:r w:rsidRPr="002B3F36">
              <w:rPr>
                <w:rFonts w:ascii="Arial" w:hAnsi="Arial" w:cs="Arial"/>
                <w:spacing w:val="-8"/>
                <w:sz w:val="20"/>
                <w:szCs w:val="20"/>
              </w:rPr>
              <w:t xml:space="preserve"> </w:t>
            </w:r>
            <w:r w:rsidRPr="002B3F36">
              <w:rPr>
                <w:rFonts w:ascii="Arial" w:hAnsi="Arial" w:cs="Arial"/>
                <w:sz w:val="20"/>
                <w:szCs w:val="20"/>
              </w:rPr>
              <w:t>on</w:t>
            </w:r>
            <w:r w:rsidRPr="002B3F36">
              <w:rPr>
                <w:rFonts w:ascii="Arial" w:hAnsi="Arial" w:cs="Arial"/>
                <w:spacing w:val="-7"/>
                <w:sz w:val="20"/>
                <w:szCs w:val="20"/>
              </w:rPr>
              <w:t xml:space="preserve"> </w:t>
            </w:r>
            <w:r w:rsidRPr="002B3F36">
              <w:rPr>
                <w:rFonts w:ascii="Arial" w:hAnsi="Arial" w:cs="Arial"/>
                <w:sz w:val="20"/>
                <w:szCs w:val="20"/>
              </w:rPr>
              <w:t>Railway</w:t>
            </w:r>
            <w:r w:rsidRPr="002B3F36">
              <w:rPr>
                <w:rFonts w:ascii="Arial" w:hAnsi="Arial" w:cs="Arial"/>
                <w:spacing w:val="-7"/>
                <w:sz w:val="20"/>
                <w:szCs w:val="20"/>
              </w:rPr>
              <w:t xml:space="preserve"> </w:t>
            </w:r>
            <w:r w:rsidRPr="002B3F36">
              <w:rPr>
                <w:rFonts w:ascii="Arial" w:hAnsi="Arial" w:cs="Arial"/>
                <w:sz w:val="20"/>
                <w:szCs w:val="20"/>
              </w:rPr>
              <w:t>Transport</w:t>
            </w:r>
            <w:r w:rsidRPr="002B3F36">
              <w:rPr>
                <w:rFonts w:ascii="Arial" w:hAnsi="Arial" w:cs="Arial"/>
                <w:spacing w:val="-5"/>
                <w:sz w:val="20"/>
                <w:szCs w:val="20"/>
              </w:rPr>
              <w:t xml:space="preserve"> </w:t>
            </w:r>
            <w:r w:rsidRPr="002B3F36">
              <w:rPr>
                <w:rFonts w:ascii="Arial" w:hAnsi="Arial" w:cs="Arial"/>
                <w:sz w:val="20"/>
                <w:szCs w:val="20"/>
              </w:rPr>
              <w:t>(#266-II</w:t>
            </w:r>
            <w:r w:rsidRPr="002B3F36">
              <w:rPr>
                <w:rFonts w:ascii="Arial" w:hAnsi="Arial" w:cs="Arial"/>
                <w:spacing w:val="-5"/>
                <w:sz w:val="20"/>
                <w:szCs w:val="20"/>
              </w:rPr>
              <w:t xml:space="preserve"> </w:t>
            </w:r>
            <w:r w:rsidRPr="002B3F36">
              <w:rPr>
                <w:rFonts w:ascii="Arial" w:hAnsi="Arial" w:cs="Arial"/>
                <w:sz w:val="20"/>
                <w:szCs w:val="20"/>
              </w:rPr>
              <w:t>adopted</w:t>
            </w:r>
            <w:r w:rsidRPr="002B3F36">
              <w:rPr>
                <w:rFonts w:ascii="Arial" w:hAnsi="Arial" w:cs="Arial"/>
                <w:spacing w:val="-8"/>
                <w:sz w:val="20"/>
                <w:szCs w:val="20"/>
              </w:rPr>
              <w:t xml:space="preserve"> </w:t>
            </w:r>
            <w:r w:rsidRPr="002B3F36">
              <w:rPr>
                <w:rFonts w:ascii="Arial" w:hAnsi="Arial" w:cs="Arial"/>
                <w:sz w:val="20"/>
                <w:szCs w:val="20"/>
              </w:rPr>
              <w:t>on</w:t>
            </w:r>
            <w:r w:rsidRPr="002B3F36">
              <w:rPr>
                <w:rFonts w:ascii="Arial" w:hAnsi="Arial" w:cs="Arial"/>
                <w:spacing w:val="-7"/>
                <w:sz w:val="20"/>
                <w:szCs w:val="20"/>
              </w:rPr>
              <w:t xml:space="preserve"> </w:t>
            </w:r>
            <w:r w:rsidRPr="002B3F36">
              <w:rPr>
                <w:rFonts w:ascii="Arial" w:hAnsi="Arial" w:cs="Arial"/>
                <w:sz w:val="20"/>
                <w:szCs w:val="20"/>
              </w:rPr>
              <w:t>8 December 2001, last amendment dated 19 April 2023)</w:t>
            </w:r>
          </w:p>
        </w:tc>
        <w:tc>
          <w:tcPr>
            <w:tcW w:w="0" w:type="auto"/>
          </w:tcPr>
          <w:p w14:paraId="7789C90A" w14:textId="77777777" w:rsidR="00F61F8E" w:rsidRPr="002B3F36" w:rsidRDefault="000F264B">
            <w:pPr>
              <w:pStyle w:val="TableParagraph"/>
              <w:spacing w:before="0"/>
              <w:ind w:left="105"/>
              <w:jc w:val="both"/>
              <w:rPr>
                <w:rFonts w:ascii="Arial" w:hAnsi="Arial" w:cs="Arial"/>
                <w:sz w:val="20"/>
                <w:szCs w:val="20"/>
              </w:rPr>
            </w:pPr>
            <w:r w:rsidRPr="002B3F36">
              <w:rPr>
                <w:rFonts w:ascii="Arial" w:hAnsi="Arial" w:cs="Arial"/>
                <w:spacing w:val="-4"/>
                <w:sz w:val="20"/>
                <w:szCs w:val="20"/>
              </w:rPr>
              <w:t>2023</w:t>
            </w:r>
          </w:p>
        </w:tc>
      </w:tr>
      <w:tr w:rsidR="00F61F8E" w:rsidRPr="002B3F36" w14:paraId="3A4F4BBA" w14:textId="77777777">
        <w:trPr>
          <w:trHeight w:val="20"/>
        </w:trPr>
        <w:tc>
          <w:tcPr>
            <w:tcW w:w="0" w:type="auto"/>
          </w:tcPr>
          <w:p w14:paraId="200D2C71"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The Law of the Republic of Kazakhstan</w:t>
            </w:r>
            <w:r w:rsidRPr="002B3F36">
              <w:rPr>
                <w:rFonts w:ascii="Arial" w:hAnsi="Arial" w:cs="Arial"/>
                <w:spacing w:val="-1"/>
                <w:sz w:val="20"/>
                <w:szCs w:val="20"/>
              </w:rPr>
              <w:t xml:space="preserve"> </w:t>
            </w:r>
            <w:r w:rsidRPr="002B3F36">
              <w:rPr>
                <w:rFonts w:ascii="Arial" w:hAnsi="Arial" w:cs="Arial"/>
                <w:sz w:val="20"/>
                <w:szCs w:val="20"/>
              </w:rPr>
              <w:t>on State Administration and Local Self-Government (#148</w:t>
            </w:r>
            <w:r w:rsidRPr="002B3F36">
              <w:rPr>
                <w:rFonts w:ascii="Arial" w:hAnsi="Arial" w:cs="Arial"/>
                <w:spacing w:val="-3"/>
                <w:sz w:val="20"/>
                <w:szCs w:val="20"/>
              </w:rPr>
              <w:t xml:space="preserve"> </w:t>
            </w:r>
            <w:r w:rsidRPr="002B3F36">
              <w:rPr>
                <w:rFonts w:ascii="Arial" w:hAnsi="Arial" w:cs="Arial"/>
                <w:sz w:val="20"/>
                <w:szCs w:val="20"/>
              </w:rPr>
              <w:t>adopted</w:t>
            </w:r>
            <w:r w:rsidRPr="002B3F36">
              <w:rPr>
                <w:rFonts w:ascii="Arial" w:hAnsi="Arial" w:cs="Arial"/>
                <w:spacing w:val="-3"/>
                <w:sz w:val="20"/>
                <w:szCs w:val="20"/>
              </w:rPr>
              <w:t xml:space="preserve"> </w:t>
            </w:r>
            <w:r w:rsidRPr="002B3F36">
              <w:rPr>
                <w:rFonts w:ascii="Arial" w:hAnsi="Arial" w:cs="Arial"/>
                <w:sz w:val="20"/>
                <w:szCs w:val="20"/>
              </w:rPr>
              <w:t>on</w:t>
            </w:r>
            <w:r w:rsidRPr="002B3F36">
              <w:rPr>
                <w:rFonts w:ascii="Arial" w:hAnsi="Arial" w:cs="Arial"/>
                <w:spacing w:val="-4"/>
                <w:sz w:val="20"/>
                <w:szCs w:val="20"/>
              </w:rPr>
              <w:t xml:space="preserve"> </w:t>
            </w:r>
            <w:r w:rsidRPr="002B3F36">
              <w:rPr>
                <w:rFonts w:ascii="Arial" w:hAnsi="Arial" w:cs="Arial"/>
                <w:sz w:val="20"/>
                <w:szCs w:val="20"/>
              </w:rPr>
              <w:t>23</w:t>
            </w:r>
            <w:r w:rsidRPr="002B3F36">
              <w:rPr>
                <w:rFonts w:ascii="Arial" w:hAnsi="Arial" w:cs="Arial"/>
                <w:spacing w:val="-3"/>
                <w:sz w:val="20"/>
                <w:szCs w:val="20"/>
              </w:rPr>
              <w:t xml:space="preserve"> </w:t>
            </w:r>
            <w:r w:rsidRPr="002B3F36">
              <w:rPr>
                <w:rFonts w:ascii="Arial" w:hAnsi="Arial" w:cs="Arial"/>
                <w:sz w:val="20"/>
                <w:szCs w:val="20"/>
              </w:rPr>
              <w:t>January</w:t>
            </w:r>
            <w:r w:rsidRPr="002B3F36">
              <w:rPr>
                <w:rFonts w:ascii="Arial" w:hAnsi="Arial" w:cs="Arial"/>
                <w:spacing w:val="-5"/>
                <w:sz w:val="20"/>
                <w:szCs w:val="20"/>
              </w:rPr>
              <w:t xml:space="preserve"> </w:t>
            </w:r>
            <w:r w:rsidRPr="002B3F36">
              <w:rPr>
                <w:rFonts w:ascii="Arial" w:hAnsi="Arial" w:cs="Arial"/>
                <w:sz w:val="20"/>
                <w:szCs w:val="20"/>
              </w:rPr>
              <w:t>2001,</w:t>
            </w:r>
            <w:r w:rsidRPr="002B3F36">
              <w:rPr>
                <w:rFonts w:ascii="Arial" w:hAnsi="Arial" w:cs="Arial"/>
                <w:spacing w:val="-4"/>
                <w:sz w:val="20"/>
                <w:szCs w:val="20"/>
              </w:rPr>
              <w:t xml:space="preserve"> </w:t>
            </w:r>
            <w:r w:rsidRPr="002B3F36">
              <w:rPr>
                <w:rFonts w:ascii="Arial" w:hAnsi="Arial" w:cs="Arial"/>
                <w:sz w:val="20"/>
                <w:szCs w:val="20"/>
              </w:rPr>
              <w:t>last</w:t>
            </w:r>
            <w:r w:rsidRPr="002B3F36">
              <w:rPr>
                <w:rFonts w:ascii="Arial" w:hAnsi="Arial" w:cs="Arial"/>
                <w:spacing w:val="-3"/>
                <w:sz w:val="20"/>
                <w:szCs w:val="20"/>
              </w:rPr>
              <w:t xml:space="preserve"> </w:t>
            </w:r>
            <w:r w:rsidRPr="002B3F36">
              <w:rPr>
                <w:rFonts w:ascii="Arial" w:hAnsi="Arial" w:cs="Arial"/>
                <w:sz w:val="20"/>
                <w:szCs w:val="20"/>
              </w:rPr>
              <w:t>amendment</w:t>
            </w:r>
            <w:r w:rsidRPr="002B3F36">
              <w:rPr>
                <w:rFonts w:ascii="Arial" w:hAnsi="Arial" w:cs="Arial"/>
                <w:spacing w:val="-5"/>
                <w:sz w:val="20"/>
                <w:szCs w:val="20"/>
              </w:rPr>
              <w:t xml:space="preserve"> </w:t>
            </w:r>
            <w:r w:rsidRPr="002B3F36">
              <w:rPr>
                <w:rFonts w:ascii="Arial" w:hAnsi="Arial" w:cs="Arial"/>
                <w:sz w:val="20"/>
                <w:szCs w:val="20"/>
              </w:rPr>
              <w:t>dated</w:t>
            </w:r>
            <w:r w:rsidRPr="002B3F36">
              <w:rPr>
                <w:rFonts w:ascii="Arial" w:hAnsi="Arial" w:cs="Arial"/>
                <w:spacing w:val="-3"/>
                <w:sz w:val="20"/>
                <w:szCs w:val="20"/>
              </w:rPr>
              <w:t xml:space="preserve"> </w:t>
            </w:r>
            <w:r w:rsidRPr="002B3F36">
              <w:rPr>
                <w:rFonts w:ascii="Arial" w:hAnsi="Arial" w:cs="Arial"/>
                <w:sz w:val="20"/>
                <w:szCs w:val="20"/>
              </w:rPr>
              <w:t>21</w:t>
            </w:r>
            <w:r w:rsidRPr="002B3F36">
              <w:rPr>
                <w:rFonts w:ascii="Arial" w:hAnsi="Arial" w:cs="Arial"/>
                <w:spacing w:val="-3"/>
                <w:sz w:val="20"/>
                <w:szCs w:val="20"/>
              </w:rPr>
              <w:t xml:space="preserve"> </w:t>
            </w:r>
            <w:r w:rsidRPr="002B3F36">
              <w:rPr>
                <w:rFonts w:ascii="Arial" w:hAnsi="Arial" w:cs="Arial"/>
                <w:sz w:val="20"/>
                <w:szCs w:val="20"/>
              </w:rPr>
              <w:t>May</w:t>
            </w:r>
            <w:r w:rsidRPr="002B3F36">
              <w:rPr>
                <w:rFonts w:ascii="Arial" w:hAnsi="Arial" w:cs="Arial"/>
                <w:spacing w:val="-4"/>
                <w:sz w:val="20"/>
                <w:szCs w:val="20"/>
              </w:rPr>
              <w:t xml:space="preserve"> </w:t>
            </w:r>
            <w:r w:rsidRPr="002B3F36">
              <w:rPr>
                <w:rFonts w:ascii="Arial" w:hAnsi="Arial" w:cs="Arial"/>
                <w:sz w:val="20"/>
                <w:szCs w:val="20"/>
              </w:rPr>
              <w:t>2024</w:t>
            </w:r>
            <w:r w:rsidRPr="002B3F36">
              <w:rPr>
                <w:rFonts w:ascii="Arial" w:hAnsi="Arial" w:cs="Arial"/>
                <w:spacing w:val="-3"/>
                <w:sz w:val="20"/>
                <w:szCs w:val="20"/>
              </w:rPr>
              <w:t xml:space="preserve"> </w:t>
            </w:r>
            <w:r w:rsidRPr="002B3F36">
              <w:rPr>
                <w:rFonts w:ascii="Arial" w:hAnsi="Arial" w:cs="Arial"/>
                <w:sz w:val="20"/>
                <w:szCs w:val="20"/>
              </w:rPr>
              <w:t>to</w:t>
            </w:r>
            <w:r w:rsidRPr="002B3F36">
              <w:rPr>
                <w:rFonts w:ascii="Arial" w:hAnsi="Arial" w:cs="Arial"/>
                <w:spacing w:val="-2"/>
                <w:sz w:val="20"/>
                <w:szCs w:val="20"/>
              </w:rPr>
              <w:t xml:space="preserve"> </w:t>
            </w:r>
            <w:r w:rsidRPr="002B3F36">
              <w:rPr>
                <w:rFonts w:ascii="Arial" w:hAnsi="Arial" w:cs="Arial"/>
                <w:sz w:val="20"/>
                <w:szCs w:val="20"/>
              </w:rPr>
              <w:t>be</w:t>
            </w:r>
            <w:r w:rsidRPr="002B3F36">
              <w:rPr>
                <w:rFonts w:ascii="Arial" w:hAnsi="Arial" w:cs="Arial"/>
                <w:spacing w:val="-5"/>
                <w:sz w:val="20"/>
                <w:szCs w:val="20"/>
              </w:rPr>
              <w:t xml:space="preserve"> </w:t>
            </w:r>
            <w:r w:rsidRPr="002B3F36">
              <w:rPr>
                <w:rFonts w:ascii="Arial" w:hAnsi="Arial" w:cs="Arial"/>
                <w:sz w:val="20"/>
                <w:szCs w:val="20"/>
              </w:rPr>
              <w:t>enforced</w:t>
            </w:r>
            <w:r w:rsidRPr="002B3F36">
              <w:rPr>
                <w:rFonts w:ascii="Arial" w:hAnsi="Arial" w:cs="Arial"/>
                <w:spacing w:val="-2"/>
                <w:sz w:val="20"/>
                <w:szCs w:val="20"/>
              </w:rPr>
              <w:t xml:space="preserve"> </w:t>
            </w:r>
            <w:r w:rsidRPr="002B3F36">
              <w:rPr>
                <w:rFonts w:ascii="Arial" w:hAnsi="Arial" w:cs="Arial"/>
                <w:sz w:val="20"/>
                <w:szCs w:val="20"/>
              </w:rPr>
              <w:t>on</w:t>
            </w:r>
          </w:p>
          <w:p w14:paraId="346EB48E"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22</w:t>
            </w:r>
            <w:r w:rsidRPr="002B3F36">
              <w:rPr>
                <w:rFonts w:ascii="Arial" w:hAnsi="Arial" w:cs="Arial"/>
                <w:spacing w:val="-2"/>
                <w:sz w:val="20"/>
                <w:szCs w:val="20"/>
              </w:rPr>
              <w:t xml:space="preserve"> </w:t>
            </w:r>
            <w:r w:rsidRPr="002B3F36">
              <w:rPr>
                <w:rFonts w:ascii="Arial" w:hAnsi="Arial" w:cs="Arial"/>
                <w:sz w:val="20"/>
                <w:szCs w:val="20"/>
              </w:rPr>
              <w:t>July</w:t>
            </w:r>
            <w:r w:rsidRPr="002B3F36">
              <w:rPr>
                <w:rFonts w:ascii="Arial" w:hAnsi="Arial" w:cs="Arial"/>
                <w:spacing w:val="-3"/>
                <w:sz w:val="20"/>
                <w:szCs w:val="20"/>
              </w:rPr>
              <w:t xml:space="preserve"> </w:t>
            </w:r>
            <w:r w:rsidRPr="002B3F36">
              <w:rPr>
                <w:rFonts w:ascii="Arial" w:hAnsi="Arial" w:cs="Arial"/>
                <w:spacing w:val="-4"/>
                <w:sz w:val="20"/>
                <w:szCs w:val="20"/>
              </w:rPr>
              <w:t>2024)</w:t>
            </w:r>
          </w:p>
        </w:tc>
        <w:tc>
          <w:tcPr>
            <w:tcW w:w="0" w:type="auto"/>
          </w:tcPr>
          <w:p w14:paraId="16118CB2" w14:textId="77777777" w:rsidR="00F61F8E" w:rsidRPr="002B3F36" w:rsidRDefault="000F264B">
            <w:pPr>
              <w:pStyle w:val="TableParagraph"/>
              <w:spacing w:before="0"/>
              <w:ind w:left="105"/>
              <w:jc w:val="both"/>
              <w:rPr>
                <w:rFonts w:ascii="Arial" w:hAnsi="Arial" w:cs="Arial"/>
                <w:sz w:val="20"/>
                <w:szCs w:val="20"/>
              </w:rPr>
            </w:pPr>
            <w:r w:rsidRPr="002B3F36">
              <w:rPr>
                <w:rFonts w:ascii="Arial" w:hAnsi="Arial" w:cs="Arial"/>
                <w:spacing w:val="-4"/>
                <w:sz w:val="20"/>
                <w:szCs w:val="20"/>
              </w:rPr>
              <w:t>2024</w:t>
            </w:r>
          </w:p>
        </w:tc>
      </w:tr>
      <w:tr w:rsidR="00F61F8E" w:rsidRPr="002B3F36" w14:paraId="5062B27A" w14:textId="77777777">
        <w:trPr>
          <w:trHeight w:val="20"/>
        </w:trPr>
        <w:tc>
          <w:tcPr>
            <w:tcW w:w="0" w:type="auto"/>
          </w:tcPr>
          <w:p w14:paraId="0F18E7DA"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Civil</w:t>
            </w:r>
            <w:r w:rsidRPr="002B3F36">
              <w:rPr>
                <w:rFonts w:ascii="Arial" w:hAnsi="Arial" w:cs="Arial"/>
                <w:spacing w:val="-3"/>
                <w:sz w:val="20"/>
                <w:szCs w:val="20"/>
              </w:rPr>
              <w:t xml:space="preserve"> </w:t>
            </w:r>
            <w:r w:rsidRPr="002B3F36">
              <w:rPr>
                <w:rFonts w:ascii="Arial" w:hAnsi="Arial" w:cs="Arial"/>
                <w:sz w:val="20"/>
                <w:szCs w:val="20"/>
              </w:rPr>
              <w:t>Code</w:t>
            </w:r>
            <w:r w:rsidRPr="002B3F36">
              <w:rPr>
                <w:rFonts w:ascii="Arial" w:hAnsi="Arial" w:cs="Arial"/>
                <w:spacing w:val="-4"/>
                <w:sz w:val="20"/>
                <w:szCs w:val="20"/>
              </w:rPr>
              <w:t xml:space="preserve"> </w:t>
            </w:r>
            <w:r w:rsidRPr="002B3F36">
              <w:rPr>
                <w:rFonts w:ascii="Arial" w:hAnsi="Arial" w:cs="Arial"/>
                <w:sz w:val="20"/>
                <w:szCs w:val="20"/>
              </w:rPr>
              <w:t>(General</w:t>
            </w:r>
            <w:r w:rsidRPr="002B3F36">
              <w:rPr>
                <w:rFonts w:ascii="Arial" w:hAnsi="Arial" w:cs="Arial"/>
                <w:spacing w:val="-4"/>
                <w:sz w:val="20"/>
                <w:szCs w:val="20"/>
              </w:rPr>
              <w:t xml:space="preserve"> </w:t>
            </w:r>
            <w:r w:rsidRPr="002B3F36">
              <w:rPr>
                <w:rFonts w:ascii="Arial" w:hAnsi="Arial" w:cs="Arial"/>
                <w:sz w:val="20"/>
                <w:szCs w:val="20"/>
              </w:rPr>
              <w:t>Part)</w:t>
            </w:r>
            <w:r w:rsidRPr="002B3F36">
              <w:rPr>
                <w:rFonts w:ascii="Arial" w:hAnsi="Arial" w:cs="Arial"/>
                <w:spacing w:val="-5"/>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Republic</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Kazakhstan</w:t>
            </w:r>
            <w:r w:rsidRPr="002B3F36">
              <w:rPr>
                <w:rFonts w:ascii="Arial" w:hAnsi="Arial" w:cs="Arial"/>
                <w:spacing w:val="-6"/>
                <w:sz w:val="20"/>
                <w:szCs w:val="20"/>
              </w:rPr>
              <w:t xml:space="preserve"> </w:t>
            </w:r>
            <w:r w:rsidRPr="002B3F36">
              <w:rPr>
                <w:rFonts w:ascii="Arial" w:hAnsi="Arial" w:cs="Arial"/>
                <w:sz w:val="20"/>
                <w:szCs w:val="20"/>
              </w:rPr>
              <w:t>(adopted</w:t>
            </w:r>
            <w:r w:rsidRPr="002B3F36">
              <w:rPr>
                <w:rFonts w:ascii="Arial" w:hAnsi="Arial" w:cs="Arial"/>
                <w:spacing w:val="-4"/>
                <w:sz w:val="20"/>
                <w:szCs w:val="20"/>
              </w:rPr>
              <w:t xml:space="preserve"> </w:t>
            </w:r>
            <w:r w:rsidRPr="002B3F36">
              <w:rPr>
                <w:rFonts w:ascii="Arial" w:hAnsi="Arial" w:cs="Arial"/>
                <w:sz w:val="20"/>
                <w:szCs w:val="20"/>
              </w:rPr>
              <w:t>on</w:t>
            </w:r>
            <w:r w:rsidRPr="002B3F36">
              <w:rPr>
                <w:rFonts w:ascii="Arial" w:hAnsi="Arial" w:cs="Arial"/>
                <w:spacing w:val="-5"/>
                <w:sz w:val="20"/>
                <w:szCs w:val="20"/>
              </w:rPr>
              <w:t xml:space="preserve"> </w:t>
            </w:r>
            <w:r w:rsidRPr="002B3F36">
              <w:rPr>
                <w:rFonts w:ascii="Arial" w:hAnsi="Arial" w:cs="Arial"/>
                <w:sz w:val="20"/>
                <w:szCs w:val="20"/>
              </w:rPr>
              <w:t>27</w:t>
            </w:r>
            <w:r w:rsidRPr="002B3F36">
              <w:rPr>
                <w:rFonts w:ascii="Arial" w:hAnsi="Arial" w:cs="Arial"/>
                <w:spacing w:val="-4"/>
                <w:sz w:val="20"/>
                <w:szCs w:val="20"/>
              </w:rPr>
              <w:t xml:space="preserve"> </w:t>
            </w:r>
            <w:r w:rsidRPr="002B3F36">
              <w:rPr>
                <w:rFonts w:ascii="Arial" w:hAnsi="Arial" w:cs="Arial"/>
                <w:sz w:val="20"/>
                <w:szCs w:val="20"/>
              </w:rPr>
              <w:t>December</w:t>
            </w:r>
            <w:r w:rsidRPr="002B3F36">
              <w:rPr>
                <w:rFonts w:ascii="Arial" w:hAnsi="Arial" w:cs="Arial"/>
                <w:spacing w:val="-4"/>
                <w:sz w:val="20"/>
                <w:szCs w:val="20"/>
              </w:rPr>
              <w:t xml:space="preserve"> </w:t>
            </w:r>
            <w:r w:rsidRPr="002B3F36">
              <w:rPr>
                <w:rFonts w:ascii="Arial" w:hAnsi="Arial" w:cs="Arial"/>
                <w:sz w:val="20"/>
                <w:szCs w:val="20"/>
              </w:rPr>
              <w:t>1994,</w:t>
            </w:r>
            <w:r w:rsidRPr="002B3F36">
              <w:rPr>
                <w:rFonts w:ascii="Arial" w:hAnsi="Arial" w:cs="Arial"/>
                <w:spacing w:val="-5"/>
                <w:sz w:val="20"/>
                <w:szCs w:val="20"/>
              </w:rPr>
              <w:t xml:space="preserve"> </w:t>
            </w:r>
            <w:r w:rsidRPr="002B3F36">
              <w:rPr>
                <w:rFonts w:ascii="Arial" w:hAnsi="Arial" w:cs="Arial"/>
                <w:sz w:val="20"/>
                <w:szCs w:val="20"/>
              </w:rPr>
              <w:t>last amendment dated 12 July 2022)</w:t>
            </w:r>
          </w:p>
        </w:tc>
        <w:tc>
          <w:tcPr>
            <w:tcW w:w="0" w:type="auto"/>
          </w:tcPr>
          <w:p w14:paraId="49836266" w14:textId="77777777" w:rsidR="00F61F8E" w:rsidRPr="002B3F36" w:rsidRDefault="000F264B">
            <w:pPr>
              <w:pStyle w:val="TableParagraph"/>
              <w:spacing w:before="0"/>
              <w:ind w:left="105"/>
              <w:jc w:val="both"/>
              <w:rPr>
                <w:rFonts w:ascii="Arial" w:hAnsi="Arial" w:cs="Arial"/>
                <w:spacing w:val="-4"/>
                <w:sz w:val="20"/>
                <w:szCs w:val="20"/>
              </w:rPr>
            </w:pPr>
            <w:r w:rsidRPr="002B3F36">
              <w:rPr>
                <w:rFonts w:ascii="Arial" w:hAnsi="Arial" w:cs="Arial"/>
                <w:spacing w:val="-4"/>
                <w:sz w:val="20"/>
                <w:szCs w:val="20"/>
              </w:rPr>
              <w:t>2022</w:t>
            </w:r>
          </w:p>
        </w:tc>
      </w:tr>
      <w:tr w:rsidR="00F61F8E" w:rsidRPr="002B3F36" w14:paraId="2DFD480A" w14:textId="77777777">
        <w:trPr>
          <w:trHeight w:val="20"/>
        </w:trPr>
        <w:tc>
          <w:tcPr>
            <w:tcW w:w="0" w:type="auto"/>
          </w:tcPr>
          <w:p w14:paraId="7565E0D6"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The Law of the Republic of Kazakhstan on architectural, urban planning and construction activities</w:t>
            </w:r>
            <w:r w:rsidRPr="002B3F36">
              <w:rPr>
                <w:rFonts w:ascii="Arial" w:hAnsi="Arial" w:cs="Arial"/>
                <w:spacing w:val="-4"/>
                <w:sz w:val="20"/>
                <w:szCs w:val="20"/>
              </w:rPr>
              <w:t xml:space="preserve"> </w:t>
            </w:r>
            <w:r w:rsidRPr="002B3F36">
              <w:rPr>
                <w:rFonts w:ascii="Arial" w:hAnsi="Arial" w:cs="Arial"/>
                <w:sz w:val="20"/>
                <w:szCs w:val="20"/>
              </w:rPr>
              <w:t>in</w:t>
            </w:r>
            <w:r w:rsidRPr="002B3F36">
              <w:rPr>
                <w:rFonts w:ascii="Arial" w:hAnsi="Arial" w:cs="Arial"/>
                <w:spacing w:val="-5"/>
                <w:sz w:val="20"/>
                <w:szCs w:val="20"/>
              </w:rPr>
              <w:t xml:space="preserve"> </w:t>
            </w: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Republic</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8"/>
                <w:sz w:val="20"/>
                <w:szCs w:val="20"/>
              </w:rPr>
              <w:t xml:space="preserve"> </w:t>
            </w:r>
            <w:r w:rsidRPr="002B3F36">
              <w:rPr>
                <w:rFonts w:ascii="Arial" w:hAnsi="Arial" w:cs="Arial"/>
                <w:sz w:val="20"/>
                <w:szCs w:val="20"/>
              </w:rPr>
              <w:t>Kazakhstan</w:t>
            </w:r>
            <w:r w:rsidRPr="002B3F36">
              <w:rPr>
                <w:rFonts w:ascii="Arial" w:hAnsi="Arial" w:cs="Arial"/>
                <w:spacing w:val="-6"/>
                <w:sz w:val="20"/>
                <w:szCs w:val="20"/>
              </w:rPr>
              <w:t xml:space="preserve"> </w:t>
            </w:r>
            <w:r w:rsidRPr="002B3F36">
              <w:rPr>
                <w:rFonts w:ascii="Arial" w:hAnsi="Arial" w:cs="Arial"/>
                <w:sz w:val="20"/>
                <w:szCs w:val="20"/>
              </w:rPr>
              <w:t>(#242-II</w:t>
            </w:r>
            <w:r w:rsidRPr="002B3F36">
              <w:rPr>
                <w:rFonts w:ascii="Arial" w:hAnsi="Arial" w:cs="Arial"/>
                <w:spacing w:val="-3"/>
                <w:sz w:val="20"/>
                <w:szCs w:val="20"/>
              </w:rPr>
              <w:t xml:space="preserve"> </w:t>
            </w:r>
            <w:r w:rsidRPr="002B3F36">
              <w:rPr>
                <w:rFonts w:ascii="Arial" w:hAnsi="Arial" w:cs="Arial"/>
                <w:sz w:val="20"/>
                <w:szCs w:val="20"/>
              </w:rPr>
              <w:t>adopted</w:t>
            </w:r>
            <w:r w:rsidRPr="002B3F36">
              <w:rPr>
                <w:rFonts w:ascii="Arial" w:hAnsi="Arial" w:cs="Arial"/>
                <w:spacing w:val="-4"/>
                <w:sz w:val="20"/>
                <w:szCs w:val="20"/>
              </w:rPr>
              <w:t xml:space="preserve"> </w:t>
            </w:r>
            <w:r w:rsidRPr="002B3F36">
              <w:rPr>
                <w:rFonts w:ascii="Arial" w:hAnsi="Arial" w:cs="Arial"/>
                <w:sz w:val="20"/>
                <w:szCs w:val="20"/>
              </w:rPr>
              <w:t>on</w:t>
            </w:r>
            <w:r w:rsidRPr="002B3F36">
              <w:rPr>
                <w:rFonts w:ascii="Arial" w:hAnsi="Arial" w:cs="Arial"/>
                <w:spacing w:val="-5"/>
                <w:sz w:val="20"/>
                <w:szCs w:val="20"/>
              </w:rPr>
              <w:t xml:space="preserve"> </w:t>
            </w:r>
            <w:r w:rsidRPr="002B3F36">
              <w:rPr>
                <w:rFonts w:ascii="Arial" w:hAnsi="Arial" w:cs="Arial"/>
                <w:sz w:val="20"/>
                <w:szCs w:val="20"/>
              </w:rPr>
              <w:t>16</w:t>
            </w:r>
            <w:r w:rsidRPr="002B3F36">
              <w:rPr>
                <w:rFonts w:ascii="Arial" w:hAnsi="Arial" w:cs="Arial"/>
                <w:spacing w:val="-4"/>
                <w:sz w:val="20"/>
                <w:szCs w:val="20"/>
              </w:rPr>
              <w:t xml:space="preserve"> </w:t>
            </w:r>
            <w:r w:rsidRPr="002B3F36">
              <w:rPr>
                <w:rFonts w:ascii="Arial" w:hAnsi="Arial" w:cs="Arial"/>
                <w:sz w:val="20"/>
                <w:szCs w:val="20"/>
              </w:rPr>
              <w:t>July</w:t>
            </w:r>
            <w:r w:rsidRPr="002B3F36">
              <w:rPr>
                <w:rFonts w:ascii="Arial" w:hAnsi="Arial" w:cs="Arial"/>
                <w:spacing w:val="-5"/>
                <w:sz w:val="20"/>
                <w:szCs w:val="20"/>
              </w:rPr>
              <w:t xml:space="preserve"> </w:t>
            </w:r>
            <w:r w:rsidRPr="002B3F36">
              <w:rPr>
                <w:rFonts w:ascii="Arial" w:hAnsi="Arial" w:cs="Arial"/>
                <w:sz w:val="20"/>
                <w:szCs w:val="20"/>
              </w:rPr>
              <w:t>2001,</w:t>
            </w:r>
            <w:r w:rsidRPr="002B3F36">
              <w:rPr>
                <w:rFonts w:ascii="Arial" w:hAnsi="Arial" w:cs="Arial"/>
                <w:spacing w:val="-5"/>
                <w:sz w:val="20"/>
                <w:szCs w:val="20"/>
              </w:rPr>
              <w:t xml:space="preserve"> </w:t>
            </w:r>
            <w:r w:rsidRPr="002B3F36">
              <w:rPr>
                <w:rFonts w:ascii="Arial" w:hAnsi="Arial" w:cs="Arial"/>
                <w:sz w:val="20"/>
                <w:szCs w:val="20"/>
              </w:rPr>
              <w:t>last</w:t>
            </w:r>
            <w:r w:rsidRPr="002B3F36">
              <w:rPr>
                <w:rFonts w:ascii="Arial" w:hAnsi="Arial" w:cs="Arial"/>
                <w:spacing w:val="-6"/>
                <w:sz w:val="20"/>
                <w:szCs w:val="20"/>
              </w:rPr>
              <w:t xml:space="preserve"> </w:t>
            </w:r>
            <w:r w:rsidRPr="002B3F36">
              <w:rPr>
                <w:rFonts w:ascii="Arial" w:hAnsi="Arial" w:cs="Arial"/>
                <w:sz w:val="20"/>
                <w:szCs w:val="20"/>
              </w:rPr>
              <w:t>amendment 21 May 2024 to be enforced on 22 July 2024)</w:t>
            </w:r>
          </w:p>
        </w:tc>
        <w:tc>
          <w:tcPr>
            <w:tcW w:w="0" w:type="auto"/>
          </w:tcPr>
          <w:p w14:paraId="606F6EDF" w14:textId="77777777" w:rsidR="00F61F8E" w:rsidRPr="002B3F36" w:rsidRDefault="000F264B">
            <w:pPr>
              <w:pStyle w:val="TableParagraph"/>
              <w:spacing w:before="0"/>
              <w:ind w:left="105"/>
              <w:jc w:val="both"/>
              <w:rPr>
                <w:rFonts w:ascii="Arial" w:hAnsi="Arial" w:cs="Arial"/>
                <w:spacing w:val="-4"/>
                <w:sz w:val="20"/>
                <w:szCs w:val="20"/>
              </w:rPr>
            </w:pPr>
            <w:r w:rsidRPr="002B3F36">
              <w:rPr>
                <w:rFonts w:ascii="Arial" w:hAnsi="Arial" w:cs="Arial"/>
                <w:spacing w:val="-4"/>
                <w:sz w:val="20"/>
                <w:szCs w:val="20"/>
              </w:rPr>
              <w:t>2024</w:t>
            </w:r>
          </w:p>
        </w:tc>
      </w:tr>
      <w:tr w:rsidR="00F61F8E" w:rsidRPr="002B3F36" w14:paraId="103ED58C" w14:textId="77777777">
        <w:trPr>
          <w:trHeight w:val="20"/>
        </w:trPr>
        <w:tc>
          <w:tcPr>
            <w:tcW w:w="0" w:type="auto"/>
          </w:tcPr>
          <w:p w14:paraId="68C1781B"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lastRenderedPageBreak/>
              <w:t>The</w:t>
            </w:r>
            <w:r w:rsidRPr="002B3F36">
              <w:rPr>
                <w:rFonts w:ascii="Arial" w:hAnsi="Arial" w:cs="Arial"/>
                <w:spacing w:val="-5"/>
                <w:sz w:val="20"/>
                <w:szCs w:val="20"/>
              </w:rPr>
              <w:t xml:space="preserve"> </w:t>
            </w:r>
            <w:r w:rsidRPr="002B3F36">
              <w:rPr>
                <w:rFonts w:ascii="Arial" w:hAnsi="Arial" w:cs="Arial"/>
                <w:sz w:val="20"/>
                <w:szCs w:val="20"/>
              </w:rPr>
              <w:t>Law</w:t>
            </w:r>
            <w:r w:rsidRPr="002B3F36">
              <w:rPr>
                <w:rFonts w:ascii="Arial" w:hAnsi="Arial" w:cs="Arial"/>
                <w:spacing w:val="-6"/>
                <w:sz w:val="20"/>
                <w:szCs w:val="20"/>
              </w:rPr>
              <w:t xml:space="preserve"> </w:t>
            </w:r>
            <w:r w:rsidRPr="002B3F36">
              <w:rPr>
                <w:rFonts w:ascii="Arial" w:hAnsi="Arial" w:cs="Arial"/>
                <w:sz w:val="20"/>
                <w:szCs w:val="20"/>
              </w:rPr>
              <w:t>of</w:t>
            </w:r>
            <w:r w:rsidRPr="002B3F36">
              <w:rPr>
                <w:rFonts w:ascii="Arial" w:hAnsi="Arial" w:cs="Arial"/>
                <w:spacing w:val="-6"/>
                <w:sz w:val="20"/>
                <w:szCs w:val="20"/>
              </w:rPr>
              <w:t xml:space="preserve"> </w:t>
            </w:r>
            <w:r w:rsidRPr="002B3F36">
              <w:rPr>
                <w:rFonts w:ascii="Arial" w:hAnsi="Arial" w:cs="Arial"/>
                <w:sz w:val="20"/>
                <w:szCs w:val="20"/>
              </w:rPr>
              <w:t>the</w:t>
            </w:r>
            <w:r w:rsidRPr="002B3F36">
              <w:rPr>
                <w:rFonts w:ascii="Arial" w:hAnsi="Arial" w:cs="Arial"/>
                <w:spacing w:val="-3"/>
                <w:sz w:val="20"/>
                <w:szCs w:val="20"/>
              </w:rPr>
              <w:t xml:space="preserve"> </w:t>
            </w:r>
            <w:r w:rsidRPr="002B3F36">
              <w:rPr>
                <w:rFonts w:ascii="Arial" w:hAnsi="Arial" w:cs="Arial"/>
                <w:sz w:val="20"/>
                <w:szCs w:val="20"/>
              </w:rPr>
              <w:t>Republic</w:t>
            </w:r>
            <w:r w:rsidRPr="002B3F36">
              <w:rPr>
                <w:rFonts w:ascii="Arial" w:hAnsi="Arial" w:cs="Arial"/>
                <w:spacing w:val="-5"/>
                <w:sz w:val="20"/>
                <w:szCs w:val="20"/>
              </w:rPr>
              <w:t xml:space="preserve"> </w:t>
            </w:r>
            <w:r w:rsidRPr="002B3F36">
              <w:rPr>
                <w:rFonts w:ascii="Arial" w:hAnsi="Arial" w:cs="Arial"/>
                <w:sz w:val="20"/>
                <w:szCs w:val="20"/>
              </w:rPr>
              <w:t>of</w:t>
            </w:r>
            <w:r w:rsidRPr="002B3F36">
              <w:rPr>
                <w:rFonts w:ascii="Arial" w:hAnsi="Arial" w:cs="Arial"/>
                <w:spacing w:val="-6"/>
                <w:sz w:val="20"/>
                <w:szCs w:val="20"/>
              </w:rPr>
              <w:t xml:space="preserve"> </w:t>
            </w:r>
            <w:r w:rsidRPr="002B3F36">
              <w:rPr>
                <w:rFonts w:ascii="Arial" w:hAnsi="Arial" w:cs="Arial"/>
                <w:sz w:val="20"/>
                <w:szCs w:val="20"/>
              </w:rPr>
              <w:t>Kazakhstan</w:t>
            </w:r>
            <w:r w:rsidRPr="002B3F36">
              <w:rPr>
                <w:rFonts w:ascii="Arial" w:hAnsi="Arial" w:cs="Arial"/>
                <w:spacing w:val="-7"/>
                <w:sz w:val="20"/>
                <w:szCs w:val="20"/>
              </w:rPr>
              <w:t xml:space="preserve"> </w:t>
            </w:r>
            <w:r w:rsidRPr="002B3F36">
              <w:rPr>
                <w:rFonts w:ascii="Arial" w:hAnsi="Arial" w:cs="Arial"/>
                <w:sz w:val="20"/>
                <w:szCs w:val="20"/>
              </w:rPr>
              <w:t>“On</w:t>
            </w:r>
            <w:r w:rsidRPr="002B3F36">
              <w:rPr>
                <w:rFonts w:ascii="Arial" w:hAnsi="Arial" w:cs="Arial"/>
                <w:spacing w:val="-6"/>
                <w:sz w:val="20"/>
                <w:szCs w:val="20"/>
              </w:rPr>
              <w:t xml:space="preserve"> </w:t>
            </w:r>
            <w:r w:rsidRPr="002B3F36">
              <w:rPr>
                <w:rFonts w:ascii="Arial" w:hAnsi="Arial" w:cs="Arial"/>
                <w:sz w:val="20"/>
                <w:szCs w:val="20"/>
              </w:rPr>
              <w:t>appraisal</w:t>
            </w:r>
            <w:r w:rsidRPr="002B3F36">
              <w:rPr>
                <w:rFonts w:ascii="Arial" w:hAnsi="Arial" w:cs="Arial"/>
                <w:spacing w:val="-5"/>
                <w:sz w:val="20"/>
                <w:szCs w:val="20"/>
              </w:rPr>
              <w:t xml:space="preserve"> </w:t>
            </w:r>
            <w:r w:rsidRPr="002B3F36">
              <w:rPr>
                <w:rFonts w:ascii="Arial" w:hAnsi="Arial" w:cs="Arial"/>
                <w:sz w:val="20"/>
                <w:szCs w:val="20"/>
              </w:rPr>
              <w:t>activity</w:t>
            </w:r>
            <w:r w:rsidRPr="002B3F36">
              <w:rPr>
                <w:rFonts w:ascii="Arial" w:hAnsi="Arial" w:cs="Arial"/>
                <w:spacing w:val="-6"/>
                <w:sz w:val="20"/>
                <w:szCs w:val="20"/>
              </w:rPr>
              <w:t xml:space="preserve"> </w:t>
            </w:r>
            <w:r w:rsidRPr="002B3F36">
              <w:rPr>
                <w:rFonts w:ascii="Arial" w:hAnsi="Arial" w:cs="Arial"/>
                <w:sz w:val="20"/>
                <w:szCs w:val="20"/>
              </w:rPr>
              <w:t>in</w:t>
            </w:r>
            <w:r w:rsidRPr="002B3F36">
              <w:rPr>
                <w:rFonts w:ascii="Arial" w:hAnsi="Arial" w:cs="Arial"/>
                <w:spacing w:val="-6"/>
                <w:sz w:val="20"/>
                <w:szCs w:val="20"/>
              </w:rPr>
              <w:t xml:space="preserve"> </w:t>
            </w:r>
            <w:r w:rsidRPr="002B3F36">
              <w:rPr>
                <w:rFonts w:ascii="Arial" w:hAnsi="Arial" w:cs="Arial"/>
                <w:sz w:val="20"/>
                <w:szCs w:val="20"/>
              </w:rPr>
              <w:t>the</w:t>
            </w:r>
            <w:r w:rsidRPr="002B3F36">
              <w:rPr>
                <w:rFonts w:ascii="Arial" w:hAnsi="Arial" w:cs="Arial"/>
                <w:spacing w:val="-5"/>
                <w:sz w:val="20"/>
                <w:szCs w:val="20"/>
              </w:rPr>
              <w:t xml:space="preserve"> </w:t>
            </w:r>
            <w:r w:rsidRPr="002B3F36">
              <w:rPr>
                <w:rFonts w:ascii="Arial" w:hAnsi="Arial" w:cs="Arial"/>
                <w:sz w:val="20"/>
                <w:szCs w:val="20"/>
              </w:rPr>
              <w:t>Republic</w:t>
            </w:r>
            <w:r w:rsidRPr="002B3F36">
              <w:rPr>
                <w:rFonts w:ascii="Arial" w:hAnsi="Arial" w:cs="Arial"/>
                <w:spacing w:val="-5"/>
                <w:sz w:val="20"/>
                <w:szCs w:val="20"/>
              </w:rPr>
              <w:t xml:space="preserve"> </w:t>
            </w:r>
            <w:r w:rsidRPr="002B3F36">
              <w:rPr>
                <w:rFonts w:ascii="Arial" w:hAnsi="Arial" w:cs="Arial"/>
                <w:sz w:val="20"/>
                <w:szCs w:val="20"/>
              </w:rPr>
              <w:t>of</w:t>
            </w:r>
            <w:r w:rsidRPr="002B3F36">
              <w:rPr>
                <w:rFonts w:ascii="Arial" w:hAnsi="Arial" w:cs="Arial"/>
                <w:spacing w:val="-6"/>
                <w:sz w:val="20"/>
                <w:szCs w:val="20"/>
              </w:rPr>
              <w:t xml:space="preserve"> </w:t>
            </w:r>
            <w:r w:rsidRPr="002B3F36">
              <w:rPr>
                <w:rFonts w:ascii="Arial" w:hAnsi="Arial" w:cs="Arial"/>
                <w:sz w:val="20"/>
                <w:szCs w:val="20"/>
              </w:rPr>
              <w:t>Kazakhstan” #133-VI adopted 10 January 2018, last amendment 31 December 2021)</w:t>
            </w:r>
          </w:p>
        </w:tc>
        <w:tc>
          <w:tcPr>
            <w:tcW w:w="0" w:type="auto"/>
          </w:tcPr>
          <w:p w14:paraId="612980CB" w14:textId="77777777" w:rsidR="00F61F8E" w:rsidRPr="002B3F36" w:rsidRDefault="000F264B">
            <w:pPr>
              <w:pStyle w:val="TableParagraph"/>
              <w:spacing w:before="0"/>
              <w:ind w:left="105"/>
              <w:jc w:val="both"/>
              <w:rPr>
                <w:rFonts w:ascii="Arial" w:hAnsi="Arial" w:cs="Arial"/>
                <w:spacing w:val="-4"/>
                <w:sz w:val="20"/>
                <w:szCs w:val="20"/>
              </w:rPr>
            </w:pPr>
            <w:r w:rsidRPr="002B3F36">
              <w:rPr>
                <w:rFonts w:ascii="Arial" w:hAnsi="Arial" w:cs="Arial"/>
                <w:spacing w:val="-4"/>
                <w:sz w:val="20"/>
                <w:szCs w:val="20"/>
              </w:rPr>
              <w:t>2021</w:t>
            </w:r>
          </w:p>
        </w:tc>
      </w:tr>
      <w:tr w:rsidR="00F61F8E" w:rsidRPr="002B3F36" w14:paraId="52E502B8" w14:textId="77777777">
        <w:trPr>
          <w:trHeight w:val="20"/>
        </w:trPr>
        <w:tc>
          <w:tcPr>
            <w:tcW w:w="0" w:type="auto"/>
          </w:tcPr>
          <w:p w14:paraId="5593219E"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Ecological</w:t>
            </w:r>
            <w:r w:rsidRPr="002B3F36">
              <w:rPr>
                <w:rFonts w:ascii="Arial" w:hAnsi="Arial" w:cs="Arial"/>
                <w:spacing w:val="-4"/>
                <w:sz w:val="20"/>
                <w:szCs w:val="20"/>
              </w:rPr>
              <w:t xml:space="preserve"> </w:t>
            </w:r>
            <w:r w:rsidRPr="002B3F36">
              <w:rPr>
                <w:rFonts w:ascii="Arial" w:hAnsi="Arial" w:cs="Arial"/>
                <w:sz w:val="20"/>
                <w:szCs w:val="20"/>
              </w:rPr>
              <w:t>Code</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Republic</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Kazakhstan</w:t>
            </w:r>
            <w:r w:rsidRPr="002B3F36">
              <w:rPr>
                <w:rFonts w:ascii="Arial" w:hAnsi="Arial" w:cs="Arial"/>
                <w:spacing w:val="-3"/>
                <w:sz w:val="20"/>
                <w:szCs w:val="20"/>
              </w:rPr>
              <w:t xml:space="preserve"> </w:t>
            </w:r>
            <w:r w:rsidRPr="002B3F36">
              <w:rPr>
                <w:rFonts w:ascii="Arial" w:hAnsi="Arial" w:cs="Arial"/>
                <w:sz w:val="20"/>
                <w:szCs w:val="20"/>
              </w:rPr>
              <w:t>(#</w:t>
            </w:r>
            <w:r w:rsidRPr="002B3F36">
              <w:rPr>
                <w:rFonts w:ascii="Arial" w:hAnsi="Arial" w:cs="Arial"/>
                <w:spacing w:val="-3"/>
                <w:sz w:val="20"/>
                <w:szCs w:val="20"/>
              </w:rPr>
              <w:t xml:space="preserve"> </w:t>
            </w:r>
            <w:r w:rsidRPr="002B3F36">
              <w:rPr>
                <w:rFonts w:ascii="Arial" w:hAnsi="Arial" w:cs="Arial"/>
                <w:sz w:val="20"/>
                <w:szCs w:val="20"/>
              </w:rPr>
              <w:t>400-VI</w:t>
            </w:r>
            <w:r w:rsidRPr="002B3F36">
              <w:rPr>
                <w:rFonts w:ascii="Arial" w:hAnsi="Arial" w:cs="Arial"/>
                <w:spacing w:val="-3"/>
                <w:sz w:val="20"/>
                <w:szCs w:val="20"/>
              </w:rPr>
              <w:t xml:space="preserve"> </w:t>
            </w:r>
            <w:r w:rsidRPr="002B3F36">
              <w:rPr>
                <w:rFonts w:ascii="Arial" w:hAnsi="Arial" w:cs="Arial"/>
                <w:sz w:val="20"/>
                <w:szCs w:val="20"/>
              </w:rPr>
              <w:t>adopted</w:t>
            </w:r>
            <w:r w:rsidRPr="002B3F36">
              <w:rPr>
                <w:rFonts w:ascii="Arial" w:hAnsi="Arial" w:cs="Arial"/>
                <w:spacing w:val="-4"/>
                <w:sz w:val="20"/>
                <w:szCs w:val="20"/>
              </w:rPr>
              <w:t xml:space="preserve"> </w:t>
            </w:r>
            <w:r w:rsidRPr="002B3F36">
              <w:rPr>
                <w:rFonts w:ascii="Arial" w:hAnsi="Arial" w:cs="Arial"/>
                <w:sz w:val="20"/>
                <w:szCs w:val="20"/>
              </w:rPr>
              <w:t>on</w:t>
            </w:r>
            <w:r w:rsidRPr="002B3F36">
              <w:rPr>
                <w:rFonts w:ascii="Arial" w:hAnsi="Arial" w:cs="Arial"/>
                <w:spacing w:val="-5"/>
                <w:sz w:val="20"/>
                <w:szCs w:val="20"/>
              </w:rPr>
              <w:t xml:space="preserve"> </w:t>
            </w:r>
            <w:r w:rsidRPr="002B3F36">
              <w:rPr>
                <w:rFonts w:ascii="Arial" w:hAnsi="Arial" w:cs="Arial"/>
                <w:sz w:val="20"/>
                <w:szCs w:val="20"/>
              </w:rPr>
              <w:t>2</w:t>
            </w:r>
            <w:r w:rsidRPr="002B3F36">
              <w:rPr>
                <w:rFonts w:ascii="Arial" w:hAnsi="Arial" w:cs="Arial"/>
                <w:spacing w:val="-3"/>
                <w:sz w:val="20"/>
                <w:szCs w:val="20"/>
              </w:rPr>
              <w:t xml:space="preserve"> </w:t>
            </w:r>
            <w:r w:rsidRPr="002B3F36">
              <w:rPr>
                <w:rFonts w:ascii="Arial" w:hAnsi="Arial" w:cs="Arial"/>
                <w:sz w:val="20"/>
                <w:szCs w:val="20"/>
              </w:rPr>
              <w:t>January</w:t>
            </w:r>
            <w:r w:rsidRPr="002B3F36">
              <w:rPr>
                <w:rFonts w:ascii="Arial" w:hAnsi="Arial" w:cs="Arial"/>
                <w:spacing w:val="-3"/>
                <w:sz w:val="20"/>
                <w:szCs w:val="20"/>
              </w:rPr>
              <w:t xml:space="preserve"> </w:t>
            </w:r>
            <w:r w:rsidRPr="002B3F36">
              <w:rPr>
                <w:rFonts w:ascii="Arial" w:hAnsi="Arial" w:cs="Arial"/>
                <w:sz w:val="20"/>
                <w:szCs w:val="20"/>
              </w:rPr>
              <w:t>2021,</w:t>
            </w:r>
            <w:r w:rsidRPr="002B3F36">
              <w:rPr>
                <w:rFonts w:ascii="Arial" w:hAnsi="Arial" w:cs="Arial"/>
                <w:spacing w:val="-5"/>
                <w:sz w:val="20"/>
                <w:szCs w:val="20"/>
              </w:rPr>
              <w:t xml:space="preserve"> </w:t>
            </w:r>
            <w:r w:rsidRPr="002B3F36">
              <w:rPr>
                <w:rFonts w:ascii="Arial" w:hAnsi="Arial" w:cs="Arial"/>
                <w:sz w:val="20"/>
                <w:szCs w:val="20"/>
              </w:rPr>
              <w:t>last amendment dated 21 May 2024 to be enforced on 22 July 2024)</w:t>
            </w:r>
          </w:p>
        </w:tc>
        <w:tc>
          <w:tcPr>
            <w:tcW w:w="0" w:type="auto"/>
          </w:tcPr>
          <w:p w14:paraId="087D885D" w14:textId="77777777" w:rsidR="00F61F8E" w:rsidRPr="002B3F36" w:rsidRDefault="000F264B">
            <w:pPr>
              <w:pStyle w:val="TableParagraph"/>
              <w:spacing w:before="0"/>
              <w:ind w:left="105"/>
              <w:jc w:val="both"/>
              <w:rPr>
                <w:rFonts w:ascii="Arial" w:hAnsi="Arial" w:cs="Arial"/>
                <w:spacing w:val="-4"/>
                <w:sz w:val="20"/>
                <w:szCs w:val="20"/>
              </w:rPr>
            </w:pPr>
            <w:r w:rsidRPr="002B3F36">
              <w:rPr>
                <w:rFonts w:ascii="Arial" w:hAnsi="Arial" w:cs="Arial"/>
                <w:spacing w:val="-4"/>
                <w:sz w:val="20"/>
                <w:szCs w:val="20"/>
              </w:rPr>
              <w:t>2024</w:t>
            </w:r>
          </w:p>
        </w:tc>
      </w:tr>
      <w:tr w:rsidR="00F61F8E" w:rsidRPr="002B3F36" w14:paraId="59B014CB" w14:textId="77777777">
        <w:trPr>
          <w:trHeight w:val="20"/>
        </w:trPr>
        <w:tc>
          <w:tcPr>
            <w:tcW w:w="0" w:type="auto"/>
          </w:tcPr>
          <w:p w14:paraId="36A629C1" w14:textId="77777777" w:rsidR="00F61F8E" w:rsidRPr="002B3F36" w:rsidRDefault="000F264B">
            <w:pPr>
              <w:pStyle w:val="TableParagraph"/>
              <w:spacing w:before="0"/>
              <w:ind w:left="122"/>
              <w:jc w:val="both"/>
              <w:rPr>
                <w:rFonts w:ascii="Arial" w:hAnsi="Arial" w:cs="Arial"/>
                <w:sz w:val="20"/>
                <w:szCs w:val="20"/>
              </w:rPr>
            </w:pPr>
            <w:r w:rsidRPr="002B3F36">
              <w:rPr>
                <w:rFonts w:ascii="Arial" w:hAnsi="Arial" w:cs="Arial"/>
                <w:sz w:val="20"/>
                <w:szCs w:val="20"/>
              </w:rPr>
              <w:t>Law</w:t>
            </w:r>
            <w:r w:rsidRPr="002B3F36">
              <w:rPr>
                <w:rFonts w:ascii="Arial" w:hAnsi="Arial" w:cs="Arial"/>
                <w:spacing w:val="-5"/>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Republic</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Kazakhstan</w:t>
            </w:r>
            <w:r w:rsidRPr="002B3F36">
              <w:rPr>
                <w:rFonts w:ascii="Arial" w:hAnsi="Arial" w:cs="Arial"/>
                <w:spacing w:val="-3"/>
                <w:sz w:val="20"/>
                <w:szCs w:val="20"/>
              </w:rPr>
              <w:t xml:space="preserve"> </w:t>
            </w:r>
            <w:r w:rsidRPr="002B3F36">
              <w:rPr>
                <w:rFonts w:ascii="Arial" w:hAnsi="Arial" w:cs="Arial"/>
                <w:sz w:val="20"/>
                <w:szCs w:val="20"/>
              </w:rPr>
              <w:t>“On</w:t>
            </w:r>
            <w:r w:rsidRPr="002B3F36">
              <w:rPr>
                <w:rFonts w:ascii="Arial" w:hAnsi="Arial" w:cs="Arial"/>
                <w:spacing w:val="-3"/>
                <w:sz w:val="20"/>
                <w:szCs w:val="20"/>
              </w:rPr>
              <w:t xml:space="preserve"> </w:t>
            </w:r>
            <w:r w:rsidRPr="002B3F36">
              <w:rPr>
                <w:rFonts w:ascii="Arial" w:hAnsi="Arial" w:cs="Arial"/>
                <w:sz w:val="20"/>
                <w:szCs w:val="20"/>
              </w:rPr>
              <w:t>the</w:t>
            </w:r>
            <w:r w:rsidRPr="002B3F36">
              <w:rPr>
                <w:rFonts w:ascii="Arial" w:hAnsi="Arial" w:cs="Arial"/>
                <w:spacing w:val="-4"/>
                <w:sz w:val="20"/>
                <w:szCs w:val="20"/>
              </w:rPr>
              <w:t xml:space="preserve"> </w:t>
            </w:r>
            <w:r w:rsidRPr="002B3F36">
              <w:rPr>
                <w:rFonts w:ascii="Arial" w:hAnsi="Arial" w:cs="Arial"/>
                <w:sz w:val="20"/>
                <w:szCs w:val="20"/>
              </w:rPr>
              <w:t>protection</w:t>
            </w:r>
            <w:r w:rsidRPr="002B3F36">
              <w:rPr>
                <w:rFonts w:ascii="Arial" w:hAnsi="Arial" w:cs="Arial"/>
                <w:spacing w:val="-8"/>
                <w:sz w:val="20"/>
                <w:szCs w:val="20"/>
              </w:rPr>
              <w:t xml:space="preserve"> </w:t>
            </w:r>
            <w:r w:rsidRPr="002B3F36">
              <w:rPr>
                <w:rFonts w:ascii="Arial" w:hAnsi="Arial" w:cs="Arial"/>
                <w:sz w:val="20"/>
                <w:szCs w:val="20"/>
              </w:rPr>
              <w:t>and</w:t>
            </w:r>
            <w:r w:rsidRPr="002B3F36">
              <w:rPr>
                <w:rFonts w:ascii="Arial" w:hAnsi="Arial" w:cs="Arial"/>
                <w:spacing w:val="-4"/>
                <w:sz w:val="20"/>
                <w:szCs w:val="20"/>
              </w:rPr>
              <w:t xml:space="preserve"> </w:t>
            </w:r>
            <w:r w:rsidRPr="002B3F36">
              <w:rPr>
                <w:rFonts w:ascii="Arial" w:hAnsi="Arial" w:cs="Arial"/>
                <w:sz w:val="20"/>
                <w:szCs w:val="20"/>
              </w:rPr>
              <w:t>use</w:t>
            </w:r>
            <w:r w:rsidRPr="002B3F36">
              <w:rPr>
                <w:rFonts w:ascii="Arial" w:hAnsi="Arial" w:cs="Arial"/>
                <w:spacing w:val="-3"/>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historical</w:t>
            </w:r>
            <w:r w:rsidRPr="002B3F36">
              <w:rPr>
                <w:rFonts w:ascii="Arial" w:hAnsi="Arial" w:cs="Arial"/>
                <w:spacing w:val="-4"/>
                <w:sz w:val="20"/>
                <w:szCs w:val="20"/>
              </w:rPr>
              <w:t xml:space="preserve"> </w:t>
            </w:r>
            <w:r w:rsidRPr="002B3F36">
              <w:rPr>
                <w:rFonts w:ascii="Arial" w:hAnsi="Arial" w:cs="Arial"/>
                <w:sz w:val="20"/>
                <w:szCs w:val="20"/>
              </w:rPr>
              <w:t>and</w:t>
            </w:r>
            <w:r w:rsidRPr="002B3F36">
              <w:rPr>
                <w:rFonts w:ascii="Arial" w:hAnsi="Arial" w:cs="Arial"/>
                <w:spacing w:val="-4"/>
                <w:sz w:val="20"/>
                <w:szCs w:val="20"/>
              </w:rPr>
              <w:t xml:space="preserve"> </w:t>
            </w:r>
            <w:r w:rsidRPr="002B3F36">
              <w:rPr>
                <w:rFonts w:ascii="Arial" w:hAnsi="Arial" w:cs="Arial"/>
                <w:sz w:val="20"/>
                <w:szCs w:val="20"/>
              </w:rPr>
              <w:t>cultural heritage sites” dated 26 December 2019 № 288-VІ</w:t>
            </w:r>
          </w:p>
        </w:tc>
        <w:tc>
          <w:tcPr>
            <w:tcW w:w="0" w:type="auto"/>
          </w:tcPr>
          <w:p w14:paraId="1F9CB3F2" w14:textId="77777777" w:rsidR="00F61F8E" w:rsidRPr="002B3F36" w:rsidRDefault="000F264B">
            <w:pPr>
              <w:pStyle w:val="TableParagraph"/>
              <w:spacing w:before="0"/>
              <w:ind w:left="105"/>
              <w:jc w:val="both"/>
              <w:rPr>
                <w:rFonts w:ascii="Arial" w:hAnsi="Arial" w:cs="Arial"/>
                <w:spacing w:val="-4"/>
                <w:sz w:val="20"/>
                <w:szCs w:val="20"/>
              </w:rPr>
            </w:pPr>
            <w:r w:rsidRPr="002B3F36">
              <w:rPr>
                <w:rFonts w:ascii="Arial" w:hAnsi="Arial" w:cs="Arial"/>
                <w:spacing w:val="-4"/>
                <w:sz w:val="20"/>
                <w:szCs w:val="20"/>
              </w:rPr>
              <w:t>2019</w:t>
            </w:r>
          </w:p>
        </w:tc>
      </w:tr>
    </w:tbl>
    <w:p w14:paraId="531A8D55" w14:textId="77777777" w:rsidR="00F61F8E" w:rsidRPr="002B3F36" w:rsidRDefault="00F61F8E">
      <w:pPr>
        <w:rPr>
          <w:rFonts w:ascii="Arial" w:hAnsi="Arial" w:cs="Arial"/>
        </w:rPr>
      </w:pPr>
    </w:p>
    <w:p w14:paraId="3CACCAB3" w14:textId="77777777" w:rsidR="00F61F8E" w:rsidRPr="002B3F36" w:rsidRDefault="000F264B">
      <w:pPr>
        <w:pStyle w:val="20"/>
      </w:pPr>
      <w:bookmarkStart w:id="703" w:name="_bookmark73"/>
      <w:bookmarkStart w:id="704" w:name="_bookmark74"/>
      <w:bookmarkStart w:id="705" w:name="_Toc208973750"/>
      <w:bookmarkStart w:id="706" w:name="_Toc208973950"/>
      <w:bookmarkStart w:id="707" w:name="_Toc208974150"/>
      <w:bookmarkStart w:id="708" w:name="_Toc208974352"/>
      <w:bookmarkStart w:id="709" w:name="_Toc208974560"/>
      <w:bookmarkStart w:id="710" w:name="_Toc210589426"/>
      <w:bookmarkEnd w:id="703"/>
      <w:bookmarkEnd w:id="704"/>
      <w:r w:rsidRPr="002B3F36">
        <w:t>Project</w:t>
      </w:r>
      <w:r w:rsidRPr="002B3F36">
        <w:rPr>
          <w:spacing w:val="66"/>
        </w:rPr>
        <w:t xml:space="preserve"> </w:t>
      </w:r>
      <w:r w:rsidRPr="002B3F36">
        <w:t>Permitting</w:t>
      </w:r>
      <w:r w:rsidRPr="002B3F36">
        <w:rPr>
          <w:spacing w:val="71"/>
        </w:rPr>
        <w:t xml:space="preserve"> </w:t>
      </w:r>
      <w:r w:rsidRPr="002B3F36">
        <w:rPr>
          <w:spacing w:val="-2"/>
        </w:rPr>
        <w:t>Status</w:t>
      </w:r>
      <w:bookmarkEnd w:id="705"/>
      <w:bookmarkEnd w:id="706"/>
      <w:bookmarkEnd w:id="707"/>
      <w:bookmarkEnd w:id="708"/>
      <w:bookmarkEnd w:id="709"/>
      <w:bookmarkEnd w:id="710"/>
    </w:p>
    <w:p w14:paraId="4BE9002E" w14:textId="77777777" w:rsidR="00F61F8E" w:rsidRPr="002B3F36" w:rsidRDefault="00F61F8E">
      <w:pPr>
        <w:pStyle w:val="ReportParagraph"/>
      </w:pPr>
    </w:p>
    <w:p w14:paraId="44B8C5AB" w14:textId="0E3337C5" w:rsidR="00F61F8E" w:rsidRPr="002B3F36" w:rsidRDefault="000F264B">
      <w:pPr>
        <w:pStyle w:val="ReportParagraph"/>
      </w:pPr>
      <w:r w:rsidRPr="002B3F36">
        <w:t xml:space="preserve">In accordance with the Lenders’ requirements the Project must comply with the requirements of the national legislation. The permitting status of the Project is presented in </w:t>
      </w:r>
      <w:hyperlink w:anchor="_bookmark75" w:history="1">
        <w:r w:rsidR="00F61F8E" w:rsidRPr="002B3F36">
          <w:t>Table</w:t>
        </w:r>
      </w:hyperlink>
      <w:r w:rsidRPr="002B3F36">
        <w:t xml:space="preserve"> below.</w:t>
      </w:r>
    </w:p>
    <w:p w14:paraId="7F840C9B" w14:textId="77777777" w:rsidR="00F61F8E" w:rsidRPr="002B3F36" w:rsidRDefault="00F61F8E" w:rsidP="00517A3E">
      <w:pPr>
        <w:pStyle w:val="TableCaption"/>
        <w:rPr>
          <w:szCs w:val="24"/>
        </w:rPr>
      </w:pPr>
      <w:bookmarkStart w:id="711" w:name="_bookmark75"/>
      <w:bookmarkEnd w:id="711"/>
    </w:p>
    <w:p w14:paraId="07E48E33" w14:textId="6DC3EE6D" w:rsidR="00F61F8E" w:rsidRPr="002B3F36" w:rsidRDefault="00517A3E" w:rsidP="000E123E">
      <w:pPr>
        <w:pStyle w:val="CaptionTable"/>
      </w:pPr>
      <w:bookmarkStart w:id="712" w:name="_Toc210589555"/>
      <w:r w:rsidRPr="002B3F36">
        <w:t xml:space="preserve">Table </w:t>
      </w:r>
      <w:r w:rsidR="00F30C2C" w:rsidRPr="002B3F36">
        <w:fldChar w:fldCharType="begin"/>
      </w:r>
      <w:r w:rsidR="00F30C2C" w:rsidRPr="002B3F36">
        <w:rPr>
          <w:noProof/>
        </w:rPr>
        <w:instrText xml:space="preserve"> SEQ Table \* ARABIC </w:instrText>
      </w:r>
      <w:r w:rsidR="00F30C2C" w:rsidRPr="002B3F36">
        <w:fldChar w:fldCharType="separate"/>
      </w:r>
      <w:r w:rsidR="00A023DA">
        <w:rPr>
          <w:noProof/>
        </w:rPr>
        <w:t>11</w:t>
      </w:r>
      <w:r w:rsidR="00F30C2C" w:rsidRPr="002B3F36">
        <w:fldChar w:fldCharType="end"/>
      </w:r>
      <w:r w:rsidR="000F264B" w:rsidRPr="002B3F36">
        <w:t>:</w:t>
      </w:r>
      <w:r w:rsidR="006D654A" w:rsidRPr="002B3F36">
        <w:t xml:space="preserve"> </w:t>
      </w:r>
      <w:r w:rsidR="000F264B" w:rsidRPr="002B3F36">
        <w:t>Key E&amp;S Permitting Status</w:t>
      </w:r>
      <w:bookmarkEnd w:id="712"/>
    </w:p>
    <w:tbl>
      <w:tblPr>
        <w:tblStyle w:val="TableGrid2"/>
        <w:tblW w:w="0" w:type="auto"/>
        <w:tblLayout w:type="fixed"/>
        <w:tblLook w:val="01E0" w:firstRow="1" w:lastRow="1" w:firstColumn="1" w:lastColumn="1" w:noHBand="0" w:noVBand="0"/>
      </w:tblPr>
      <w:tblGrid>
        <w:gridCol w:w="2509"/>
        <w:gridCol w:w="1266"/>
        <w:gridCol w:w="5860"/>
      </w:tblGrid>
      <w:tr w:rsidR="00F61F8E" w:rsidRPr="002B3F36" w14:paraId="571CBDA7" w14:textId="77777777" w:rsidTr="00F82096">
        <w:trPr>
          <w:cantSplit/>
          <w:trHeight w:val="20"/>
          <w:tblHeader/>
        </w:trPr>
        <w:tc>
          <w:tcPr>
            <w:tcW w:w="3775" w:type="dxa"/>
            <w:gridSpan w:val="2"/>
            <w:shd w:val="clear" w:color="auto" w:fill="F2F2F2" w:themeFill="background1" w:themeFillShade="F2"/>
            <w:vAlign w:val="center"/>
          </w:tcPr>
          <w:p w14:paraId="662FDF9D" w14:textId="77777777" w:rsidR="00F61F8E" w:rsidRPr="002B3F36" w:rsidRDefault="000F264B">
            <w:pPr>
              <w:pStyle w:val="TableParagraph"/>
              <w:spacing w:before="0"/>
              <w:ind w:left="108"/>
              <w:jc w:val="center"/>
              <w:rPr>
                <w:rFonts w:ascii="Arial" w:hAnsi="Arial" w:cs="Arial"/>
                <w:b/>
                <w:sz w:val="20"/>
                <w:szCs w:val="20"/>
              </w:rPr>
            </w:pPr>
            <w:r w:rsidRPr="002B3F36">
              <w:rPr>
                <w:rFonts w:ascii="Arial" w:hAnsi="Arial" w:cs="Arial"/>
                <w:b/>
                <w:spacing w:val="-2"/>
                <w:sz w:val="20"/>
                <w:szCs w:val="20"/>
              </w:rPr>
              <w:t>Permit</w:t>
            </w:r>
          </w:p>
        </w:tc>
        <w:tc>
          <w:tcPr>
            <w:tcW w:w="5860" w:type="dxa"/>
            <w:shd w:val="clear" w:color="auto" w:fill="F2F2F2" w:themeFill="background1" w:themeFillShade="F2"/>
            <w:vAlign w:val="center"/>
          </w:tcPr>
          <w:p w14:paraId="55A286DD" w14:textId="77777777" w:rsidR="00F61F8E" w:rsidRPr="002B3F36" w:rsidRDefault="000F264B">
            <w:pPr>
              <w:pStyle w:val="TableParagraph"/>
              <w:spacing w:before="0"/>
              <w:ind w:left="2" w:right="13"/>
              <w:jc w:val="center"/>
              <w:rPr>
                <w:rFonts w:ascii="Arial" w:hAnsi="Arial" w:cs="Arial"/>
                <w:b/>
                <w:sz w:val="20"/>
                <w:szCs w:val="20"/>
              </w:rPr>
            </w:pPr>
            <w:r w:rsidRPr="002B3F36">
              <w:rPr>
                <w:rFonts w:ascii="Arial" w:hAnsi="Arial" w:cs="Arial"/>
                <w:b/>
                <w:spacing w:val="-2"/>
                <w:sz w:val="20"/>
                <w:szCs w:val="20"/>
              </w:rPr>
              <w:t>Status</w:t>
            </w:r>
          </w:p>
        </w:tc>
      </w:tr>
      <w:tr w:rsidR="00F61F8E" w:rsidRPr="002B3F36" w14:paraId="17C7C7E3" w14:textId="77777777" w:rsidTr="000E123E">
        <w:trPr>
          <w:cantSplit/>
          <w:trHeight w:val="20"/>
        </w:trPr>
        <w:tc>
          <w:tcPr>
            <w:tcW w:w="3775" w:type="dxa"/>
            <w:gridSpan w:val="2"/>
          </w:tcPr>
          <w:p w14:paraId="04A482B1" w14:textId="2B327D18" w:rsidR="00F61F8E" w:rsidRPr="002B3F36" w:rsidRDefault="000F264B">
            <w:pPr>
              <w:pStyle w:val="TableParagraph"/>
              <w:spacing w:before="0"/>
              <w:ind w:left="108"/>
              <w:jc w:val="both"/>
              <w:rPr>
                <w:rFonts w:ascii="Arial" w:hAnsi="Arial" w:cs="Arial"/>
                <w:sz w:val="20"/>
                <w:szCs w:val="20"/>
              </w:rPr>
            </w:pPr>
            <w:r w:rsidRPr="002B3F36">
              <w:rPr>
                <w:rFonts w:ascii="Arial" w:hAnsi="Arial" w:cs="Arial"/>
                <w:sz w:val="20"/>
                <w:szCs w:val="20"/>
              </w:rPr>
              <w:t xml:space="preserve">Permission for the construction of the </w:t>
            </w:r>
            <w:r w:rsidR="0060649C" w:rsidRPr="002B3F36">
              <w:rPr>
                <w:rFonts w:ascii="Arial" w:hAnsi="Arial" w:cs="Arial"/>
                <w:sz w:val="20"/>
                <w:szCs w:val="20"/>
              </w:rPr>
              <w:t xml:space="preserve">Mointy – Kyzylzhar </w:t>
            </w:r>
            <w:r w:rsidRPr="002B3F36">
              <w:rPr>
                <w:rFonts w:ascii="Arial" w:hAnsi="Arial" w:cs="Arial"/>
                <w:sz w:val="20"/>
                <w:szCs w:val="20"/>
              </w:rPr>
              <w:t>Railway Project (based on the approval of the Kazakhstan EIA)</w:t>
            </w:r>
          </w:p>
        </w:tc>
        <w:tc>
          <w:tcPr>
            <w:tcW w:w="5860" w:type="dxa"/>
          </w:tcPr>
          <w:p w14:paraId="36367DAB" w14:textId="77777777" w:rsidR="00F61F8E" w:rsidRPr="002B3F36" w:rsidRDefault="000F264B">
            <w:pPr>
              <w:pStyle w:val="TableParagraph"/>
              <w:spacing w:before="0"/>
              <w:ind w:left="102"/>
              <w:jc w:val="both"/>
              <w:rPr>
                <w:rFonts w:ascii="Arial" w:hAnsi="Arial" w:cs="Arial"/>
                <w:b/>
                <w:sz w:val="20"/>
                <w:szCs w:val="20"/>
              </w:rPr>
            </w:pPr>
            <w:r w:rsidRPr="002B3F36">
              <w:rPr>
                <w:rFonts w:ascii="Arial" w:hAnsi="Arial" w:cs="Arial"/>
                <w:b/>
                <w:spacing w:val="-2"/>
                <w:sz w:val="20"/>
                <w:szCs w:val="20"/>
              </w:rPr>
              <w:t>In Progress</w:t>
            </w:r>
          </w:p>
          <w:p w14:paraId="637FD9E4" w14:textId="77777777" w:rsidR="00F61F8E" w:rsidRPr="002B3F36" w:rsidRDefault="00F61F8E">
            <w:pPr>
              <w:pStyle w:val="TableParagraph"/>
              <w:spacing w:before="0"/>
              <w:ind w:left="0"/>
              <w:jc w:val="both"/>
              <w:rPr>
                <w:rFonts w:ascii="Arial" w:hAnsi="Arial" w:cs="Arial"/>
                <w:sz w:val="20"/>
                <w:szCs w:val="20"/>
              </w:rPr>
            </w:pPr>
          </w:p>
          <w:p w14:paraId="3AD6F8B0" w14:textId="77777777" w:rsidR="00F61F8E" w:rsidRPr="002B3F36" w:rsidRDefault="000F264B">
            <w:pPr>
              <w:pStyle w:val="TableParagraph"/>
              <w:spacing w:before="0"/>
              <w:ind w:left="102"/>
              <w:jc w:val="both"/>
              <w:rPr>
                <w:rFonts w:ascii="Arial" w:hAnsi="Arial" w:cs="Arial"/>
                <w:sz w:val="20"/>
                <w:szCs w:val="20"/>
              </w:rPr>
            </w:pPr>
            <w:r w:rsidRPr="002B3F36">
              <w:rPr>
                <w:rFonts w:ascii="Arial" w:hAnsi="Arial" w:cs="Arial"/>
                <w:sz w:val="20"/>
                <w:szCs w:val="20"/>
              </w:rPr>
              <w:t>Document</w:t>
            </w:r>
            <w:r w:rsidRPr="002B3F36">
              <w:rPr>
                <w:rFonts w:ascii="Arial" w:hAnsi="Arial" w:cs="Arial"/>
                <w:spacing w:val="34"/>
                <w:sz w:val="20"/>
                <w:szCs w:val="20"/>
              </w:rPr>
              <w:t xml:space="preserve"> </w:t>
            </w:r>
            <w:r w:rsidRPr="002B3F36">
              <w:rPr>
                <w:rFonts w:ascii="Arial" w:hAnsi="Arial" w:cs="Arial"/>
                <w:spacing w:val="-2"/>
                <w:sz w:val="20"/>
                <w:szCs w:val="20"/>
              </w:rPr>
              <w:t>Reference:</w:t>
            </w:r>
          </w:p>
          <w:p w14:paraId="3AACF1DF" w14:textId="05B755B4" w:rsidR="00F61F8E" w:rsidRPr="002B3F36" w:rsidRDefault="000F264B" w:rsidP="009B4CDB">
            <w:pPr>
              <w:pStyle w:val="TableParagraph"/>
              <w:numPr>
                <w:ilvl w:val="0"/>
                <w:numId w:val="65"/>
              </w:numPr>
              <w:tabs>
                <w:tab w:val="left" w:pos="462"/>
              </w:tabs>
              <w:spacing w:before="0"/>
              <w:ind w:right="322"/>
              <w:jc w:val="both"/>
              <w:rPr>
                <w:rFonts w:ascii="Arial" w:hAnsi="Arial" w:cs="Arial"/>
                <w:sz w:val="20"/>
                <w:szCs w:val="20"/>
              </w:rPr>
            </w:pPr>
            <w:r w:rsidRPr="002B3F36">
              <w:rPr>
                <w:rFonts w:ascii="Arial" w:hAnsi="Arial" w:cs="Arial"/>
                <w:sz w:val="20"/>
                <w:szCs w:val="20"/>
              </w:rPr>
              <w:t>Committee for Environmental Regulation and Control, for the National EIA.</w:t>
            </w:r>
          </w:p>
        </w:tc>
      </w:tr>
      <w:tr w:rsidR="00F61F8E" w:rsidRPr="002B3F36" w14:paraId="2551D1FE" w14:textId="77777777" w:rsidTr="000E123E">
        <w:trPr>
          <w:cantSplit/>
          <w:trHeight w:val="20"/>
        </w:trPr>
        <w:tc>
          <w:tcPr>
            <w:tcW w:w="3775" w:type="dxa"/>
            <w:gridSpan w:val="2"/>
          </w:tcPr>
          <w:p w14:paraId="664C1B11" w14:textId="77777777" w:rsidR="00F61F8E" w:rsidRPr="002B3F36" w:rsidRDefault="000F264B">
            <w:pPr>
              <w:pStyle w:val="TableParagraph"/>
              <w:spacing w:before="0"/>
              <w:ind w:left="108"/>
              <w:jc w:val="both"/>
              <w:rPr>
                <w:rFonts w:ascii="Arial" w:hAnsi="Arial" w:cs="Arial"/>
                <w:sz w:val="20"/>
                <w:szCs w:val="20"/>
              </w:rPr>
            </w:pPr>
            <w:r w:rsidRPr="002B3F36">
              <w:rPr>
                <w:rFonts w:ascii="Arial" w:hAnsi="Arial" w:cs="Arial"/>
                <w:sz w:val="20"/>
                <w:szCs w:val="20"/>
              </w:rPr>
              <w:t>Permission for the use of subsurface resources: quarry/borrow areas</w:t>
            </w:r>
          </w:p>
        </w:tc>
        <w:tc>
          <w:tcPr>
            <w:tcW w:w="5860" w:type="dxa"/>
          </w:tcPr>
          <w:p w14:paraId="10B73F95" w14:textId="77777777" w:rsidR="00F61F8E" w:rsidRPr="002B3F36" w:rsidRDefault="000F264B">
            <w:pPr>
              <w:pStyle w:val="TableParagraph"/>
              <w:spacing w:before="0"/>
              <w:ind w:left="101"/>
              <w:jc w:val="both"/>
              <w:rPr>
                <w:rFonts w:ascii="Arial" w:hAnsi="Arial" w:cs="Arial"/>
                <w:b/>
                <w:sz w:val="20"/>
                <w:szCs w:val="20"/>
              </w:rPr>
            </w:pPr>
            <w:r w:rsidRPr="002B3F36">
              <w:rPr>
                <w:rFonts w:ascii="Arial" w:hAnsi="Arial" w:cs="Arial"/>
                <w:b/>
                <w:spacing w:val="-2"/>
                <w:sz w:val="20"/>
                <w:szCs w:val="20"/>
              </w:rPr>
              <w:t>Approved</w:t>
            </w:r>
          </w:p>
          <w:p w14:paraId="610EF9E3" w14:textId="77777777" w:rsidR="00F61F8E" w:rsidRPr="002B3F36" w:rsidRDefault="00F61F8E">
            <w:pPr>
              <w:pStyle w:val="TableParagraph"/>
              <w:spacing w:before="0"/>
              <w:ind w:left="0"/>
              <w:jc w:val="both"/>
              <w:rPr>
                <w:rFonts w:ascii="Arial" w:hAnsi="Arial" w:cs="Arial"/>
                <w:sz w:val="20"/>
                <w:szCs w:val="20"/>
              </w:rPr>
            </w:pPr>
          </w:p>
          <w:p w14:paraId="1695739A" w14:textId="77777777" w:rsidR="00F61F8E" w:rsidRPr="002B3F36" w:rsidRDefault="000F264B">
            <w:pPr>
              <w:pStyle w:val="TableParagraph"/>
              <w:spacing w:before="0"/>
              <w:ind w:left="101"/>
              <w:jc w:val="both"/>
              <w:rPr>
                <w:rFonts w:ascii="Arial" w:hAnsi="Arial" w:cs="Arial"/>
                <w:sz w:val="20"/>
                <w:szCs w:val="20"/>
              </w:rPr>
            </w:pPr>
            <w:r w:rsidRPr="002B3F36">
              <w:rPr>
                <w:rFonts w:ascii="Arial" w:hAnsi="Arial" w:cs="Arial"/>
                <w:sz w:val="20"/>
                <w:szCs w:val="20"/>
              </w:rPr>
              <w:t>Document</w:t>
            </w:r>
            <w:r w:rsidRPr="002B3F36">
              <w:rPr>
                <w:rFonts w:ascii="Arial" w:hAnsi="Arial" w:cs="Arial"/>
                <w:spacing w:val="34"/>
                <w:sz w:val="20"/>
                <w:szCs w:val="20"/>
              </w:rPr>
              <w:t xml:space="preserve"> </w:t>
            </w:r>
            <w:r w:rsidRPr="002B3F36">
              <w:rPr>
                <w:rFonts w:ascii="Arial" w:hAnsi="Arial" w:cs="Arial"/>
                <w:spacing w:val="-2"/>
                <w:sz w:val="20"/>
                <w:szCs w:val="20"/>
              </w:rPr>
              <w:t>reference:</w:t>
            </w:r>
          </w:p>
          <w:p w14:paraId="7E809144" w14:textId="77777777" w:rsidR="00F61F8E" w:rsidRPr="002B3F36" w:rsidRDefault="000F264B">
            <w:pPr>
              <w:pStyle w:val="TableParagraph"/>
              <w:spacing w:before="0"/>
              <w:ind w:left="101" w:right="394"/>
              <w:jc w:val="both"/>
              <w:rPr>
                <w:rFonts w:ascii="Arial" w:hAnsi="Arial" w:cs="Arial"/>
                <w:sz w:val="20"/>
                <w:szCs w:val="20"/>
              </w:rPr>
            </w:pPr>
            <w:r w:rsidRPr="002B3F36">
              <w:rPr>
                <w:rFonts w:ascii="Arial" w:hAnsi="Arial" w:cs="Arial"/>
                <w:sz w:val="20"/>
                <w:szCs w:val="20"/>
              </w:rPr>
              <w:t>State Institution "Department of Entrepreneurship and Industrial and Innovative Development of Almaty Region", Ref. DDM/1588-2024 from 16 October 2024.</w:t>
            </w:r>
          </w:p>
        </w:tc>
      </w:tr>
      <w:tr w:rsidR="00F61F8E" w:rsidRPr="002B3F36" w14:paraId="4D4936A9" w14:textId="77777777" w:rsidTr="000E123E">
        <w:trPr>
          <w:cantSplit/>
          <w:trHeight w:val="20"/>
        </w:trPr>
        <w:tc>
          <w:tcPr>
            <w:tcW w:w="3775" w:type="dxa"/>
            <w:gridSpan w:val="2"/>
          </w:tcPr>
          <w:p w14:paraId="4EF1D384" w14:textId="77777777" w:rsidR="00F61F8E" w:rsidRPr="002B3F36" w:rsidRDefault="000F264B">
            <w:pPr>
              <w:pStyle w:val="TableParagraph"/>
              <w:spacing w:before="0"/>
              <w:ind w:left="108" w:right="202"/>
              <w:jc w:val="both"/>
              <w:rPr>
                <w:rFonts w:ascii="Arial" w:hAnsi="Arial" w:cs="Arial"/>
                <w:sz w:val="20"/>
                <w:szCs w:val="20"/>
              </w:rPr>
            </w:pPr>
            <w:r w:rsidRPr="002B3F36">
              <w:rPr>
                <w:rFonts w:ascii="Arial" w:hAnsi="Arial" w:cs="Arial"/>
                <w:sz w:val="20"/>
                <w:szCs w:val="20"/>
              </w:rPr>
              <w:t>Permission for the use of subsurface resources: groundwater wells for construction activities and construction camp</w:t>
            </w:r>
          </w:p>
        </w:tc>
        <w:tc>
          <w:tcPr>
            <w:tcW w:w="5860" w:type="dxa"/>
          </w:tcPr>
          <w:p w14:paraId="5D6E1891" w14:textId="77777777" w:rsidR="00CA6D71" w:rsidRPr="00A846C7" w:rsidRDefault="00CA6D71" w:rsidP="00CA6D71">
            <w:pPr>
              <w:pStyle w:val="TableParagraph"/>
              <w:spacing w:before="0"/>
              <w:ind w:left="101" w:right="394"/>
              <w:jc w:val="both"/>
              <w:rPr>
                <w:rFonts w:ascii="Arial" w:eastAsia="Times New Roman" w:hAnsi="Arial" w:cs="Arial"/>
                <w:b/>
                <w:bCs/>
                <w:color w:val="222222"/>
                <w:sz w:val="20"/>
                <w:szCs w:val="20"/>
                <w:lang w:val="en" w:eastAsia="en-PH"/>
              </w:rPr>
            </w:pPr>
            <w:r w:rsidRPr="00A846C7">
              <w:rPr>
                <w:rFonts w:ascii="Arial" w:eastAsia="Times New Roman" w:hAnsi="Arial" w:cs="Arial"/>
                <w:b/>
                <w:bCs/>
                <w:color w:val="222222"/>
                <w:sz w:val="20"/>
                <w:szCs w:val="20"/>
                <w:lang w:val="en" w:eastAsia="en-PH"/>
              </w:rPr>
              <w:t xml:space="preserve">In progress </w:t>
            </w:r>
          </w:p>
          <w:p w14:paraId="63B14E9C" w14:textId="77777777" w:rsidR="00CA6D71" w:rsidRPr="00A846C7" w:rsidRDefault="00CA6D71" w:rsidP="00CA6D71">
            <w:pPr>
              <w:pStyle w:val="TableParagraph"/>
              <w:spacing w:before="0"/>
              <w:ind w:left="101" w:right="394"/>
              <w:jc w:val="both"/>
              <w:rPr>
                <w:rFonts w:ascii="Arial" w:eastAsia="Times New Roman" w:hAnsi="Arial" w:cs="Arial"/>
                <w:b/>
                <w:bCs/>
                <w:color w:val="222222"/>
                <w:sz w:val="20"/>
                <w:szCs w:val="20"/>
                <w:lang w:val="en" w:eastAsia="en-PH"/>
              </w:rPr>
            </w:pPr>
          </w:p>
          <w:p w14:paraId="5B8D0D6F" w14:textId="72496457" w:rsidR="00F61F8E" w:rsidRPr="002B3F36" w:rsidRDefault="00CA6D71" w:rsidP="00F82096">
            <w:pPr>
              <w:rPr>
                <w:rFonts w:ascii="Arial" w:hAnsi="Arial" w:cs="Arial"/>
                <w:sz w:val="20"/>
                <w:szCs w:val="20"/>
              </w:rPr>
            </w:pPr>
            <w:r w:rsidRPr="00A846C7">
              <w:rPr>
                <w:rFonts w:ascii="Arial" w:eastAsia="Times New Roman" w:hAnsi="Arial" w:cs="Arial"/>
                <w:color w:val="222222"/>
                <w:sz w:val="20"/>
                <w:szCs w:val="20"/>
                <w:lang w:val="en" w:eastAsia="en-PH"/>
              </w:rPr>
              <w:t xml:space="preserve">To use water (from groundwater sources or surface water, or to connect to water supply systems), an official permit must be obtained in accordance with the Rules for the Provision of Public Services in the Field of Water Resource Use Regulation, No. 216, dated September 11, 2020. This public service is provided by basin inspectorates for the regulation of water use and protection of the Water Resources Committee of the Ministry of Ecology and Natural Resources of the Republic of Kazakhstan. </w:t>
            </w:r>
            <w:r w:rsidRPr="00A846C7">
              <w:rPr>
                <w:rFonts w:ascii="Arial" w:eastAsia="Times New Roman" w:hAnsi="Arial" w:cs="Arial"/>
                <w:color w:val="222222"/>
                <w:sz w:val="20"/>
                <w:szCs w:val="20"/>
                <w:u w:val="single"/>
                <w:lang w:val="en" w:eastAsia="en-PH"/>
              </w:rPr>
              <w:t>No permits were received at the start of the work</w:t>
            </w:r>
            <w:r w:rsidRPr="002B3F36">
              <w:rPr>
                <w:rFonts w:ascii="Arial" w:eastAsia="Times New Roman" w:hAnsi="Arial" w:cs="Arial"/>
                <w:color w:val="222222"/>
                <w:sz w:val="20"/>
                <w:szCs w:val="20"/>
                <w:lang w:val="en" w:eastAsia="en-PH"/>
              </w:rPr>
              <w:t>.</w:t>
            </w:r>
            <w:r w:rsidRPr="002B3F36">
              <w:rPr>
                <w:rFonts w:ascii="Arial" w:eastAsia="Calibri" w:hAnsi="Arial" w:cs="Arial"/>
              </w:rPr>
              <w:t xml:space="preserve"> </w:t>
            </w:r>
          </w:p>
        </w:tc>
      </w:tr>
      <w:tr w:rsidR="00F61F8E" w:rsidRPr="002B3F36" w14:paraId="21B63F05" w14:textId="77777777" w:rsidTr="000E123E">
        <w:trPr>
          <w:cantSplit/>
          <w:trHeight w:val="20"/>
        </w:trPr>
        <w:tc>
          <w:tcPr>
            <w:tcW w:w="3775" w:type="dxa"/>
            <w:gridSpan w:val="2"/>
          </w:tcPr>
          <w:p w14:paraId="0CC2DB59" w14:textId="77777777" w:rsidR="00F61F8E" w:rsidRPr="002B3F36" w:rsidRDefault="000F264B">
            <w:pPr>
              <w:pStyle w:val="TableParagraph"/>
              <w:spacing w:before="0"/>
              <w:ind w:left="108"/>
              <w:jc w:val="both"/>
              <w:rPr>
                <w:rFonts w:ascii="Arial" w:hAnsi="Arial" w:cs="Arial"/>
                <w:sz w:val="20"/>
                <w:szCs w:val="20"/>
              </w:rPr>
            </w:pPr>
            <w:r w:rsidRPr="002B3F36">
              <w:rPr>
                <w:rFonts w:ascii="Arial" w:hAnsi="Arial" w:cs="Arial"/>
                <w:sz w:val="20"/>
                <w:szCs w:val="20"/>
              </w:rPr>
              <w:t>Approval for connection to the water supply network (drinking water)</w:t>
            </w:r>
          </w:p>
        </w:tc>
        <w:tc>
          <w:tcPr>
            <w:tcW w:w="5860" w:type="dxa"/>
          </w:tcPr>
          <w:p w14:paraId="2A6592AA" w14:textId="3145699D" w:rsidR="00F61F8E" w:rsidRPr="002B3F36" w:rsidRDefault="000F264B">
            <w:pPr>
              <w:pStyle w:val="TableParagraph"/>
              <w:spacing w:before="0"/>
              <w:ind w:left="101"/>
              <w:jc w:val="both"/>
              <w:rPr>
                <w:rFonts w:ascii="Arial" w:hAnsi="Arial" w:cs="Arial"/>
                <w:b/>
                <w:position w:val="6"/>
                <w:sz w:val="20"/>
                <w:szCs w:val="20"/>
              </w:rPr>
            </w:pPr>
            <w:r w:rsidRPr="00A846C7">
              <w:rPr>
                <w:rFonts w:ascii="Arial" w:hAnsi="Arial" w:cs="Arial"/>
                <w:b/>
                <w:sz w:val="20"/>
                <w:szCs w:val="20"/>
              </w:rPr>
              <w:t>In</w:t>
            </w:r>
            <w:r w:rsidR="00CA6D71" w:rsidRPr="00A846C7">
              <w:rPr>
                <w:rFonts w:ascii="Arial" w:hAnsi="Arial" w:cs="Arial"/>
                <w:b/>
                <w:sz w:val="20"/>
                <w:szCs w:val="20"/>
              </w:rPr>
              <w:t xml:space="preserve"> Progress</w:t>
            </w:r>
            <w:r w:rsidR="00CA6D71" w:rsidRPr="00A846C7" w:rsidDel="00CA6D71">
              <w:rPr>
                <w:rFonts w:ascii="Arial" w:hAnsi="Arial" w:cs="Arial"/>
                <w:b/>
                <w:sz w:val="20"/>
                <w:szCs w:val="20"/>
              </w:rPr>
              <w:t xml:space="preserve"> </w:t>
            </w:r>
          </w:p>
          <w:p w14:paraId="15B8597B" w14:textId="77777777" w:rsidR="00F61F8E" w:rsidRPr="002B3F36" w:rsidRDefault="00F61F8E">
            <w:pPr>
              <w:pStyle w:val="TableParagraph"/>
              <w:spacing w:before="0"/>
              <w:ind w:left="0"/>
              <w:jc w:val="both"/>
              <w:rPr>
                <w:rFonts w:ascii="Arial" w:hAnsi="Arial" w:cs="Arial"/>
                <w:sz w:val="20"/>
                <w:szCs w:val="20"/>
              </w:rPr>
            </w:pPr>
          </w:p>
          <w:p w14:paraId="5C4D6F5E" w14:textId="77777777" w:rsidR="00F61F8E" w:rsidRPr="002B3F36" w:rsidRDefault="000F264B">
            <w:pPr>
              <w:pStyle w:val="TableParagraph"/>
              <w:spacing w:before="0"/>
              <w:ind w:left="101"/>
              <w:jc w:val="both"/>
              <w:rPr>
                <w:rFonts w:ascii="Arial" w:hAnsi="Arial" w:cs="Arial"/>
                <w:sz w:val="20"/>
                <w:szCs w:val="20"/>
              </w:rPr>
            </w:pPr>
            <w:r w:rsidRPr="002B3F36">
              <w:rPr>
                <w:rFonts w:ascii="Arial" w:hAnsi="Arial" w:cs="Arial"/>
                <w:sz w:val="20"/>
                <w:szCs w:val="20"/>
              </w:rPr>
              <w:t>Approved permits for use of drinking water supply for the Project are unavailable at the time of writing.</w:t>
            </w:r>
          </w:p>
        </w:tc>
      </w:tr>
      <w:tr w:rsidR="00F61F8E" w:rsidRPr="002B3F36" w14:paraId="2B672FEC" w14:textId="77777777" w:rsidTr="000E123E">
        <w:trPr>
          <w:cantSplit/>
          <w:trHeight w:val="20"/>
        </w:trPr>
        <w:tc>
          <w:tcPr>
            <w:tcW w:w="2509" w:type="dxa"/>
            <w:vMerge w:val="restart"/>
          </w:tcPr>
          <w:p w14:paraId="679C5C6F" w14:textId="77777777" w:rsidR="00F61F8E" w:rsidRPr="002B3F36" w:rsidRDefault="000F264B">
            <w:pPr>
              <w:pStyle w:val="TableParagraph"/>
              <w:spacing w:before="0"/>
              <w:ind w:left="108" w:right="194"/>
              <w:jc w:val="both"/>
              <w:rPr>
                <w:rFonts w:ascii="Arial" w:hAnsi="Arial" w:cs="Arial"/>
                <w:sz w:val="20"/>
                <w:szCs w:val="20"/>
              </w:rPr>
            </w:pPr>
            <w:r w:rsidRPr="002B3F36">
              <w:rPr>
                <w:rFonts w:ascii="Arial" w:hAnsi="Arial" w:cs="Arial"/>
                <w:sz w:val="20"/>
                <w:szCs w:val="20"/>
              </w:rPr>
              <w:t>Approvals and permissions for utilities use / transfer</w:t>
            </w:r>
          </w:p>
        </w:tc>
        <w:tc>
          <w:tcPr>
            <w:tcW w:w="1266" w:type="dxa"/>
          </w:tcPr>
          <w:p w14:paraId="7493024F" w14:textId="77777777" w:rsidR="00F61F8E" w:rsidRPr="002B3F36" w:rsidRDefault="000F264B">
            <w:pPr>
              <w:pStyle w:val="TableParagraph"/>
              <w:spacing w:before="0"/>
              <w:ind w:left="102"/>
              <w:jc w:val="both"/>
              <w:rPr>
                <w:rFonts w:ascii="Arial" w:hAnsi="Arial" w:cs="Arial"/>
                <w:sz w:val="20"/>
                <w:szCs w:val="20"/>
              </w:rPr>
            </w:pPr>
            <w:r w:rsidRPr="002B3F36">
              <w:rPr>
                <w:rFonts w:ascii="Arial" w:hAnsi="Arial" w:cs="Arial"/>
                <w:spacing w:val="-2"/>
                <w:sz w:val="20"/>
                <w:szCs w:val="20"/>
              </w:rPr>
              <w:t>Power</w:t>
            </w:r>
          </w:p>
        </w:tc>
        <w:tc>
          <w:tcPr>
            <w:tcW w:w="5860" w:type="dxa"/>
            <w:vMerge w:val="restart"/>
          </w:tcPr>
          <w:p w14:paraId="46CC97CB" w14:textId="77777777" w:rsidR="00F61F8E" w:rsidRPr="002B3F36" w:rsidRDefault="000F264B">
            <w:pPr>
              <w:pStyle w:val="TableParagraph"/>
              <w:spacing w:before="0"/>
              <w:ind w:left="101"/>
              <w:jc w:val="both"/>
              <w:rPr>
                <w:rFonts w:ascii="Arial" w:hAnsi="Arial" w:cs="Arial"/>
                <w:b/>
                <w:sz w:val="20"/>
                <w:szCs w:val="20"/>
              </w:rPr>
            </w:pPr>
            <w:r w:rsidRPr="002B3F36">
              <w:rPr>
                <w:rFonts w:ascii="Arial" w:hAnsi="Arial" w:cs="Arial"/>
                <w:b/>
                <w:sz w:val="20"/>
                <w:szCs w:val="20"/>
              </w:rPr>
              <w:t>Power:</w:t>
            </w:r>
            <w:r w:rsidRPr="002B3F36">
              <w:rPr>
                <w:rFonts w:ascii="Arial" w:hAnsi="Arial" w:cs="Arial"/>
                <w:b/>
                <w:spacing w:val="26"/>
                <w:sz w:val="20"/>
                <w:szCs w:val="20"/>
              </w:rPr>
              <w:t xml:space="preserve"> </w:t>
            </w:r>
            <w:r w:rsidRPr="002B3F36">
              <w:rPr>
                <w:rFonts w:ascii="Arial" w:hAnsi="Arial" w:cs="Arial"/>
                <w:b/>
                <w:spacing w:val="-2"/>
                <w:sz w:val="20"/>
                <w:szCs w:val="20"/>
              </w:rPr>
              <w:t>Approved</w:t>
            </w:r>
          </w:p>
          <w:p w14:paraId="31E833C5" w14:textId="77777777" w:rsidR="00F61F8E" w:rsidRPr="002B3F36" w:rsidRDefault="000F264B">
            <w:pPr>
              <w:pStyle w:val="TableParagraph"/>
              <w:spacing w:before="0"/>
              <w:ind w:left="101"/>
              <w:jc w:val="both"/>
              <w:rPr>
                <w:rFonts w:ascii="Arial" w:hAnsi="Arial" w:cs="Arial"/>
                <w:b/>
                <w:sz w:val="20"/>
                <w:szCs w:val="20"/>
              </w:rPr>
            </w:pPr>
            <w:r w:rsidRPr="002B3F36">
              <w:rPr>
                <w:rFonts w:ascii="Arial" w:hAnsi="Arial" w:cs="Arial"/>
                <w:b/>
                <w:sz w:val="20"/>
                <w:szCs w:val="20"/>
              </w:rPr>
              <w:t>Gas,</w:t>
            </w:r>
            <w:r w:rsidRPr="002B3F36">
              <w:rPr>
                <w:rFonts w:ascii="Arial" w:hAnsi="Arial" w:cs="Arial"/>
                <w:b/>
                <w:spacing w:val="23"/>
                <w:sz w:val="20"/>
                <w:szCs w:val="20"/>
              </w:rPr>
              <w:t xml:space="preserve"> </w:t>
            </w:r>
            <w:r w:rsidRPr="002B3F36">
              <w:rPr>
                <w:rFonts w:ascii="Arial" w:hAnsi="Arial" w:cs="Arial"/>
                <w:b/>
                <w:sz w:val="20"/>
                <w:szCs w:val="20"/>
              </w:rPr>
              <w:t>water</w:t>
            </w:r>
            <w:r w:rsidRPr="002B3F36">
              <w:rPr>
                <w:rFonts w:ascii="Arial" w:hAnsi="Arial" w:cs="Arial"/>
                <w:b/>
                <w:spacing w:val="22"/>
                <w:sz w:val="20"/>
                <w:szCs w:val="20"/>
              </w:rPr>
              <w:t xml:space="preserve"> </w:t>
            </w:r>
            <w:r w:rsidRPr="002B3F36">
              <w:rPr>
                <w:rFonts w:ascii="Arial" w:hAnsi="Arial" w:cs="Arial"/>
                <w:b/>
                <w:sz w:val="20"/>
                <w:szCs w:val="20"/>
              </w:rPr>
              <w:t>and</w:t>
            </w:r>
            <w:r w:rsidRPr="002B3F36">
              <w:rPr>
                <w:rFonts w:ascii="Arial" w:hAnsi="Arial" w:cs="Arial"/>
                <w:b/>
                <w:spacing w:val="22"/>
                <w:sz w:val="20"/>
                <w:szCs w:val="20"/>
              </w:rPr>
              <w:t xml:space="preserve"> </w:t>
            </w:r>
            <w:r w:rsidRPr="002B3F36">
              <w:rPr>
                <w:rFonts w:ascii="Arial" w:hAnsi="Arial" w:cs="Arial"/>
                <w:b/>
                <w:sz w:val="20"/>
                <w:szCs w:val="20"/>
              </w:rPr>
              <w:t>sewerage:</w:t>
            </w:r>
            <w:r w:rsidRPr="002B3F36">
              <w:rPr>
                <w:rFonts w:ascii="Arial" w:hAnsi="Arial" w:cs="Arial"/>
                <w:b/>
                <w:spacing w:val="25"/>
                <w:sz w:val="20"/>
                <w:szCs w:val="20"/>
              </w:rPr>
              <w:t xml:space="preserve"> </w:t>
            </w:r>
            <w:r w:rsidRPr="002B3F36">
              <w:rPr>
                <w:rFonts w:ascii="Arial" w:hAnsi="Arial" w:cs="Arial"/>
                <w:b/>
                <w:sz w:val="20"/>
                <w:szCs w:val="20"/>
              </w:rPr>
              <w:t>Approved</w:t>
            </w:r>
            <w:r w:rsidRPr="002B3F36">
              <w:rPr>
                <w:rFonts w:ascii="Arial" w:hAnsi="Arial" w:cs="Arial"/>
                <w:b/>
                <w:spacing w:val="21"/>
                <w:sz w:val="20"/>
                <w:szCs w:val="20"/>
              </w:rPr>
              <w:t xml:space="preserve"> </w:t>
            </w:r>
            <w:r w:rsidRPr="002B3F36">
              <w:rPr>
                <w:rFonts w:ascii="Arial" w:hAnsi="Arial" w:cs="Arial"/>
                <w:b/>
                <w:sz w:val="20"/>
                <w:szCs w:val="20"/>
              </w:rPr>
              <w:t>according</w:t>
            </w:r>
            <w:r w:rsidRPr="002B3F36">
              <w:rPr>
                <w:rFonts w:ascii="Arial" w:hAnsi="Arial" w:cs="Arial"/>
                <w:b/>
                <w:spacing w:val="25"/>
                <w:sz w:val="20"/>
                <w:szCs w:val="20"/>
              </w:rPr>
              <w:t xml:space="preserve"> </w:t>
            </w:r>
            <w:r w:rsidRPr="002B3F36">
              <w:rPr>
                <w:rFonts w:ascii="Arial" w:hAnsi="Arial" w:cs="Arial"/>
                <w:b/>
                <w:sz w:val="20"/>
                <w:szCs w:val="20"/>
              </w:rPr>
              <w:t>to</w:t>
            </w:r>
            <w:r w:rsidRPr="002B3F36">
              <w:rPr>
                <w:rFonts w:ascii="Arial" w:hAnsi="Arial" w:cs="Arial"/>
                <w:b/>
                <w:spacing w:val="22"/>
                <w:sz w:val="20"/>
                <w:szCs w:val="20"/>
              </w:rPr>
              <w:t xml:space="preserve"> </w:t>
            </w:r>
            <w:r w:rsidRPr="002B3F36">
              <w:rPr>
                <w:rFonts w:ascii="Arial" w:hAnsi="Arial" w:cs="Arial"/>
                <w:b/>
                <w:spacing w:val="-5"/>
                <w:sz w:val="20"/>
                <w:szCs w:val="20"/>
              </w:rPr>
              <w:t>KTZ</w:t>
            </w:r>
          </w:p>
          <w:p w14:paraId="3416CB0F" w14:textId="77777777" w:rsidR="00F61F8E" w:rsidRPr="002B3F36" w:rsidRDefault="00F61F8E">
            <w:pPr>
              <w:pStyle w:val="TableParagraph"/>
              <w:spacing w:before="0"/>
              <w:ind w:left="0"/>
              <w:jc w:val="both"/>
              <w:rPr>
                <w:rFonts w:ascii="Arial" w:hAnsi="Arial" w:cs="Arial"/>
                <w:sz w:val="20"/>
                <w:szCs w:val="20"/>
              </w:rPr>
            </w:pPr>
          </w:p>
          <w:p w14:paraId="6978C4A8" w14:textId="77777777" w:rsidR="00F61F8E" w:rsidRPr="002B3F36" w:rsidRDefault="000F264B">
            <w:pPr>
              <w:pStyle w:val="TableParagraph"/>
              <w:spacing w:before="0"/>
              <w:ind w:left="101"/>
              <w:jc w:val="both"/>
              <w:rPr>
                <w:rFonts w:ascii="Arial" w:hAnsi="Arial" w:cs="Arial"/>
                <w:sz w:val="20"/>
                <w:szCs w:val="20"/>
              </w:rPr>
            </w:pPr>
            <w:r w:rsidRPr="002B3F36">
              <w:rPr>
                <w:rFonts w:ascii="Arial" w:hAnsi="Arial" w:cs="Arial"/>
                <w:sz w:val="20"/>
                <w:szCs w:val="20"/>
              </w:rPr>
              <w:t>Document</w:t>
            </w:r>
            <w:r w:rsidRPr="002B3F36">
              <w:rPr>
                <w:rFonts w:ascii="Arial" w:hAnsi="Arial" w:cs="Arial"/>
                <w:spacing w:val="34"/>
                <w:sz w:val="20"/>
                <w:szCs w:val="20"/>
              </w:rPr>
              <w:t xml:space="preserve"> </w:t>
            </w:r>
            <w:r w:rsidRPr="002B3F36">
              <w:rPr>
                <w:rFonts w:ascii="Arial" w:hAnsi="Arial" w:cs="Arial"/>
                <w:spacing w:val="-2"/>
                <w:sz w:val="20"/>
                <w:szCs w:val="20"/>
              </w:rPr>
              <w:t>Reference:</w:t>
            </w:r>
          </w:p>
          <w:p w14:paraId="591D4270" w14:textId="77777777" w:rsidR="00F61F8E" w:rsidRPr="002B3F36" w:rsidRDefault="000F264B" w:rsidP="009B4CDB">
            <w:pPr>
              <w:pStyle w:val="TableParagraph"/>
              <w:numPr>
                <w:ilvl w:val="0"/>
                <w:numId w:val="64"/>
              </w:numPr>
              <w:tabs>
                <w:tab w:val="left" w:pos="461"/>
              </w:tabs>
              <w:spacing w:before="0"/>
              <w:ind w:right="369"/>
              <w:jc w:val="both"/>
              <w:rPr>
                <w:rFonts w:ascii="Arial" w:hAnsi="Arial" w:cs="Arial"/>
                <w:sz w:val="20"/>
                <w:szCs w:val="20"/>
              </w:rPr>
            </w:pPr>
            <w:r w:rsidRPr="002B3F36">
              <w:rPr>
                <w:rFonts w:ascii="Arial" w:hAnsi="Arial" w:cs="Arial"/>
                <w:sz w:val="20"/>
                <w:szCs w:val="20"/>
              </w:rPr>
              <w:t>Kazakhstan Electricity Grid Operating Company JSC (KEGOC) Ref. 01-09-08/7262 dated 23 October 2023 approved the Project.</w:t>
            </w:r>
          </w:p>
          <w:p w14:paraId="528AA19F" w14:textId="77777777" w:rsidR="00F61F8E" w:rsidRPr="002B3F36" w:rsidRDefault="000F264B" w:rsidP="009B4CDB">
            <w:pPr>
              <w:pStyle w:val="TableParagraph"/>
              <w:numPr>
                <w:ilvl w:val="0"/>
                <w:numId w:val="64"/>
              </w:numPr>
              <w:tabs>
                <w:tab w:val="left" w:pos="461"/>
              </w:tabs>
              <w:spacing w:before="0"/>
              <w:ind w:right="834"/>
              <w:jc w:val="both"/>
              <w:rPr>
                <w:rFonts w:ascii="Arial" w:hAnsi="Arial" w:cs="Arial"/>
                <w:sz w:val="20"/>
                <w:szCs w:val="20"/>
              </w:rPr>
            </w:pPr>
            <w:r w:rsidRPr="002B3F36">
              <w:rPr>
                <w:rFonts w:ascii="Arial" w:hAnsi="Arial" w:cs="Arial"/>
                <w:sz w:val="20"/>
                <w:szCs w:val="20"/>
              </w:rPr>
              <w:t>Gas, water and sewerage approval permits were unavailable for review at the time of writing.</w:t>
            </w:r>
          </w:p>
        </w:tc>
      </w:tr>
      <w:tr w:rsidR="00F61F8E" w:rsidRPr="002B3F36" w14:paraId="788DC7B2" w14:textId="77777777" w:rsidTr="000E123E">
        <w:trPr>
          <w:cantSplit/>
          <w:trHeight w:val="20"/>
        </w:trPr>
        <w:tc>
          <w:tcPr>
            <w:tcW w:w="2509" w:type="dxa"/>
            <w:vMerge/>
          </w:tcPr>
          <w:p w14:paraId="30A63E70" w14:textId="77777777" w:rsidR="00F61F8E" w:rsidRPr="002B3F36" w:rsidRDefault="00F61F8E">
            <w:pPr>
              <w:jc w:val="both"/>
              <w:rPr>
                <w:rFonts w:ascii="Arial" w:hAnsi="Arial" w:cs="Arial"/>
                <w:sz w:val="20"/>
                <w:szCs w:val="20"/>
              </w:rPr>
            </w:pPr>
          </w:p>
        </w:tc>
        <w:tc>
          <w:tcPr>
            <w:tcW w:w="1266" w:type="dxa"/>
          </w:tcPr>
          <w:p w14:paraId="74B61006" w14:textId="77777777" w:rsidR="00F61F8E" w:rsidRPr="002B3F36" w:rsidRDefault="000F264B">
            <w:pPr>
              <w:pStyle w:val="TableParagraph"/>
              <w:spacing w:before="0"/>
              <w:ind w:left="102"/>
              <w:jc w:val="both"/>
              <w:rPr>
                <w:rFonts w:ascii="Arial" w:hAnsi="Arial" w:cs="Arial"/>
                <w:sz w:val="20"/>
                <w:szCs w:val="20"/>
              </w:rPr>
            </w:pPr>
            <w:r w:rsidRPr="002B3F36">
              <w:rPr>
                <w:rFonts w:ascii="Arial" w:hAnsi="Arial" w:cs="Arial"/>
                <w:spacing w:val="-5"/>
                <w:sz w:val="20"/>
                <w:szCs w:val="20"/>
              </w:rPr>
              <w:t>Gas</w:t>
            </w:r>
          </w:p>
        </w:tc>
        <w:tc>
          <w:tcPr>
            <w:tcW w:w="5860" w:type="dxa"/>
            <w:vMerge/>
          </w:tcPr>
          <w:p w14:paraId="07919F02" w14:textId="77777777" w:rsidR="00F61F8E" w:rsidRPr="002B3F36" w:rsidRDefault="00F61F8E">
            <w:pPr>
              <w:jc w:val="both"/>
              <w:rPr>
                <w:rFonts w:ascii="Arial" w:hAnsi="Arial" w:cs="Arial"/>
                <w:sz w:val="20"/>
                <w:szCs w:val="20"/>
              </w:rPr>
            </w:pPr>
          </w:p>
        </w:tc>
      </w:tr>
      <w:tr w:rsidR="00F61F8E" w:rsidRPr="002B3F36" w14:paraId="605CC5F1" w14:textId="77777777" w:rsidTr="000E123E">
        <w:trPr>
          <w:cantSplit/>
          <w:trHeight w:val="20"/>
        </w:trPr>
        <w:tc>
          <w:tcPr>
            <w:tcW w:w="2509" w:type="dxa"/>
            <w:vMerge/>
          </w:tcPr>
          <w:p w14:paraId="7232EBCD" w14:textId="77777777" w:rsidR="00F61F8E" w:rsidRPr="002B3F36" w:rsidRDefault="00F61F8E">
            <w:pPr>
              <w:jc w:val="both"/>
              <w:rPr>
                <w:rFonts w:ascii="Arial" w:hAnsi="Arial" w:cs="Arial"/>
                <w:sz w:val="20"/>
                <w:szCs w:val="20"/>
              </w:rPr>
            </w:pPr>
          </w:p>
        </w:tc>
        <w:tc>
          <w:tcPr>
            <w:tcW w:w="1266" w:type="dxa"/>
          </w:tcPr>
          <w:p w14:paraId="268D064B" w14:textId="77777777" w:rsidR="00F61F8E" w:rsidRPr="002B3F36" w:rsidRDefault="000F264B">
            <w:pPr>
              <w:pStyle w:val="TableParagraph"/>
              <w:spacing w:before="0"/>
              <w:ind w:left="102"/>
              <w:jc w:val="both"/>
              <w:rPr>
                <w:rFonts w:ascii="Arial" w:hAnsi="Arial" w:cs="Arial"/>
                <w:sz w:val="20"/>
                <w:szCs w:val="20"/>
              </w:rPr>
            </w:pPr>
            <w:r w:rsidRPr="002B3F36">
              <w:rPr>
                <w:rFonts w:ascii="Arial" w:hAnsi="Arial" w:cs="Arial"/>
                <w:spacing w:val="-2"/>
                <w:sz w:val="20"/>
                <w:szCs w:val="20"/>
              </w:rPr>
              <w:t>Water</w:t>
            </w:r>
          </w:p>
        </w:tc>
        <w:tc>
          <w:tcPr>
            <w:tcW w:w="5860" w:type="dxa"/>
            <w:vMerge/>
          </w:tcPr>
          <w:p w14:paraId="0B37379A" w14:textId="77777777" w:rsidR="00F61F8E" w:rsidRPr="002B3F36" w:rsidRDefault="00F61F8E">
            <w:pPr>
              <w:jc w:val="both"/>
              <w:rPr>
                <w:rFonts w:ascii="Arial" w:hAnsi="Arial" w:cs="Arial"/>
                <w:sz w:val="20"/>
                <w:szCs w:val="20"/>
              </w:rPr>
            </w:pPr>
          </w:p>
        </w:tc>
      </w:tr>
      <w:tr w:rsidR="00F61F8E" w:rsidRPr="002B3F36" w14:paraId="79500736" w14:textId="77777777" w:rsidTr="000E123E">
        <w:trPr>
          <w:cantSplit/>
          <w:trHeight w:val="20"/>
        </w:trPr>
        <w:tc>
          <w:tcPr>
            <w:tcW w:w="2509" w:type="dxa"/>
            <w:vMerge/>
          </w:tcPr>
          <w:p w14:paraId="622294D3" w14:textId="77777777" w:rsidR="00F61F8E" w:rsidRPr="002B3F36" w:rsidRDefault="00F61F8E">
            <w:pPr>
              <w:jc w:val="both"/>
              <w:rPr>
                <w:rFonts w:ascii="Arial" w:hAnsi="Arial" w:cs="Arial"/>
                <w:sz w:val="20"/>
                <w:szCs w:val="20"/>
              </w:rPr>
            </w:pPr>
          </w:p>
        </w:tc>
        <w:tc>
          <w:tcPr>
            <w:tcW w:w="1266" w:type="dxa"/>
          </w:tcPr>
          <w:p w14:paraId="63B46088" w14:textId="77777777" w:rsidR="00F61F8E" w:rsidRPr="002B3F36" w:rsidRDefault="000F264B">
            <w:pPr>
              <w:pStyle w:val="TableParagraph"/>
              <w:spacing w:before="0"/>
              <w:ind w:left="102"/>
              <w:jc w:val="both"/>
              <w:rPr>
                <w:rFonts w:ascii="Arial" w:hAnsi="Arial" w:cs="Arial"/>
                <w:sz w:val="20"/>
                <w:szCs w:val="20"/>
              </w:rPr>
            </w:pPr>
            <w:r w:rsidRPr="002B3F36">
              <w:rPr>
                <w:rFonts w:ascii="Arial" w:hAnsi="Arial" w:cs="Arial"/>
                <w:spacing w:val="-2"/>
                <w:sz w:val="20"/>
                <w:szCs w:val="20"/>
              </w:rPr>
              <w:t>Sewerage</w:t>
            </w:r>
          </w:p>
        </w:tc>
        <w:tc>
          <w:tcPr>
            <w:tcW w:w="5860" w:type="dxa"/>
            <w:vMerge/>
          </w:tcPr>
          <w:p w14:paraId="19E8213E" w14:textId="77777777" w:rsidR="00F61F8E" w:rsidRPr="002B3F36" w:rsidRDefault="00F61F8E">
            <w:pPr>
              <w:jc w:val="both"/>
              <w:rPr>
                <w:rFonts w:ascii="Arial" w:hAnsi="Arial" w:cs="Arial"/>
                <w:sz w:val="20"/>
                <w:szCs w:val="20"/>
              </w:rPr>
            </w:pPr>
          </w:p>
        </w:tc>
      </w:tr>
    </w:tbl>
    <w:p w14:paraId="0E318B98" w14:textId="77777777" w:rsidR="00F61F8E" w:rsidRPr="002B3F36" w:rsidRDefault="00F61F8E">
      <w:pPr>
        <w:rPr>
          <w:rFonts w:ascii="Arial" w:hAnsi="Arial" w:cs="Arial"/>
        </w:rPr>
      </w:pPr>
      <w:bookmarkStart w:id="713" w:name="_bookmark76"/>
      <w:bookmarkEnd w:id="713"/>
    </w:p>
    <w:p w14:paraId="1DC50C21" w14:textId="77777777" w:rsidR="00F61F8E" w:rsidRPr="002B3F36" w:rsidRDefault="000F264B">
      <w:pPr>
        <w:pStyle w:val="20"/>
      </w:pPr>
      <w:bookmarkStart w:id="714" w:name="_Toc208973751"/>
      <w:bookmarkStart w:id="715" w:name="_Toc208973951"/>
      <w:bookmarkStart w:id="716" w:name="_Toc208974151"/>
      <w:bookmarkStart w:id="717" w:name="_Toc208974353"/>
      <w:bookmarkStart w:id="718" w:name="_Toc208974561"/>
      <w:bookmarkStart w:id="719" w:name="_Toc210589427"/>
      <w:r w:rsidRPr="002B3F36">
        <w:t>International</w:t>
      </w:r>
      <w:r w:rsidRPr="002B3F36">
        <w:rPr>
          <w:spacing w:val="44"/>
          <w:w w:val="150"/>
        </w:rPr>
        <w:t xml:space="preserve"> </w:t>
      </w:r>
      <w:r w:rsidRPr="002B3F36">
        <w:rPr>
          <w:spacing w:val="-2"/>
        </w:rPr>
        <w:t>Standards</w:t>
      </w:r>
      <w:bookmarkEnd w:id="714"/>
      <w:bookmarkEnd w:id="715"/>
      <w:bookmarkEnd w:id="716"/>
      <w:bookmarkEnd w:id="717"/>
      <w:bookmarkEnd w:id="718"/>
      <w:bookmarkEnd w:id="719"/>
    </w:p>
    <w:p w14:paraId="2B6F1386" w14:textId="77777777" w:rsidR="00F61F8E" w:rsidRPr="002B3F36" w:rsidRDefault="00F61F8E">
      <w:pPr>
        <w:pStyle w:val="ReportParagraph"/>
      </w:pPr>
    </w:p>
    <w:p w14:paraId="5F4CC4BC" w14:textId="77777777" w:rsidR="00F61F8E" w:rsidRPr="002B3F36" w:rsidRDefault="000F264B">
      <w:pPr>
        <w:pStyle w:val="ReportParagraph"/>
        <w:rPr>
          <w:b/>
        </w:rPr>
      </w:pPr>
      <w:r w:rsidRPr="002B3F36">
        <w:rPr>
          <w:rStyle w:val="ReportParagraphChar"/>
        </w:rPr>
        <w:t>The following constitute part of the applicable reference framework to be utilized for the</w:t>
      </w:r>
      <w:r w:rsidRPr="002B3F36">
        <w:t xml:space="preserve"> execution of this assignment:</w:t>
      </w:r>
    </w:p>
    <w:p w14:paraId="1F243DF6" w14:textId="77777777"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b/>
          <w:sz w:val="24"/>
          <w:szCs w:val="24"/>
          <w:lang w:eastAsia="en-PH"/>
        </w:rPr>
        <w:t>World Bank’s Performance Standards for Projects Supported by the Private Sector (2013)</w:t>
      </w:r>
      <w:r w:rsidRPr="002B3F36">
        <w:rPr>
          <w:rFonts w:ascii="Arial" w:eastAsia="Arial" w:hAnsi="Arial" w:cs="Arial"/>
          <w:sz w:val="24"/>
          <w:szCs w:val="24"/>
          <w:lang w:eastAsia="en-PH"/>
        </w:rPr>
        <w:t xml:space="preserve">: The World Bank’s Performance Standards for Projects Supported by the Private Sector (2013) provide an environmental and social policy framework </w:t>
      </w:r>
      <w:r w:rsidRPr="002B3F36">
        <w:rPr>
          <w:rFonts w:ascii="Arial" w:eastAsia="Arial" w:hAnsi="Arial" w:cs="Arial"/>
          <w:sz w:val="24"/>
          <w:szCs w:val="24"/>
          <w:lang w:eastAsia="en-PH"/>
        </w:rPr>
        <w:lastRenderedPageBreak/>
        <w:t>used by the World Bank and other development finance institutions to guide private sector investments. These eight Performance Standards outline requirements for managing environmental and social risks across key areas such as labor, land acquisition, biodiversity, community health, and cultural heritage. They are designed to promote sustainable outcomes, protect people and the environment, and ensure accountability throughout the project lifecycle.</w:t>
      </w:r>
    </w:p>
    <w:p w14:paraId="4C69BBCA" w14:textId="3DD2D180" w:rsidR="00F61F8E" w:rsidRPr="002B3F36" w:rsidRDefault="00F61F8E" w:rsidP="009B4CDB">
      <w:pPr>
        <w:widowControl/>
        <w:numPr>
          <w:ilvl w:val="0"/>
          <w:numId w:val="69"/>
        </w:numPr>
        <w:autoSpaceDE/>
        <w:autoSpaceDN/>
        <w:ind w:right="360"/>
        <w:jc w:val="both"/>
        <w:rPr>
          <w:rFonts w:ascii="Arial" w:eastAsia="Arial" w:hAnsi="Arial" w:cs="Arial"/>
          <w:sz w:val="24"/>
          <w:szCs w:val="24"/>
          <w:lang w:eastAsia="en-PH"/>
        </w:rPr>
      </w:pPr>
      <w:hyperlink r:id="rId48" w:history="1">
        <w:r w:rsidRPr="002B3F36">
          <w:rPr>
            <w:rFonts w:ascii="Arial" w:eastAsia="Arial" w:hAnsi="Arial" w:cs="Arial"/>
            <w:b/>
            <w:sz w:val="24"/>
            <w:szCs w:val="24"/>
            <w:lang w:eastAsia="en-PH"/>
          </w:rPr>
          <w:t>WBG General EHS Guidelines EHS</w:t>
        </w:r>
      </w:hyperlink>
      <w:r w:rsidR="000F264B" w:rsidRPr="002B3F36">
        <w:rPr>
          <w:rFonts w:ascii="Arial" w:eastAsia="Arial" w:hAnsi="Arial" w:cs="Arial"/>
          <w:b/>
          <w:sz w:val="24"/>
          <w:szCs w:val="24"/>
          <w:lang w:eastAsia="en-PH"/>
        </w:rPr>
        <w:t xml:space="preserve"> (2007)</w:t>
      </w:r>
      <w:r w:rsidR="000F264B" w:rsidRPr="002B3F36">
        <w:rPr>
          <w:rFonts w:ascii="Arial" w:eastAsia="Arial" w:hAnsi="Arial" w:cs="Arial"/>
          <w:sz w:val="24"/>
          <w:szCs w:val="24"/>
          <w:lang w:eastAsia="en-PH"/>
        </w:rPr>
        <w:t>: The World Bank Group (WBG) General Environmental, Health, and Safety (EHS) Guidelines (2007) provide technical reference standards for managing environmental, occupational health and safety, and community health and safety risks across a wide range of sectors. These guidelines outline performance levels and measures considered to be achievable in new and existing projects through the application of technically and financially feasible best practices. They are intended to be used in conjunction with sector-specific EHS guidelines and are applicable WB’s Performance Standards.</w:t>
      </w:r>
    </w:p>
    <w:p w14:paraId="0F5621C8" w14:textId="5BBC02D3" w:rsidR="00F61F8E" w:rsidRPr="002B3F36" w:rsidRDefault="000F264B" w:rsidP="009B4CDB">
      <w:pPr>
        <w:widowControl/>
        <w:numPr>
          <w:ilvl w:val="0"/>
          <w:numId w:val="69"/>
        </w:numPr>
        <w:autoSpaceDE/>
        <w:autoSpaceDN/>
        <w:ind w:right="360"/>
        <w:jc w:val="both"/>
        <w:rPr>
          <w:rFonts w:ascii="Arial" w:eastAsia="Arial" w:hAnsi="Arial" w:cs="Arial"/>
          <w:b/>
          <w:sz w:val="24"/>
          <w:szCs w:val="24"/>
          <w:lang w:eastAsia="en-PH"/>
        </w:rPr>
      </w:pPr>
      <w:r w:rsidRPr="002B3F36">
        <w:rPr>
          <w:rFonts w:ascii="Arial" w:eastAsia="Arial" w:hAnsi="Arial" w:cs="Arial"/>
          <w:b/>
          <w:sz w:val="24"/>
          <w:szCs w:val="24"/>
          <w:lang w:eastAsia="en-PH"/>
        </w:rPr>
        <w:t>WBG EHS Guidelines for Railways (2007):</w:t>
      </w:r>
      <w:r w:rsidRPr="002B3F36">
        <w:rPr>
          <w:rFonts w:ascii="Arial" w:eastAsia="Arial" w:hAnsi="Arial" w:cs="Arial"/>
          <w:sz w:val="24"/>
          <w:szCs w:val="24"/>
          <w:lang w:eastAsia="en-PH"/>
        </w:rPr>
        <w:t xml:space="preserve"> The WBG EHS Guidelines for Railways (2007) provide sector-specific guidance for the construction, operation, and decommissioning of railway infrastructure. These guidelines supplement the General EHS Guidelines and address industry-specific issues such as noise and vibration management, rail safety, hazardous materials transport, and emergency preparedness. They support the implementation of good international industry practice (GIIP) in alignment with the World Bank’s Performance Standards.</w:t>
      </w:r>
    </w:p>
    <w:p w14:paraId="765AB09F" w14:textId="129305B6"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b/>
          <w:sz w:val="24"/>
          <w:szCs w:val="24"/>
          <w:lang w:eastAsia="en-PH"/>
        </w:rPr>
        <w:t>WBG EHS Guidelines for Electric Power Transmission and Distribution (2007)</w:t>
      </w:r>
      <w:r w:rsidRPr="002B3F36">
        <w:rPr>
          <w:rFonts w:ascii="Arial" w:eastAsia="Arial" w:hAnsi="Arial" w:cs="Arial"/>
          <w:sz w:val="24"/>
          <w:szCs w:val="24"/>
          <w:lang w:eastAsia="en-PH"/>
        </w:rPr>
        <w:t>:  With non-electrified railway line, this does not apply.</w:t>
      </w:r>
    </w:p>
    <w:p w14:paraId="1036C218" w14:textId="77777777"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b/>
          <w:sz w:val="24"/>
          <w:szCs w:val="24"/>
          <w:lang w:eastAsia="en-PH"/>
        </w:rPr>
        <w:t>WBG EHS Guidelines for Construction Materials Extraction (2007)</w:t>
      </w:r>
      <w:r w:rsidRPr="002B3F36">
        <w:rPr>
          <w:rFonts w:ascii="Arial" w:eastAsia="Arial" w:hAnsi="Arial" w:cs="Arial"/>
          <w:sz w:val="24"/>
          <w:szCs w:val="24"/>
          <w:lang w:eastAsia="en-PH"/>
        </w:rPr>
        <w:t>: The WBG EHS Guidelines for Construction Materials Extraction (April 30, 2007) provide industry-specific technical standards and management measures applicable to quarrying operations involved in extracting construction aggregates such as limestone, clay, gypsum, and feldspar. These guidelines address key EHS risks—including dust generation, noise, vibration, land conversion, water quality impacts, and community health and safety—and are intended to be applied in conjunction with the General EHS Guidelines as good international industry practice. This guideline applies.</w:t>
      </w:r>
    </w:p>
    <w:p w14:paraId="1FC0CFCA" w14:textId="241AD6CE"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b/>
          <w:sz w:val="24"/>
          <w:szCs w:val="24"/>
          <w:lang w:eastAsia="en-PH"/>
        </w:rPr>
        <w:t>IFC Good Practice Note: Managing Contractors’ Environmental and Social Performance (2017):</w:t>
      </w:r>
      <w:r w:rsidRPr="002B3F36">
        <w:rPr>
          <w:rFonts w:ascii="Arial" w:eastAsia="Arial" w:hAnsi="Arial" w:cs="Arial"/>
          <w:sz w:val="24"/>
          <w:szCs w:val="24"/>
          <w:lang w:eastAsia="en-PH"/>
        </w:rPr>
        <w:t xml:space="preserve"> This Good Practice Note offers practical guidance for project clients on managing the environmental and social (E&amp;S) performance of contractors and subcontractors across all phases of project delivery—from prequalification and procurement to construction, operation, and demobilization. It emphasizes integrating E&amp;S requirements into contract documentation, conducting robust E&amp;S monitoring, and ensuring contractors adhere to WB Performance Standards and WBG EHS Guidelines.</w:t>
      </w:r>
      <w:r w:rsidRPr="002B3F36">
        <w:rPr>
          <w:rFonts w:ascii="Arial" w:eastAsia="Times New Roman" w:hAnsi="Arial" w:cs="Arial"/>
          <w:sz w:val="24"/>
          <w:szCs w:val="24"/>
          <w:lang w:eastAsia="en-PH"/>
        </w:rPr>
        <w:t xml:space="preserve"> </w:t>
      </w:r>
    </w:p>
    <w:p w14:paraId="42F02D48" w14:textId="461BAE0D"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b/>
          <w:sz w:val="24"/>
          <w:szCs w:val="24"/>
          <w:lang w:eastAsia="en-PH"/>
        </w:rPr>
        <w:t xml:space="preserve">IFC / EBRD Guidance on Worker Accommodation (2009): </w:t>
      </w:r>
      <w:r w:rsidRPr="002B3F36">
        <w:rPr>
          <w:rFonts w:ascii="Arial" w:eastAsia="Arial" w:hAnsi="Arial" w:cs="Arial"/>
          <w:sz w:val="24"/>
          <w:szCs w:val="24"/>
          <w:lang w:eastAsia="en-PH"/>
        </w:rPr>
        <w:t xml:space="preserve">Prepared jointly by IFC-WB and the European Bank for Reconstruction and Development, this Guidance Note outlines recommended practices for planning, constructing, and managing workers’ housing associated with project sites—ranging from temporary construction camps to permanent dormitories. It covers baseline assessments, site design standards, sanitation, service provision, safety, community impact mitigation, and grievance mechanisms in accordance with WB PS2 and EBRD Performance Requirement 2. </w:t>
      </w:r>
    </w:p>
    <w:p w14:paraId="69264487" w14:textId="2BD20BC0"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sz w:val="24"/>
          <w:szCs w:val="24"/>
          <w:lang w:eastAsia="en-PH"/>
        </w:rPr>
        <w:t>All ILO conventions signed and ratified by the country(es), all ILO conventions covering core labor standards and all ILO conventions covering the basic terms and conditions of employment; and</w:t>
      </w:r>
    </w:p>
    <w:p w14:paraId="7C1FEABF" w14:textId="77777777" w:rsidR="00F61F8E" w:rsidRPr="002B3F36" w:rsidRDefault="000F264B" w:rsidP="009B4CDB">
      <w:pPr>
        <w:widowControl/>
        <w:numPr>
          <w:ilvl w:val="0"/>
          <w:numId w:val="69"/>
        </w:numPr>
        <w:autoSpaceDE/>
        <w:autoSpaceDN/>
        <w:ind w:right="360"/>
        <w:jc w:val="both"/>
        <w:rPr>
          <w:rFonts w:ascii="Arial" w:eastAsia="Arial" w:hAnsi="Arial" w:cs="Arial"/>
          <w:sz w:val="24"/>
          <w:szCs w:val="24"/>
          <w:lang w:eastAsia="en-PH"/>
        </w:rPr>
      </w:pPr>
      <w:r w:rsidRPr="002B3F36">
        <w:rPr>
          <w:rFonts w:ascii="Arial" w:eastAsia="Arial" w:hAnsi="Arial" w:cs="Arial"/>
          <w:sz w:val="24"/>
          <w:szCs w:val="24"/>
          <w:lang w:eastAsia="en-PH"/>
        </w:rPr>
        <w:lastRenderedPageBreak/>
        <w:t>Relevant international conventions and protocols relating to environmental and social issues, as transposed into national legislation.</w:t>
      </w:r>
    </w:p>
    <w:p w14:paraId="6F7D9D51" w14:textId="77777777" w:rsidR="00F61F8E" w:rsidRPr="002B3F36" w:rsidRDefault="00F61F8E">
      <w:pPr>
        <w:pStyle w:val="ReportParagraph"/>
      </w:pPr>
    </w:p>
    <w:p w14:paraId="5358123D" w14:textId="6911F46A" w:rsidR="00F61F8E" w:rsidRPr="002B3F36" w:rsidRDefault="000F264B">
      <w:pPr>
        <w:pStyle w:val="ReportParagraph"/>
      </w:pPr>
      <w:r w:rsidRPr="002B3F36">
        <w:t>The Project shall adopt and implement the applicable provisions of the World Bank Group Environmental, Health, and Safety (EHS) Guidelines. The Environmental and Social Impact Assessment (ESIA) shall explicitly identify and document all applicable performance limits and standards relevant to project activities, rather than merely stating that the most rigorous requirements will apply. In instances where discrepancies exist between Kazakhstan’s national legal requirements and the EHS Guidelines, the more stringent standard shall prevail. This includes, where applicable, the enforcement of the most rigorous discharge, emission, and performance limits to ensure full alignment with the requirements of the World Bank</w:t>
      </w:r>
      <w:r w:rsidR="00163238" w:rsidRPr="002B3F36">
        <w:t xml:space="preserve"> Group’s</w:t>
      </w:r>
      <w:r w:rsidRPr="002B3F36">
        <w:t xml:space="preserve"> Performance Standards (WB</w:t>
      </w:r>
      <w:r w:rsidR="00163238" w:rsidRPr="002B3F36">
        <w:t>G</w:t>
      </w:r>
      <w:r w:rsidRPr="002B3F36">
        <w:t>PS).</w:t>
      </w:r>
    </w:p>
    <w:p w14:paraId="54104F60" w14:textId="77777777" w:rsidR="002E3FE6" w:rsidRPr="002B3F36" w:rsidRDefault="002E3FE6">
      <w:pPr>
        <w:pStyle w:val="ReportParagraph"/>
      </w:pPr>
    </w:p>
    <w:p w14:paraId="3CE1FD27" w14:textId="77777777" w:rsidR="00F61F8E" w:rsidRPr="002B3F36" w:rsidRDefault="000F264B" w:rsidP="005A68AD">
      <w:pPr>
        <w:pStyle w:val="31"/>
      </w:pPr>
      <w:bookmarkStart w:id="720" w:name="_bookmark79"/>
      <w:bookmarkStart w:id="721" w:name="_Toc208118903"/>
      <w:bookmarkStart w:id="722" w:name="_Toc208238301"/>
      <w:bookmarkStart w:id="723" w:name="_Toc208238463"/>
      <w:bookmarkStart w:id="724" w:name="_Toc208314998"/>
      <w:bookmarkStart w:id="725" w:name="_Toc208313426"/>
      <w:bookmarkStart w:id="726" w:name="_Toc208314301"/>
      <w:bookmarkStart w:id="727" w:name="_Toc208314484"/>
      <w:bookmarkStart w:id="728" w:name="_Toc208314669"/>
      <w:bookmarkStart w:id="729" w:name="_Toc208314853"/>
      <w:bookmarkStart w:id="730" w:name="_Toc208315065"/>
      <w:bookmarkStart w:id="731" w:name="_Toc208315252"/>
      <w:bookmarkStart w:id="732" w:name="_Toc208315438"/>
      <w:bookmarkStart w:id="733" w:name="_Toc208320057"/>
      <w:bookmarkStart w:id="734" w:name="_Toc208325084"/>
      <w:bookmarkStart w:id="735" w:name="_Toc208970068"/>
      <w:bookmarkStart w:id="736" w:name="_Toc208972035"/>
      <w:bookmarkStart w:id="737" w:name="_Toc208972340"/>
      <w:bookmarkStart w:id="738" w:name="_Toc208972548"/>
      <w:bookmarkStart w:id="739" w:name="_Toc208972751"/>
      <w:bookmarkStart w:id="740" w:name="_Toc208972949"/>
      <w:bookmarkStart w:id="741" w:name="_Toc208973209"/>
      <w:bookmarkStart w:id="742" w:name="_Toc208973752"/>
      <w:bookmarkStart w:id="743" w:name="_Toc208973952"/>
      <w:bookmarkStart w:id="744" w:name="_Toc208974152"/>
      <w:bookmarkStart w:id="745" w:name="_Toc208974354"/>
      <w:bookmarkStart w:id="746" w:name="_Toc208974562"/>
      <w:bookmarkStart w:id="747" w:name="_Toc208974823"/>
      <w:bookmarkStart w:id="748" w:name="_Toc208975021"/>
      <w:bookmarkStart w:id="749" w:name="_Toc208975236"/>
      <w:bookmarkStart w:id="750" w:name="_Toc208975757"/>
      <w:bookmarkStart w:id="751" w:name="_Toc208975955"/>
      <w:bookmarkStart w:id="752" w:name="_Toc208976898"/>
      <w:bookmarkStart w:id="753" w:name="_Toc208979679"/>
      <w:bookmarkStart w:id="754" w:name="_Toc208980164"/>
      <w:bookmarkStart w:id="755" w:name="_Toc209229547"/>
      <w:bookmarkStart w:id="756" w:name="_Toc209232645"/>
      <w:bookmarkStart w:id="757" w:name="_Toc209232878"/>
      <w:bookmarkStart w:id="758" w:name="_Toc209233101"/>
      <w:bookmarkStart w:id="759" w:name="_Toc209233324"/>
      <w:bookmarkStart w:id="760" w:name="_Toc209233541"/>
      <w:bookmarkStart w:id="761" w:name="_Toc209233758"/>
      <w:bookmarkStart w:id="762" w:name="_Toc209234044"/>
      <w:bookmarkStart w:id="763" w:name="_Toc209234259"/>
      <w:bookmarkStart w:id="764" w:name="_Toc209234477"/>
      <w:bookmarkStart w:id="765" w:name="_Toc209234767"/>
      <w:bookmarkStart w:id="766" w:name="_Toc209605106"/>
      <w:bookmarkStart w:id="767" w:name="_Toc209609041"/>
      <w:bookmarkStart w:id="768" w:name="_Toc208118904"/>
      <w:bookmarkStart w:id="769" w:name="_Toc208238302"/>
      <w:bookmarkStart w:id="770" w:name="_Toc208238464"/>
      <w:bookmarkStart w:id="771" w:name="_Toc208314999"/>
      <w:bookmarkStart w:id="772" w:name="_Toc208313427"/>
      <w:bookmarkStart w:id="773" w:name="_Toc208314302"/>
      <w:bookmarkStart w:id="774" w:name="_Toc208314485"/>
      <w:bookmarkStart w:id="775" w:name="_Toc208314670"/>
      <w:bookmarkStart w:id="776" w:name="_Toc208314854"/>
      <w:bookmarkStart w:id="777" w:name="_Toc208315066"/>
      <w:bookmarkStart w:id="778" w:name="_Toc208315253"/>
      <w:bookmarkStart w:id="779" w:name="_Toc208315439"/>
      <w:bookmarkStart w:id="780" w:name="_Toc208320058"/>
      <w:bookmarkStart w:id="781" w:name="_Toc208325085"/>
      <w:bookmarkStart w:id="782" w:name="_Toc208970069"/>
      <w:bookmarkStart w:id="783" w:name="_Toc208972036"/>
      <w:bookmarkStart w:id="784" w:name="_Toc208972341"/>
      <w:bookmarkStart w:id="785" w:name="_Toc208972549"/>
      <w:bookmarkStart w:id="786" w:name="_Toc208972752"/>
      <w:bookmarkStart w:id="787" w:name="_Toc208972950"/>
      <w:bookmarkStart w:id="788" w:name="_Toc208973210"/>
      <w:bookmarkStart w:id="789" w:name="_Toc208973753"/>
      <w:bookmarkStart w:id="790" w:name="_Toc208973953"/>
      <w:bookmarkStart w:id="791" w:name="_Toc208974153"/>
      <w:bookmarkStart w:id="792" w:name="_Toc208974355"/>
      <w:bookmarkStart w:id="793" w:name="_Toc208974563"/>
      <w:bookmarkStart w:id="794" w:name="_Toc208974824"/>
      <w:bookmarkStart w:id="795" w:name="_Toc208975022"/>
      <w:bookmarkStart w:id="796" w:name="_Toc208975237"/>
      <w:bookmarkStart w:id="797" w:name="_Toc208975758"/>
      <w:bookmarkStart w:id="798" w:name="_Toc208975956"/>
      <w:bookmarkStart w:id="799" w:name="_Toc208976899"/>
      <w:bookmarkStart w:id="800" w:name="_Toc208977088"/>
      <w:bookmarkStart w:id="801" w:name="_Toc208979680"/>
      <w:bookmarkStart w:id="802" w:name="_Toc208980165"/>
      <w:bookmarkStart w:id="803" w:name="_Toc209229548"/>
      <w:bookmarkStart w:id="804" w:name="_Toc209232646"/>
      <w:bookmarkStart w:id="805" w:name="_Toc209232879"/>
      <w:bookmarkStart w:id="806" w:name="_Toc209233102"/>
      <w:bookmarkStart w:id="807" w:name="_Toc209233325"/>
      <w:bookmarkStart w:id="808" w:name="_Toc209233542"/>
      <w:bookmarkStart w:id="809" w:name="_Toc209233759"/>
      <w:bookmarkStart w:id="810" w:name="_Toc209234045"/>
      <w:bookmarkStart w:id="811" w:name="_Toc209234260"/>
      <w:bookmarkStart w:id="812" w:name="_Toc209234478"/>
      <w:bookmarkStart w:id="813" w:name="_Toc209234768"/>
      <w:bookmarkStart w:id="814" w:name="_Toc209605107"/>
      <w:bookmarkStart w:id="815" w:name="_Toc209609042"/>
      <w:bookmarkStart w:id="816" w:name="_Toc208118905"/>
      <w:bookmarkStart w:id="817" w:name="_Toc208238303"/>
      <w:bookmarkStart w:id="818" w:name="_Toc208238465"/>
      <w:bookmarkStart w:id="819" w:name="_Toc208315000"/>
      <w:bookmarkStart w:id="820" w:name="_Toc208313428"/>
      <w:bookmarkStart w:id="821" w:name="_Toc208314303"/>
      <w:bookmarkStart w:id="822" w:name="_Toc208314486"/>
      <w:bookmarkStart w:id="823" w:name="_Toc208314671"/>
      <w:bookmarkStart w:id="824" w:name="_Toc208314855"/>
      <w:bookmarkStart w:id="825" w:name="_Toc208315067"/>
      <w:bookmarkStart w:id="826" w:name="_Toc208315254"/>
      <w:bookmarkStart w:id="827" w:name="_Toc208315440"/>
      <w:bookmarkStart w:id="828" w:name="_Toc208320059"/>
      <w:bookmarkStart w:id="829" w:name="_Toc208325086"/>
      <w:bookmarkStart w:id="830" w:name="_Toc208970070"/>
      <w:bookmarkStart w:id="831" w:name="_Toc208972037"/>
      <w:bookmarkStart w:id="832" w:name="_Toc208972342"/>
      <w:bookmarkStart w:id="833" w:name="_Toc208972550"/>
      <w:bookmarkStart w:id="834" w:name="_Toc208972753"/>
      <w:bookmarkStart w:id="835" w:name="_Toc208972951"/>
      <w:bookmarkStart w:id="836" w:name="_Toc208973211"/>
      <w:bookmarkStart w:id="837" w:name="_Toc208973754"/>
      <w:bookmarkStart w:id="838" w:name="_Toc208973954"/>
      <w:bookmarkStart w:id="839" w:name="_Toc208974154"/>
      <w:bookmarkStart w:id="840" w:name="_Toc208974356"/>
      <w:bookmarkStart w:id="841" w:name="_Toc208974564"/>
      <w:bookmarkStart w:id="842" w:name="_Toc208974825"/>
      <w:bookmarkStart w:id="843" w:name="_Toc208975023"/>
      <w:bookmarkStart w:id="844" w:name="_Toc208975238"/>
      <w:bookmarkStart w:id="845" w:name="_Toc208975759"/>
      <w:bookmarkStart w:id="846" w:name="_Toc208975957"/>
      <w:bookmarkStart w:id="847" w:name="_Toc208976900"/>
      <w:bookmarkStart w:id="848" w:name="_Toc208979681"/>
      <w:bookmarkStart w:id="849" w:name="_Toc208980166"/>
      <w:bookmarkStart w:id="850" w:name="_Toc209229549"/>
      <w:bookmarkStart w:id="851" w:name="_Toc209232647"/>
      <w:bookmarkStart w:id="852" w:name="_Toc209232880"/>
      <w:bookmarkStart w:id="853" w:name="_Toc209233103"/>
      <w:bookmarkStart w:id="854" w:name="_Toc209233326"/>
      <w:bookmarkStart w:id="855" w:name="_Toc209233543"/>
      <w:bookmarkStart w:id="856" w:name="_Toc209233760"/>
      <w:bookmarkStart w:id="857" w:name="_Toc209234046"/>
      <w:bookmarkStart w:id="858" w:name="_Toc209234261"/>
      <w:bookmarkStart w:id="859" w:name="_Toc209234479"/>
      <w:bookmarkStart w:id="860" w:name="_Toc209234769"/>
      <w:bookmarkStart w:id="861" w:name="_Toc209605108"/>
      <w:bookmarkStart w:id="862" w:name="_Toc209609043"/>
      <w:bookmarkStart w:id="863" w:name="_Toc208118906"/>
      <w:bookmarkStart w:id="864" w:name="_Toc208238304"/>
      <w:bookmarkStart w:id="865" w:name="_Toc208238466"/>
      <w:bookmarkStart w:id="866" w:name="_Toc208315001"/>
      <w:bookmarkStart w:id="867" w:name="_Toc208313429"/>
      <w:bookmarkStart w:id="868" w:name="_Toc208314304"/>
      <w:bookmarkStart w:id="869" w:name="_Toc208314487"/>
      <w:bookmarkStart w:id="870" w:name="_Toc208314672"/>
      <w:bookmarkStart w:id="871" w:name="_Toc208314856"/>
      <w:bookmarkStart w:id="872" w:name="_Toc208315068"/>
      <w:bookmarkStart w:id="873" w:name="_Toc208315255"/>
      <w:bookmarkStart w:id="874" w:name="_Toc208315441"/>
      <w:bookmarkStart w:id="875" w:name="_Toc208320060"/>
      <w:bookmarkStart w:id="876" w:name="_Toc208325087"/>
      <w:bookmarkStart w:id="877" w:name="_Toc208970071"/>
      <w:bookmarkStart w:id="878" w:name="_Toc208972038"/>
      <w:bookmarkStart w:id="879" w:name="_Toc208972343"/>
      <w:bookmarkStart w:id="880" w:name="_Toc208972551"/>
      <w:bookmarkStart w:id="881" w:name="_Toc208972754"/>
      <w:bookmarkStart w:id="882" w:name="_Toc208972952"/>
      <w:bookmarkStart w:id="883" w:name="_Toc208973212"/>
      <w:bookmarkStart w:id="884" w:name="_Toc208973755"/>
      <w:bookmarkStart w:id="885" w:name="_Toc208973955"/>
      <w:bookmarkStart w:id="886" w:name="_Toc208974155"/>
      <w:bookmarkStart w:id="887" w:name="_Toc208974357"/>
      <w:bookmarkStart w:id="888" w:name="_Toc208974565"/>
      <w:bookmarkStart w:id="889" w:name="_Toc208974826"/>
      <w:bookmarkStart w:id="890" w:name="_Toc208975024"/>
      <w:bookmarkStart w:id="891" w:name="_Toc208975239"/>
      <w:bookmarkStart w:id="892" w:name="_Toc208975760"/>
      <w:bookmarkStart w:id="893" w:name="_Toc208975958"/>
      <w:bookmarkStart w:id="894" w:name="_Toc208976901"/>
      <w:bookmarkStart w:id="895" w:name="_Toc208977090"/>
      <w:bookmarkStart w:id="896" w:name="_Toc208979682"/>
      <w:bookmarkStart w:id="897" w:name="_Toc208980167"/>
      <w:bookmarkStart w:id="898" w:name="_Toc209229550"/>
      <w:bookmarkStart w:id="899" w:name="_Toc209232648"/>
      <w:bookmarkStart w:id="900" w:name="_Toc209232881"/>
      <w:bookmarkStart w:id="901" w:name="_Toc209233104"/>
      <w:bookmarkStart w:id="902" w:name="_Toc209233327"/>
      <w:bookmarkStart w:id="903" w:name="_Toc209233544"/>
      <w:bookmarkStart w:id="904" w:name="_Toc209233761"/>
      <w:bookmarkStart w:id="905" w:name="_Toc209234047"/>
      <w:bookmarkStart w:id="906" w:name="_Toc209234262"/>
      <w:bookmarkStart w:id="907" w:name="_Toc209234480"/>
      <w:bookmarkStart w:id="908" w:name="_Toc209234770"/>
      <w:bookmarkStart w:id="909" w:name="_Toc209605109"/>
      <w:bookmarkStart w:id="910" w:name="_Toc209609044"/>
      <w:bookmarkStart w:id="911" w:name="_Toc208118907"/>
      <w:bookmarkStart w:id="912" w:name="_Toc208238305"/>
      <w:bookmarkStart w:id="913" w:name="_Toc208238467"/>
      <w:bookmarkStart w:id="914" w:name="_Toc208315002"/>
      <w:bookmarkStart w:id="915" w:name="_Toc208313430"/>
      <w:bookmarkStart w:id="916" w:name="_Toc208314305"/>
      <w:bookmarkStart w:id="917" w:name="_Toc208314488"/>
      <w:bookmarkStart w:id="918" w:name="_Toc208314673"/>
      <w:bookmarkStart w:id="919" w:name="_Toc208314857"/>
      <w:bookmarkStart w:id="920" w:name="_Toc208315069"/>
      <w:bookmarkStart w:id="921" w:name="_Toc208315256"/>
      <w:bookmarkStart w:id="922" w:name="_Toc208315442"/>
      <w:bookmarkStart w:id="923" w:name="_Toc208320061"/>
      <w:bookmarkStart w:id="924" w:name="_Toc208325088"/>
      <w:bookmarkStart w:id="925" w:name="_Toc208970072"/>
      <w:bookmarkStart w:id="926" w:name="_Toc208972039"/>
      <w:bookmarkStart w:id="927" w:name="_Toc208972344"/>
      <w:bookmarkStart w:id="928" w:name="_Toc208972552"/>
      <w:bookmarkStart w:id="929" w:name="_Toc208972755"/>
      <w:bookmarkStart w:id="930" w:name="_Toc208972953"/>
      <w:bookmarkStart w:id="931" w:name="_Toc208973213"/>
      <w:bookmarkStart w:id="932" w:name="_Toc208973756"/>
      <w:bookmarkStart w:id="933" w:name="_Toc208973956"/>
      <w:bookmarkStart w:id="934" w:name="_Toc208974156"/>
      <w:bookmarkStart w:id="935" w:name="_Toc208974358"/>
      <w:bookmarkStart w:id="936" w:name="_Toc208974566"/>
      <w:bookmarkStart w:id="937" w:name="_Toc208974827"/>
      <w:bookmarkStart w:id="938" w:name="_Toc208975025"/>
      <w:bookmarkStart w:id="939" w:name="_Toc208975240"/>
      <w:bookmarkStart w:id="940" w:name="_Toc208975761"/>
      <w:bookmarkStart w:id="941" w:name="_Toc208975959"/>
      <w:bookmarkStart w:id="942" w:name="_Toc208976902"/>
      <w:bookmarkStart w:id="943" w:name="_Toc208979683"/>
      <w:bookmarkStart w:id="944" w:name="_Toc208980168"/>
      <w:bookmarkStart w:id="945" w:name="_Toc209229551"/>
      <w:bookmarkStart w:id="946" w:name="_Toc209232649"/>
      <w:bookmarkStart w:id="947" w:name="_Toc209232882"/>
      <w:bookmarkStart w:id="948" w:name="_Toc209233105"/>
      <w:bookmarkStart w:id="949" w:name="_Toc209233328"/>
      <w:bookmarkStart w:id="950" w:name="_Toc209233545"/>
      <w:bookmarkStart w:id="951" w:name="_Toc209233762"/>
      <w:bookmarkStart w:id="952" w:name="_Toc209234048"/>
      <w:bookmarkStart w:id="953" w:name="_Toc209234263"/>
      <w:bookmarkStart w:id="954" w:name="_Toc209234481"/>
      <w:bookmarkStart w:id="955" w:name="_Toc209234771"/>
      <w:bookmarkStart w:id="956" w:name="_Toc209605110"/>
      <w:bookmarkStart w:id="957" w:name="_Toc209609045"/>
      <w:bookmarkStart w:id="958" w:name="_Toc208118908"/>
      <w:bookmarkStart w:id="959" w:name="_Toc208238306"/>
      <w:bookmarkStart w:id="960" w:name="_Toc208238468"/>
      <w:bookmarkStart w:id="961" w:name="_Toc208315003"/>
      <w:bookmarkStart w:id="962" w:name="_Toc208313431"/>
      <w:bookmarkStart w:id="963" w:name="_Toc208314306"/>
      <w:bookmarkStart w:id="964" w:name="_Toc208314489"/>
      <w:bookmarkStart w:id="965" w:name="_Toc208314674"/>
      <w:bookmarkStart w:id="966" w:name="_Toc208314858"/>
      <w:bookmarkStart w:id="967" w:name="_Toc208315070"/>
      <w:bookmarkStart w:id="968" w:name="_Toc208315257"/>
      <w:bookmarkStart w:id="969" w:name="_Toc208315443"/>
      <w:bookmarkStart w:id="970" w:name="_Toc208320062"/>
      <w:bookmarkStart w:id="971" w:name="_Toc208325089"/>
      <w:bookmarkStart w:id="972" w:name="_Toc208970073"/>
      <w:bookmarkStart w:id="973" w:name="_Toc208972040"/>
      <w:bookmarkStart w:id="974" w:name="_Toc208972345"/>
      <w:bookmarkStart w:id="975" w:name="_Toc208972553"/>
      <w:bookmarkStart w:id="976" w:name="_Toc208972756"/>
      <w:bookmarkStart w:id="977" w:name="_Toc208972954"/>
      <w:bookmarkStart w:id="978" w:name="_Toc208973214"/>
      <w:bookmarkStart w:id="979" w:name="_Toc208973757"/>
      <w:bookmarkStart w:id="980" w:name="_Toc208973957"/>
      <w:bookmarkStart w:id="981" w:name="_Toc208974157"/>
      <w:bookmarkStart w:id="982" w:name="_Toc208974359"/>
      <w:bookmarkStart w:id="983" w:name="_Toc208974567"/>
      <w:bookmarkStart w:id="984" w:name="_Toc208974828"/>
      <w:bookmarkStart w:id="985" w:name="_Toc208975026"/>
      <w:bookmarkStart w:id="986" w:name="_Toc208975241"/>
      <w:bookmarkStart w:id="987" w:name="_Toc208975762"/>
      <w:bookmarkStart w:id="988" w:name="_Toc208975960"/>
      <w:bookmarkStart w:id="989" w:name="_Toc208976903"/>
      <w:bookmarkStart w:id="990" w:name="_Toc208979684"/>
      <w:bookmarkStart w:id="991" w:name="_Toc208980169"/>
      <w:bookmarkStart w:id="992" w:name="_Toc209229552"/>
      <w:bookmarkStart w:id="993" w:name="_Toc209232650"/>
      <w:bookmarkStart w:id="994" w:name="_Toc209232883"/>
      <w:bookmarkStart w:id="995" w:name="_Toc209233106"/>
      <w:bookmarkStart w:id="996" w:name="_Toc209233329"/>
      <w:bookmarkStart w:id="997" w:name="_Toc209233546"/>
      <w:bookmarkStart w:id="998" w:name="_Toc209233763"/>
      <w:bookmarkStart w:id="999" w:name="_Toc209234049"/>
      <w:bookmarkStart w:id="1000" w:name="_Toc209234264"/>
      <w:bookmarkStart w:id="1001" w:name="_Toc209234482"/>
      <w:bookmarkStart w:id="1002" w:name="_Toc209234772"/>
      <w:bookmarkStart w:id="1003" w:name="_Toc209605111"/>
      <w:bookmarkStart w:id="1004" w:name="_Toc209609046"/>
      <w:bookmarkStart w:id="1005" w:name="_Toc208118909"/>
      <w:bookmarkStart w:id="1006" w:name="_Toc208238307"/>
      <w:bookmarkStart w:id="1007" w:name="_Toc208238469"/>
      <w:bookmarkStart w:id="1008" w:name="_Toc208315004"/>
      <w:bookmarkStart w:id="1009" w:name="_Toc208313432"/>
      <w:bookmarkStart w:id="1010" w:name="_Toc208314307"/>
      <w:bookmarkStart w:id="1011" w:name="_Toc208314490"/>
      <w:bookmarkStart w:id="1012" w:name="_Toc208314675"/>
      <w:bookmarkStart w:id="1013" w:name="_Toc208314859"/>
      <w:bookmarkStart w:id="1014" w:name="_Toc208315071"/>
      <w:bookmarkStart w:id="1015" w:name="_Toc208315258"/>
      <w:bookmarkStart w:id="1016" w:name="_Toc208315444"/>
      <w:bookmarkStart w:id="1017" w:name="_Toc208320063"/>
      <w:bookmarkStart w:id="1018" w:name="_Toc208325090"/>
      <w:bookmarkStart w:id="1019" w:name="_Toc208970074"/>
      <w:bookmarkStart w:id="1020" w:name="_Toc208972041"/>
      <w:bookmarkStart w:id="1021" w:name="_Toc208972346"/>
      <w:bookmarkStart w:id="1022" w:name="_Toc208972554"/>
      <w:bookmarkStart w:id="1023" w:name="_Toc208972757"/>
      <w:bookmarkStart w:id="1024" w:name="_Toc208972955"/>
      <w:bookmarkStart w:id="1025" w:name="_Toc208973215"/>
      <w:bookmarkStart w:id="1026" w:name="_Toc208973758"/>
      <w:bookmarkStart w:id="1027" w:name="_Toc208973958"/>
      <w:bookmarkStart w:id="1028" w:name="_Toc208974158"/>
      <w:bookmarkStart w:id="1029" w:name="_Toc208974360"/>
      <w:bookmarkStart w:id="1030" w:name="_Toc208974568"/>
      <w:bookmarkStart w:id="1031" w:name="_Toc208974829"/>
      <w:bookmarkStart w:id="1032" w:name="_Toc208975027"/>
      <w:bookmarkStart w:id="1033" w:name="_Toc208975242"/>
      <w:bookmarkStart w:id="1034" w:name="_Toc208975763"/>
      <w:bookmarkStart w:id="1035" w:name="_Toc208975961"/>
      <w:bookmarkStart w:id="1036" w:name="_Toc208976904"/>
      <w:bookmarkStart w:id="1037" w:name="_Toc208979685"/>
      <w:bookmarkStart w:id="1038" w:name="_Toc208980170"/>
      <w:bookmarkStart w:id="1039" w:name="_Toc209229553"/>
      <w:bookmarkStart w:id="1040" w:name="_Toc209232651"/>
      <w:bookmarkStart w:id="1041" w:name="_Toc209232884"/>
      <w:bookmarkStart w:id="1042" w:name="_Toc209233107"/>
      <w:bookmarkStart w:id="1043" w:name="_Toc209233330"/>
      <w:bookmarkStart w:id="1044" w:name="_Toc209233547"/>
      <w:bookmarkStart w:id="1045" w:name="_Toc209233764"/>
      <w:bookmarkStart w:id="1046" w:name="_Toc209234050"/>
      <w:bookmarkStart w:id="1047" w:name="_Toc209234265"/>
      <w:bookmarkStart w:id="1048" w:name="_Toc209234483"/>
      <w:bookmarkStart w:id="1049" w:name="_Toc209234773"/>
      <w:bookmarkStart w:id="1050" w:name="_Toc209605112"/>
      <w:bookmarkStart w:id="1051" w:name="_Toc209609047"/>
      <w:bookmarkStart w:id="1052" w:name="_Toc208118910"/>
      <w:bookmarkStart w:id="1053" w:name="_Toc208238308"/>
      <w:bookmarkStart w:id="1054" w:name="_Toc208238470"/>
      <w:bookmarkStart w:id="1055" w:name="_Toc208315005"/>
      <w:bookmarkStart w:id="1056" w:name="_Toc208313433"/>
      <w:bookmarkStart w:id="1057" w:name="_Toc208314308"/>
      <w:bookmarkStart w:id="1058" w:name="_Toc208314491"/>
      <w:bookmarkStart w:id="1059" w:name="_Toc208314676"/>
      <w:bookmarkStart w:id="1060" w:name="_Toc208314860"/>
      <w:bookmarkStart w:id="1061" w:name="_Toc208315072"/>
      <w:bookmarkStart w:id="1062" w:name="_Toc208315259"/>
      <w:bookmarkStart w:id="1063" w:name="_Toc208315445"/>
      <w:bookmarkStart w:id="1064" w:name="_Toc208320064"/>
      <w:bookmarkStart w:id="1065" w:name="_Toc208325091"/>
      <w:bookmarkStart w:id="1066" w:name="_Toc208970075"/>
      <w:bookmarkStart w:id="1067" w:name="_Toc208972042"/>
      <w:bookmarkStart w:id="1068" w:name="_Toc208972347"/>
      <w:bookmarkStart w:id="1069" w:name="_Toc208972555"/>
      <w:bookmarkStart w:id="1070" w:name="_Toc208972758"/>
      <w:bookmarkStart w:id="1071" w:name="_Toc208972956"/>
      <w:bookmarkStart w:id="1072" w:name="_Toc208973216"/>
      <w:bookmarkStart w:id="1073" w:name="_Toc208973759"/>
      <w:bookmarkStart w:id="1074" w:name="_Toc208973959"/>
      <w:bookmarkStart w:id="1075" w:name="_Toc208974159"/>
      <w:bookmarkStart w:id="1076" w:name="_Toc208974361"/>
      <w:bookmarkStart w:id="1077" w:name="_Toc208974569"/>
      <w:bookmarkStart w:id="1078" w:name="_Toc208974830"/>
      <w:bookmarkStart w:id="1079" w:name="_Toc208975028"/>
      <w:bookmarkStart w:id="1080" w:name="_Toc208975243"/>
      <w:bookmarkStart w:id="1081" w:name="_Toc208975764"/>
      <w:bookmarkStart w:id="1082" w:name="_Toc208975962"/>
      <w:bookmarkStart w:id="1083" w:name="_Toc208976905"/>
      <w:bookmarkStart w:id="1084" w:name="_Toc208977094"/>
      <w:bookmarkStart w:id="1085" w:name="_Toc208979686"/>
      <w:bookmarkStart w:id="1086" w:name="_Toc208980171"/>
      <w:bookmarkStart w:id="1087" w:name="_Toc209229554"/>
      <w:bookmarkStart w:id="1088" w:name="_Toc209232652"/>
      <w:bookmarkStart w:id="1089" w:name="_Toc209232885"/>
      <w:bookmarkStart w:id="1090" w:name="_Toc209233108"/>
      <w:bookmarkStart w:id="1091" w:name="_Toc209233331"/>
      <w:bookmarkStart w:id="1092" w:name="_Toc209233548"/>
      <w:bookmarkStart w:id="1093" w:name="_Toc209233765"/>
      <w:bookmarkStart w:id="1094" w:name="_Toc209234051"/>
      <w:bookmarkStart w:id="1095" w:name="_Toc209234266"/>
      <w:bookmarkStart w:id="1096" w:name="_Toc209234484"/>
      <w:bookmarkStart w:id="1097" w:name="_Toc209234774"/>
      <w:bookmarkStart w:id="1098" w:name="_Toc209605113"/>
      <w:bookmarkStart w:id="1099" w:name="_Toc209609048"/>
      <w:bookmarkStart w:id="1100" w:name="_Toc208118911"/>
      <w:bookmarkStart w:id="1101" w:name="_Toc208238309"/>
      <w:bookmarkStart w:id="1102" w:name="_Toc208238471"/>
      <w:bookmarkStart w:id="1103" w:name="_Toc208315006"/>
      <w:bookmarkStart w:id="1104" w:name="_Toc208313434"/>
      <w:bookmarkStart w:id="1105" w:name="_Toc208314309"/>
      <w:bookmarkStart w:id="1106" w:name="_Toc208314492"/>
      <w:bookmarkStart w:id="1107" w:name="_Toc208314677"/>
      <w:bookmarkStart w:id="1108" w:name="_Toc208314861"/>
      <w:bookmarkStart w:id="1109" w:name="_Toc208315073"/>
      <w:bookmarkStart w:id="1110" w:name="_Toc208315260"/>
      <w:bookmarkStart w:id="1111" w:name="_Toc208315446"/>
      <w:bookmarkStart w:id="1112" w:name="_Toc208320065"/>
      <w:bookmarkStart w:id="1113" w:name="_Toc208325092"/>
      <w:bookmarkStart w:id="1114" w:name="_Toc208970076"/>
      <w:bookmarkStart w:id="1115" w:name="_Toc208972043"/>
      <w:bookmarkStart w:id="1116" w:name="_Toc208972348"/>
      <w:bookmarkStart w:id="1117" w:name="_Toc208972556"/>
      <w:bookmarkStart w:id="1118" w:name="_Toc208972759"/>
      <w:bookmarkStart w:id="1119" w:name="_Toc208972957"/>
      <w:bookmarkStart w:id="1120" w:name="_Toc208973217"/>
      <w:bookmarkStart w:id="1121" w:name="_Toc208973760"/>
      <w:bookmarkStart w:id="1122" w:name="_Toc208973960"/>
      <w:bookmarkStart w:id="1123" w:name="_Toc208974160"/>
      <w:bookmarkStart w:id="1124" w:name="_Toc208974362"/>
      <w:bookmarkStart w:id="1125" w:name="_Toc208974570"/>
      <w:bookmarkStart w:id="1126" w:name="_Toc208974831"/>
      <w:bookmarkStart w:id="1127" w:name="_Toc208975029"/>
      <w:bookmarkStart w:id="1128" w:name="_Toc208975244"/>
      <w:bookmarkStart w:id="1129" w:name="_Toc208975765"/>
      <w:bookmarkStart w:id="1130" w:name="_Toc208975963"/>
      <w:bookmarkStart w:id="1131" w:name="_Toc208976906"/>
      <w:bookmarkStart w:id="1132" w:name="_Toc208979687"/>
      <w:bookmarkStart w:id="1133" w:name="_Toc208980172"/>
      <w:bookmarkStart w:id="1134" w:name="_Toc209229555"/>
      <w:bookmarkStart w:id="1135" w:name="_Toc209232653"/>
      <w:bookmarkStart w:id="1136" w:name="_Toc209232886"/>
      <w:bookmarkStart w:id="1137" w:name="_Toc209233109"/>
      <w:bookmarkStart w:id="1138" w:name="_Toc209233332"/>
      <w:bookmarkStart w:id="1139" w:name="_Toc209233549"/>
      <w:bookmarkStart w:id="1140" w:name="_Toc209233766"/>
      <w:bookmarkStart w:id="1141" w:name="_Toc209234052"/>
      <w:bookmarkStart w:id="1142" w:name="_Toc209234267"/>
      <w:bookmarkStart w:id="1143" w:name="_Toc209234485"/>
      <w:bookmarkStart w:id="1144" w:name="_Toc209234775"/>
      <w:bookmarkStart w:id="1145" w:name="_Toc209605114"/>
      <w:bookmarkStart w:id="1146" w:name="_Toc209609049"/>
      <w:bookmarkStart w:id="1147" w:name="_Toc208118912"/>
      <w:bookmarkStart w:id="1148" w:name="_Toc208238310"/>
      <w:bookmarkStart w:id="1149" w:name="_Toc208238472"/>
      <w:bookmarkStart w:id="1150" w:name="_Toc208315007"/>
      <w:bookmarkStart w:id="1151" w:name="_Toc208313435"/>
      <w:bookmarkStart w:id="1152" w:name="_Toc208314310"/>
      <w:bookmarkStart w:id="1153" w:name="_Toc208314493"/>
      <w:bookmarkStart w:id="1154" w:name="_Toc208314678"/>
      <w:bookmarkStart w:id="1155" w:name="_Toc208314862"/>
      <w:bookmarkStart w:id="1156" w:name="_Toc208315074"/>
      <w:bookmarkStart w:id="1157" w:name="_Toc208315261"/>
      <w:bookmarkStart w:id="1158" w:name="_Toc208315447"/>
      <w:bookmarkStart w:id="1159" w:name="_Toc208320066"/>
      <w:bookmarkStart w:id="1160" w:name="_Toc208325093"/>
      <w:bookmarkStart w:id="1161" w:name="_Toc208970077"/>
      <w:bookmarkStart w:id="1162" w:name="_Toc208972044"/>
      <w:bookmarkStart w:id="1163" w:name="_Toc208972349"/>
      <w:bookmarkStart w:id="1164" w:name="_Toc208972557"/>
      <w:bookmarkStart w:id="1165" w:name="_Toc208972760"/>
      <w:bookmarkStart w:id="1166" w:name="_Toc208972958"/>
      <w:bookmarkStart w:id="1167" w:name="_Toc208973218"/>
      <w:bookmarkStart w:id="1168" w:name="_Toc208973761"/>
      <w:bookmarkStart w:id="1169" w:name="_Toc208973961"/>
      <w:bookmarkStart w:id="1170" w:name="_Toc208974161"/>
      <w:bookmarkStart w:id="1171" w:name="_Toc208974363"/>
      <w:bookmarkStart w:id="1172" w:name="_Toc208974571"/>
      <w:bookmarkStart w:id="1173" w:name="_Toc208974832"/>
      <w:bookmarkStart w:id="1174" w:name="_Toc208975030"/>
      <w:bookmarkStart w:id="1175" w:name="_Toc208975245"/>
      <w:bookmarkStart w:id="1176" w:name="_Toc208975766"/>
      <w:bookmarkStart w:id="1177" w:name="_Toc208975964"/>
      <w:bookmarkStart w:id="1178" w:name="_Toc208976907"/>
      <w:bookmarkStart w:id="1179" w:name="_Toc208979688"/>
      <w:bookmarkStart w:id="1180" w:name="_Toc208980173"/>
      <w:bookmarkStart w:id="1181" w:name="_Toc209229556"/>
      <w:bookmarkStart w:id="1182" w:name="_Toc209232654"/>
      <w:bookmarkStart w:id="1183" w:name="_Toc209232887"/>
      <w:bookmarkStart w:id="1184" w:name="_Toc209233110"/>
      <w:bookmarkStart w:id="1185" w:name="_Toc209233333"/>
      <w:bookmarkStart w:id="1186" w:name="_Toc209233550"/>
      <w:bookmarkStart w:id="1187" w:name="_Toc209233767"/>
      <w:bookmarkStart w:id="1188" w:name="_Toc209234053"/>
      <w:bookmarkStart w:id="1189" w:name="_Toc209234268"/>
      <w:bookmarkStart w:id="1190" w:name="_Toc209234486"/>
      <w:bookmarkStart w:id="1191" w:name="_Toc209234776"/>
      <w:bookmarkStart w:id="1192" w:name="_Toc209605115"/>
      <w:bookmarkStart w:id="1193" w:name="_Toc209609050"/>
      <w:bookmarkStart w:id="1194" w:name="_Toc208118913"/>
      <w:bookmarkStart w:id="1195" w:name="_Toc208238311"/>
      <w:bookmarkStart w:id="1196" w:name="_Toc208238473"/>
      <w:bookmarkStart w:id="1197" w:name="_Toc208315008"/>
      <w:bookmarkStart w:id="1198" w:name="_Toc208313436"/>
      <w:bookmarkStart w:id="1199" w:name="_Toc208314311"/>
      <w:bookmarkStart w:id="1200" w:name="_Toc208314494"/>
      <w:bookmarkStart w:id="1201" w:name="_Toc208314679"/>
      <w:bookmarkStart w:id="1202" w:name="_Toc208314863"/>
      <w:bookmarkStart w:id="1203" w:name="_Toc208315075"/>
      <w:bookmarkStart w:id="1204" w:name="_Toc208315262"/>
      <w:bookmarkStart w:id="1205" w:name="_Toc208315448"/>
      <w:bookmarkStart w:id="1206" w:name="_Toc208320067"/>
      <w:bookmarkStart w:id="1207" w:name="_Toc208325094"/>
      <w:bookmarkStart w:id="1208" w:name="_Toc208970078"/>
      <w:bookmarkStart w:id="1209" w:name="_Toc208972045"/>
      <w:bookmarkStart w:id="1210" w:name="_Toc208972350"/>
      <w:bookmarkStart w:id="1211" w:name="_Toc208972558"/>
      <w:bookmarkStart w:id="1212" w:name="_Toc208972761"/>
      <w:bookmarkStart w:id="1213" w:name="_Toc208972959"/>
      <w:bookmarkStart w:id="1214" w:name="_Toc208973219"/>
      <w:bookmarkStart w:id="1215" w:name="_Toc208973762"/>
      <w:bookmarkStart w:id="1216" w:name="_Toc208973962"/>
      <w:bookmarkStart w:id="1217" w:name="_Toc208974162"/>
      <w:bookmarkStart w:id="1218" w:name="_Toc208974364"/>
      <w:bookmarkStart w:id="1219" w:name="_Toc208974572"/>
      <w:bookmarkStart w:id="1220" w:name="_Toc208974833"/>
      <w:bookmarkStart w:id="1221" w:name="_Toc208975031"/>
      <w:bookmarkStart w:id="1222" w:name="_Toc208975246"/>
      <w:bookmarkStart w:id="1223" w:name="_Toc208975767"/>
      <w:bookmarkStart w:id="1224" w:name="_Toc208975965"/>
      <w:bookmarkStart w:id="1225" w:name="_Toc208976908"/>
      <w:bookmarkStart w:id="1226" w:name="_Toc208979689"/>
      <w:bookmarkStart w:id="1227" w:name="_Toc208980174"/>
      <w:bookmarkStart w:id="1228" w:name="_Toc209229557"/>
      <w:bookmarkStart w:id="1229" w:name="_Toc209232655"/>
      <w:bookmarkStart w:id="1230" w:name="_Toc209232888"/>
      <w:bookmarkStart w:id="1231" w:name="_Toc209233111"/>
      <w:bookmarkStart w:id="1232" w:name="_Toc209233334"/>
      <w:bookmarkStart w:id="1233" w:name="_Toc209233551"/>
      <w:bookmarkStart w:id="1234" w:name="_Toc209233768"/>
      <w:bookmarkStart w:id="1235" w:name="_Toc209234054"/>
      <w:bookmarkStart w:id="1236" w:name="_Toc209234269"/>
      <w:bookmarkStart w:id="1237" w:name="_Toc209234487"/>
      <w:bookmarkStart w:id="1238" w:name="_Toc209234777"/>
      <w:bookmarkStart w:id="1239" w:name="_Toc209605116"/>
      <w:bookmarkStart w:id="1240" w:name="_Toc209609051"/>
      <w:bookmarkStart w:id="1241" w:name="_Toc208118914"/>
      <w:bookmarkStart w:id="1242" w:name="_Toc208238312"/>
      <w:bookmarkStart w:id="1243" w:name="_Toc208238474"/>
      <w:bookmarkStart w:id="1244" w:name="_Toc208315009"/>
      <w:bookmarkStart w:id="1245" w:name="_Toc208313437"/>
      <w:bookmarkStart w:id="1246" w:name="_Toc208314312"/>
      <w:bookmarkStart w:id="1247" w:name="_Toc208314495"/>
      <w:bookmarkStart w:id="1248" w:name="_Toc208314680"/>
      <w:bookmarkStart w:id="1249" w:name="_Toc208314864"/>
      <w:bookmarkStart w:id="1250" w:name="_Toc208315076"/>
      <w:bookmarkStart w:id="1251" w:name="_Toc208315263"/>
      <w:bookmarkStart w:id="1252" w:name="_Toc208315449"/>
      <w:bookmarkStart w:id="1253" w:name="_Toc208320068"/>
      <w:bookmarkStart w:id="1254" w:name="_Toc208325095"/>
      <w:bookmarkStart w:id="1255" w:name="_Toc208970079"/>
      <w:bookmarkStart w:id="1256" w:name="_Toc208972046"/>
      <w:bookmarkStart w:id="1257" w:name="_Toc208972351"/>
      <w:bookmarkStart w:id="1258" w:name="_Toc208972559"/>
      <w:bookmarkStart w:id="1259" w:name="_Toc208972762"/>
      <w:bookmarkStart w:id="1260" w:name="_Toc208972960"/>
      <w:bookmarkStart w:id="1261" w:name="_Toc208973220"/>
      <w:bookmarkStart w:id="1262" w:name="_Toc208973763"/>
      <w:bookmarkStart w:id="1263" w:name="_Toc208973963"/>
      <w:bookmarkStart w:id="1264" w:name="_Toc208974163"/>
      <w:bookmarkStart w:id="1265" w:name="_Toc208974365"/>
      <w:bookmarkStart w:id="1266" w:name="_Toc208974573"/>
      <w:bookmarkStart w:id="1267" w:name="_Toc208974834"/>
      <w:bookmarkStart w:id="1268" w:name="_Toc208975032"/>
      <w:bookmarkStart w:id="1269" w:name="_Toc208975247"/>
      <w:bookmarkStart w:id="1270" w:name="_Toc208975768"/>
      <w:bookmarkStart w:id="1271" w:name="_Toc208975966"/>
      <w:bookmarkStart w:id="1272" w:name="_Toc208976909"/>
      <w:bookmarkStart w:id="1273" w:name="_Toc208977098"/>
      <w:bookmarkStart w:id="1274" w:name="_Toc208979690"/>
      <w:bookmarkStart w:id="1275" w:name="_Toc208980175"/>
      <w:bookmarkStart w:id="1276" w:name="_Toc209229558"/>
      <w:bookmarkStart w:id="1277" w:name="_Toc209232656"/>
      <w:bookmarkStart w:id="1278" w:name="_Toc209232889"/>
      <w:bookmarkStart w:id="1279" w:name="_Toc209233112"/>
      <w:bookmarkStart w:id="1280" w:name="_Toc209233335"/>
      <w:bookmarkStart w:id="1281" w:name="_Toc209233552"/>
      <w:bookmarkStart w:id="1282" w:name="_Toc209233769"/>
      <w:bookmarkStart w:id="1283" w:name="_Toc209234055"/>
      <w:bookmarkStart w:id="1284" w:name="_Toc209234270"/>
      <w:bookmarkStart w:id="1285" w:name="_Toc209234488"/>
      <w:bookmarkStart w:id="1286" w:name="_Toc209234778"/>
      <w:bookmarkStart w:id="1287" w:name="_Toc209605117"/>
      <w:bookmarkStart w:id="1288" w:name="_Toc209609052"/>
      <w:bookmarkStart w:id="1289" w:name="_Toc208118915"/>
      <w:bookmarkStart w:id="1290" w:name="_Toc208238313"/>
      <w:bookmarkStart w:id="1291" w:name="_Toc208238475"/>
      <w:bookmarkStart w:id="1292" w:name="_Toc208315010"/>
      <w:bookmarkStart w:id="1293" w:name="_Toc208313438"/>
      <w:bookmarkStart w:id="1294" w:name="_Toc208314313"/>
      <w:bookmarkStart w:id="1295" w:name="_Toc208314496"/>
      <w:bookmarkStart w:id="1296" w:name="_Toc208314681"/>
      <w:bookmarkStart w:id="1297" w:name="_Toc208314865"/>
      <w:bookmarkStart w:id="1298" w:name="_Toc208315077"/>
      <w:bookmarkStart w:id="1299" w:name="_Toc208315264"/>
      <w:bookmarkStart w:id="1300" w:name="_Toc208315450"/>
      <w:bookmarkStart w:id="1301" w:name="_Toc208320069"/>
      <w:bookmarkStart w:id="1302" w:name="_Toc208325096"/>
      <w:bookmarkStart w:id="1303" w:name="_Toc208970080"/>
      <w:bookmarkStart w:id="1304" w:name="_Toc208972047"/>
      <w:bookmarkStart w:id="1305" w:name="_Toc208972352"/>
      <w:bookmarkStart w:id="1306" w:name="_Toc208972560"/>
      <w:bookmarkStart w:id="1307" w:name="_Toc208972763"/>
      <w:bookmarkStart w:id="1308" w:name="_Toc208972961"/>
      <w:bookmarkStart w:id="1309" w:name="_Toc208973221"/>
      <w:bookmarkStart w:id="1310" w:name="_Toc208973764"/>
      <w:bookmarkStart w:id="1311" w:name="_Toc208973964"/>
      <w:bookmarkStart w:id="1312" w:name="_Toc208974164"/>
      <w:bookmarkStart w:id="1313" w:name="_Toc208974366"/>
      <w:bookmarkStart w:id="1314" w:name="_Toc208974574"/>
      <w:bookmarkStart w:id="1315" w:name="_Toc208974835"/>
      <w:bookmarkStart w:id="1316" w:name="_Toc208975033"/>
      <w:bookmarkStart w:id="1317" w:name="_Toc208975248"/>
      <w:bookmarkStart w:id="1318" w:name="_Toc208975769"/>
      <w:bookmarkStart w:id="1319" w:name="_Toc208975967"/>
      <w:bookmarkStart w:id="1320" w:name="_Toc208976910"/>
      <w:bookmarkStart w:id="1321" w:name="_Toc208979691"/>
      <w:bookmarkStart w:id="1322" w:name="_Toc208980176"/>
      <w:bookmarkStart w:id="1323" w:name="_Toc209229559"/>
      <w:bookmarkStart w:id="1324" w:name="_Toc209232657"/>
      <w:bookmarkStart w:id="1325" w:name="_Toc209232890"/>
      <w:bookmarkStart w:id="1326" w:name="_Toc209233113"/>
      <w:bookmarkStart w:id="1327" w:name="_Toc209233336"/>
      <w:bookmarkStart w:id="1328" w:name="_Toc209233553"/>
      <w:bookmarkStart w:id="1329" w:name="_Toc209233770"/>
      <w:bookmarkStart w:id="1330" w:name="_Toc209234056"/>
      <w:bookmarkStart w:id="1331" w:name="_Toc209234271"/>
      <w:bookmarkStart w:id="1332" w:name="_Toc209234489"/>
      <w:bookmarkStart w:id="1333" w:name="_Toc209234779"/>
      <w:bookmarkStart w:id="1334" w:name="_Toc209605118"/>
      <w:bookmarkStart w:id="1335" w:name="_Toc209609053"/>
      <w:bookmarkStart w:id="1336" w:name="_Toc208118916"/>
      <w:bookmarkStart w:id="1337" w:name="_Toc208238314"/>
      <w:bookmarkStart w:id="1338" w:name="_Toc208238476"/>
      <w:bookmarkStart w:id="1339" w:name="_Toc208315011"/>
      <w:bookmarkStart w:id="1340" w:name="_Toc208313439"/>
      <w:bookmarkStart w:id="1341" w:name="_Toc208314314"/>
      <w:bookmarkStart w:id="1342" w:name="_Toc208314497"/>
      <w:bookmarkStart w:id="1343" w:name="_Toc208314682"/>
      <w:bookmarkStart w:id="1344" w:name="_Toc208314866"/>
      <w:bookmarkStart w:id="1345" w:name="_Toc208315078"/>
      <w:bookmarkStart w:id="1346" w:name="_Toc208315265"/>
      <w:bookmarkStart w:id="1347" w:name="_Toc208315451"/>
      <w:bookmarkStart w:id="1348" w:name="_Toc208320070"/>
      <w:bookmarkStart w:id="1349" w:name="_Toc208325097"/>
      <w:bookmarkStart w:id="1350" w:name="_Toc208970081"/>
      <w:bookmarkStart w:id="1351" w:name="_Toc208972048"/>
      <w:bookmarkStart w:id="1352" w:name="_Toc208972353"/>
      <w:bookmarkStart w:id="1353" w:name="_Toc208972561"/>
      <w:bookmarkStart w:id="1354" w:name="_Toc208972764"/>
      <w:bookmarkStart w:id="1355" w:name="_Toc208972962"/>
      <w:bookmarkStart w:id="1356" w:name="_Toc208973222"/>
      <w:bookmarkStart w:id="1357" w:name="_Toc208973765"/>
      <w:bookmarkStart w:id="1358" w:name="_Toc208973965"/>
      <w:bookmarkStart w:id="1359" w:name="_Toc208974165"/>
      <w:bookmarkStart w:id="1360" w:name="_Toc208974367"/>
      <w:bookmarkStart w:id="1361" w:name="_Toc208974575"/>
      <w:bookmarkStart w:id="1362" w:name="_Toc208974836"/>
      <w:bookmarkStart w:id="1363" w:name="_Toc208975034"/>
      <w:bookmarkStart w:id="1364" w:name="_Toc208975249"/>
      <w:bookmarkStart w:id="1365" w:name="_Toc208975770"/>
      <w:bookmarkStart w:id="1366" w:name="_Toc208975968"/>
      <w:bookmarkStart w:id="1367" w:name="_Toc208976911"/>
      <w:bookmarkStart w:id="1368" w:name="_Toc208979692"/>
      <w:bookmarkStart w:id="1369" w:name="_Toc208980177"/>
      <w:bookmarkStart w:id="1370" w:name="_Toc209229560"/>
      <w:bookmarkStart w:id="1371" w:name="_Toc209232658"/>
      <w:bookmarkStart w:id="1372" w:name="_Toc209232891"/>
      <w:bookmarkStart w:id="1373" w:name="_Toc209233114"/>
      <w:bookmarkStart w:id="1374" w:name="_Toc209233337"/>
      <w:bookmarkStart w:id="1375" w:name="_Toc209233554"/>
      <w:bookmarkStart w:id="1376" w:name="_Toc209233771"/>
      <w:bookmarkStart w:id="1377" w:name="_Toc209234057"/>
      <w:bookmarkStart w:id="1378" w:name="_Toc209234272"/>
      <w:bookmarkStart w:id="1379" w:name="_Toc209234490"/>
      <w:bookmarkStart w:id="1380" w:name="_Toc209234780"/>
      <w:bookmarkStart w:id="1381" w:name="_Toc209605119"/>
      <w:bookmarkStart w:id="1382" w:name="_Toc209609054"/>
      <w:bookmarkStart w:id="1383" w:name="_Toc208118917"/>
      <w:bookmarkStart w:id="1384" w:name="_Toc208238315"/>
      <w:bookmarkStart w:id="1385" w:name="_Toc208238477"/>
      <w:bookmarkStart w:id="1386" w:name="_Toc208315012"/>
      <w:bookmarkStart w:id="1387" w:name="_Toc208313440"/>
      <w:bookmarkStart w:id="1388" w:name="_Toc208314315"/>
      <w:bookmarkStart w:id="1389" w:name="_Toc208314498"/>
      <w:bookmarkStart w:id="1390" w:name="_Toc208314683"/>
      <w:bookmarkStart w:id="1391" w:name="_Toc208314867"/>
      <w:bookmarkStart w:id="1392" w:name="_Toc208315079"/>
      <w:bookmarkStart w:id="1393" w:name="_Toc208315266"/>
      <w:bookmarkStart w:id="1394" w:name="_Toc208315452"/>
      <w:bookmarkStart w:id="1395" w:name="_Toc208320071"/>
      <w:bookmarkStart w:id="1396" w:name="_Toc208325098"/>
      <w:bookmarkStart w:id="1397" w:name="_Toc208970082"/>
      <w:bookmarkStart w:id="1398" w:name="_Toc208972049"/>
      <w:bookmarkStart w:id="1399" w:name="_Toc208972354"/>
      <w:bookmarkStart w:id="1400" w:name="_Toc208972562"/>
      <w:bookmarkStart w:id="1401" w:name="_Toc208972765"/>
      <w:bookmarkStart w:id="1402" w:name="_Toc208972963"/>
      <w:bookmarkStart w:id="1403" w:name="_Toc208973223"/>
      <w:bookmarkStart w:id="1404" w:name="_Toc208973766"/>
      <w:bookmarkStart w:id="1405" w:name="_Toc208973966"/>
      <w:bookmarkStart w:id="1406" w:name="_Toc208974166"/>
      <w:bookmarkStart w:id="1407" w:name="_Toc208974368"/>
      <w:bookmarkStart w:id="1408" w:name="_Toc208974576"/>
      <w:bookmarkStart w:id="1409" w:name="_Toc208974837"/>
      <w:bookmarkStart w:id="1410" w:name="_Toc208975035"/>
      <w:bookmarkStart w:id="1411" w:name="_Toc208975250"/>
      <w:bookmarkStart w:id="1412" w:name="_Toc208975771"/>
      <w:bookmarkStart w:id="1413" w:name="_Toc208975969"/>
      <w:bookmarkStart w:id="1414" w:name="_Toc208976912"/>
      <w:bookmarkStart w:id="1415" w:name="_Toc208979693"/>
      <w:bookmarkStart w:id="1416" w:name="_Toc208980178"/>
      <w:bookmarkStart w:id="1417" w:name="_Toc209229561"/>
      <w:bookmarkStart w:id="1418" w:name="_Toc209232659"/>
      <w:bookmarkStart w:id="1419" w:name="_Toc209232892"/>
      <w:bookmarkStart w:id="1420" w:name="_Toc209233115"/>
      <w:bookmarkStart w:id="1421" w:name="_Toc209233338"/>
      <w:bookmarkStart w:id="1422" w:name="_Toc209233555"/>
      <w:bookmarkStart w:id="1423" w:name="_Toc209233772"/>
      <w:bookmarkStart w:id="1424" w:name="_Toc209234058"/>
      <w:bookmarkStart w:id="1425" w:name="_Toc209234273"/>
      <w:bookmarkStart w:id="1426" w:name="_Toc209234491"/>
      <w:bookmarkStart w:id="1427" w:name="_Toc209234781"/>
      <w:bookmarkStart w:id="1428" w:name="_Toc209605120"/>
      <w:bookmarkStart w:id="1429" w:name="_Toc209609055"/>
      <w:bookmarkStart w:id="1430" w:name="_Toc208118918"/>
      <w:bookmarkStart w:id="1431" w:name="_Toc208238316"/>
      <w:bookmarkStart w:id="1432" w:name="_Toc208238478"/>
      <w:bookmarkStart w:id="1433" w:name="_Toc208315013"/>
      <w:bookmarkStart w:id="1434" w:name="_Toc208313441"/>
      <w:bookmarkStart w:id="1435" w:name="_Toc208314316"/>
      <w:bookmarkStart w:id="1436" w:name="_Toc208314499"/>
      <w:bookmarkStart w:id="1437" w:name="_Toc208314684"/>
      <w:bookmarkStart w:id="1438" w:name="_Toc208314868"/>
      <w:bookmarkStart w:id="1439" w:name="_Toc208315080"/>
      <w:bookmarkStart w:id="1440" w:name="_Toc208315267"/>
      <w:bookmarkStart w:id="1441" w:name="_Toc208315453"/>
      <w:bookmarkStart w:id="1442" w:name="_Toc208320072"/>
      <w:bookmarkStart w:id="1443" w:name="_Toc208325099"/>
      <w:bookmarkStart w:id="1444" w:name="_Toc208970083"/>
      <w:bookmarkStart w:id="1445" w:name="_Toc208972050"/>
      <w:bookmarkStart w:id="1446" w:name="_Toc208972355"/>
      <w:bookmarkStart w:id="1447" w:name="_Toc208972563"/>
      <w:bookmarkStart w:id="1448" w:name="_Toc208972766"/>
      <w:bookmarkStart w:id="1449" w:name="_Toc208972964"/>
      <w:bookmarkStart w:id="1450" w:name="_Toc208973224"/>
      <w:bookmarkStart w:id="1451" w:name="_Toc208973767"/>
      <w:bookmarkStart w:id="1452" w:name="_Toc208973967"/>
      <w:bookmarkStart w:id="1453" w:name="_Toc208974167"/>
      <w:bookmarkStart w:id="1454" w:name="_Toc208974369"/>
      <w:bookmarkStart w:id="1455" w:name="_Toc208974577"/>
      <w:bookmarkStart w:id="1456" w:name="_Toc208974838"/>
      <w:bookmarkStart w:id="1457" w:name="_Toc208975036"/>
      <w:bookmarkStart w:id="1458" w:name="_Toc208975251"/>
      <w:bookmarkStart w:id="1459" w:name="_Toc208975772"/>
      <w:bookmarkStart w:id="1460" w:name="_Toc208975970"/>
      <w:bookmarkStart w:id="1461" w:name="_Toc208976913"/>
      <w:bookmarkStart w:id="1462" w:name="_Toc208977102"/>
      <w:bookmarkStart w:id="1463" w:name="_Toc208979694"/>
      <w:bookmarkStart w:id="1464" w:name="_Toc208980179"/>
      <w:bookmarkStart w:id="1465" w:name="_Toc209229562"/>
      <w:bookmarkStart w:id="1466" w:name="_Toc209232660"/>
      <w:bookmarkStart w:id="1467" w:name="_Toc209232893"/>
      <w:bookmarkStart w:id="1468" w:name="_Toc209233116"/>
      <w:bookmarkStart w:id="1469" w:name="_Toc209233339"/>
      <w:bookmarkStart w:id="1470" w:name="_Toc209233556"/>
      <w:bookmarkStart w:id="1471" w:name="_Toc209233773"/>
      <w:bookmarkStart w:id="1472" w:name="_Toc209234059"/>
      <w:bookmarkStart w:id="1473" w:name="_Toc209234274"/>
      <w:bookmarkStart w:id="1474" w:name="_Toc209234492"/>
      <w:bookmarkStart w:id="1475" w:name="_Toc209234782"/>
      <w:bookmarkStart w:id="1476" w:name="_Toc209605121"/>
      <w:bookmarkStart w:id="1477" w:name="_Toc209609056"/>
      <w:bookmarkStart w:id="1478" w:name="_Toc208118919"/>
      <w:bookmarkStart w:id="1479" w:name="_Toc208238317"/>
      <w:bookmarkStart w:id="1480" w:name="_Toc208238479"/>
      <w:bookmarkStart w:id="1481" w:name="_Toc208315014"/>
      <w:bookmarkStart w:id="1482" w:name="_Toc208313442"/>
      <w:bookmarkStart w:id="1483" w:name="_Toc208314317"/>
      <w:bookmarkStart w:id="1484" w:name="_Toc208314500"/>
      <w:bookmarkStart w:id="1485" w:name="_Toc208314685"/>
      <w:bookmarkStart w:id="1486" w:name="_Toc208314869"/>
      <w:bookmarkStart w:id="1487" w:name="_Toc208315081"/>
      <w:bookmarkStart w:id="1488" w:name="_Toc208315268"/>
      <w:bookmarkStart w:id="1489" w:name="_Toc208315454"/>
      <w:bookmarkStart w:id="1490" w:name="_Toc208320073"/>
      <w:bookmarkStart w:id="1491" w:name="_Toc208325100"/>
      <w:bookmarkStart w:id="1492" w:name="_Toc208970084"/>
      <w:bookmarkStart w:id="1493" w:name="_Toc208972051"/>
      <w:bookmarkStart w:id="1494" w:name="_Toc208972356"/>
      <w:bookmarkStart w:id="1495" w:name="_Toc208972564"/>
      <w:bookmarkStart w:id="1496" w:name="_Toc208972767"/>
      <w:bookmarkStart w:id="1497" w:name="_Toc208972965"/>
      <w:bookmarkStart w:id="1498" w:name="_Toc208973225"/>
      <w:bookmarkStart w:id="1499" w:name="_Toc208973768"/>
      <w:bookmarkStart w:id="1500" w:name="_Toc208973968"/>
      <w:bookmarkStart w:id="1501" w:name="_Toc208974168"/>
      <w:bookmarkStart w:id="1502" w:name="_Toc208974370"/>
      <w:bookmarkStart w:id="1503" w:name="_Toc208974578"/>
      <w:bookmarkStart w:id="1504" w:name="_Toc208974839"/>
      <w:bookmarkStart w:id="1505" w:name="_Toc208975037"/>
      <w:bookmarkStart w:id="1506" w:name="_Toc208975252"/>
      <w:bookmarkStart w:id="1507" w:name="_Toc208975773"/>
      <w:bookmarkStart w:id="1508" w:name="_Toc208975971"/>
      <w:bookmarkStart w:id="1509" w:name="_Toc208976914"/>
      <w:bookmarkStart w:id="1510" w:name="_Toc208979695"/>
      <w:bookmarkStart w:id="1511" w:name="_Toc208980180"/>
      <w:bookmarkStart w:id="1512" w:name="_Toc209229563"/>
      <w:bookmarkStart w:id="1513" w:name="_Toc209232661"/>
      <w:bookmarkStart w:id="1514" w:name="_Toc209232894"/>
      <w:bookmarkStart w:id="1515" w:name="_Toc209233117"/>
      <w:bookmarkStart w:id="1516" w:name="_Toc209233340"/>
      <w:bookmarkStart w:id="1517" w:name="_Toc209233557"/>
      <w:bookmarkStart w:id="1518" w:name="_Toc209233774"/>
      <w:bookmarkStart w:id="1519" w:name="_Toc209234060"/>
      <w:bookmarkStart w:id="1520" w:name="_Toc209234275"/>
      <w:bookmarkStart w:id="1521" w:name="_Toc209234493"/>
      <w:bookmarkStart w:id="1522" w:name="_Toc209234783"/>
      <w:bookmarkStart w:id="1523" w:name="_Toc209605122"/>
      <w:bookmarkStart w:id="1524" w:name="_Toc209609057"/>
      <w:bookmarkStart w:id="1525" w:name="_Toc208118920"/>
      <w:bookmarkStart w:id="1526" w:name="_Toc208238318"/>
      <w:bookmarkStart w:id="1527" w:name="_Toc208238480"/>
      <w:bookmarkStart w:id="1528" w:name="_Toc208315015"/>
      <w:bookmarkStart w:id="1529" w:name="_Toc208313443"/>
      <w:bookmarkStart w:id="1530" w:name="_Toc208314318"/>
      <w:bookmarkStart w:id="1531" w:name="_Toc208314501"/>
      <w:bookmarkStart w:id="1532" w:name="_Toc208314686"/>
      <w:bookmarkStart w:id="1533" w:name="_Toc208314870"/>
      <w:bookmarkStart w:id="1534" w:name="_Toc208315082"/>
      <w:bookmarkStart w:id="1535" w:name="_Toc208315269"/>
      <w:bookmarkStart w:id="1536" w:name="_Toc208315455"/>
      <w:bookmarkStart w:id="1537" w:name="_Toc208320074"/>
      <w:bookmarkStart w:id="1538" w:name="_Toc208325101"/>
      <w:bookmarkStart w:id="1539" w:name="_Toc208970085"/>
      <w:bookmarkStart w:id="1540" w:name="_Toc208972052"/>
      <w:bookmarkStart w:id="1541" w:name="_Toc208972357"/>
      <w:bookmarkStart w:id="1542" w:name="_Toc208972565"/>
      <w:bookmarkStart w:id="1543" w:name="_Toc208972768"/>
      <w:bookmarkStart w:id="1544" w:name="_Toc208972966"/>
      <w:bookmarkStart w:id="1545" w:name="_Toc208973226"/>
      <w:bookmarkStart w:id="1546" w:name="_Toc208973769"/>
      <w:bookmarkStart w:id="1547" w:name="_Toc208973969"/>
      <w:bookmarkStart w:id="1548" w:name="_Toc208974169"/>
      <w:bookmarkStart w:id="1549" w:name="_Toc208974371"/>
      <w:bookmarkStart w:id="1550" w:name="_Toc208974579"/>
      <w:bookmarkStart w:id="1551" w:name="_Toc208974840"/>
      <w:bookmarkStart w:id="1552" w:name="_Toc208975038"/>
      <w:bookmarkStart w:id="1553" w:name="_Toc208975253"/>
      <w:bookmarkStart w:id="1554" w:name="_Toc208975774"/>
      <w:bookmarkStart w:id="1555" w:name="_Toc208975972"/>
      <w:bookmarkStart w:id="1556" w:name="_Toc208976915"/>
      <w:bookmarkStart w:id="1557" w:name="_Toc208979696"/>
      <w:bookmarkStart w:id="1558" w:name="_Toc208980181"/>
      <w:bookmarkStart w:id="1559" w:name="_Toc209229564"/>
      <w:bookmarkStart w:id="1560" w:name="_Toc209232662"/>
      <w:bookmarkStart w:id="1561" w:name="_Toc209232895"/>
      <w:bookmarkStart w:id="1562" w:name="_Toc209233118"/>
      <w:bookmarkStart w:id="1563" w:name="_Toc209233341"/>
      <w:bookmarkStart w:id="1564" w:name="_Toc209233558"/>
      <w:bookmarkStart w:id="1565" w:name="_Toc209233775"/>
      <w:bookmarkStart w:id="1566" w:name="_Toc209234061"/>
      <w:bookmarkStart w:id="1567" w:name="_Toc209234276"/>
      <w:bookmarkStart w:id="1568" w:name="_Toc209234494"/>
      <w:bookmarkStart w:id="1569" w:name="_Toc209234784"/>
      <w:bookmarkStart w:id="1570" w:name="_Toc209605123"/>
      <w:bookmarkStart w:id="1571" w:name="_Toc209609058"/>
      <w:bookmarkStart w:id="1572" w:name="_Toc208118921"/>
      <w:bookmarkStart w:id="1573" w:name="_Toc208238319"/>
      <w:bookmarkStart w:id="1574" w:name="_Toc208238481"/>
      <w:bookmarkStart w:id="1575" w:name="_Toc208315016"/>
      <w:bookmarkStart w:id="1576" w:name="_Toc208313444"/>
      <w:bookmarkStart w:id="1577" w:name="_Toc208314319"/>
      <w:bookmarkStart w:id="1578" w:name="_Toc208314502"/>
      <w:bookmarkStart w:id="1579" w:name="_Toc208314687"/>
      <w:bookmarkStart w:id="1580" w:name="_Toc208314871"/>
      <w:bookmarkStart w:id="1581" w:name="_Toc208315083"/>
      <w:bookmarkStart w:id="1582" w:name="_Toc208315270"/>
      <w:bookmarkStart w:id="1583" w:name="_Toc208315456"/>
      <w:bookmarkStart w:id="1584" w:name="_Toc208320075"/>
      <w:bookmarkStart w:id="1585" w:name="_Toc208325102"/>
      <w:bookmarkStart w:id="1586" w:name="_Toc208970086"/>
      <w:bookmarkStart w:id="1587" w:name="_Toc208972053"/>
      <w:bookmarkStart w:id="1588" w:name="_Toc208972358"/>
      <w:bookmarkStart w:id="1589" w:name="_Toc208972566"/>
      <w:bookmarkStart w:id="1590" w:name="_Toc208972769"/>
      <w:bookmarkStart w:id="1591" w:name="_Toc208972967"/>
      <w:bookmarkStart w:id="1592" w:name="_Toc208973227"/>
      <w:bookmarkStart w:id="1593" w:name="_Toc208973770"/>
      <w:bookmarkStart w:id="1594" w:name="_Toc208973970"/>
      <w:bookmarkStart w:id="1595" w:name="_Toc208974170"/>
      <w:bookmarkStart w:id="1596" w:name="_Toc208974372"/>
      <w:bookmarkStart w:id="1597" w:name="_Toc208974580"/>
      <w:bookmarkStart w:id="1598" w:name="_Toc208974841"/>
      <w:bookmarkStart w:id="1599" w:name="_Toc208975039"/>
      <w:bookmarkStart w:id="1600" w:name="_Toc208975254"/>
      <w:bookmarkStart w:id="1601" w:name="_Toc208975775"/>
      <w:bookmarkStart w:id="1602" w:name="_Toc208975973"/>
      <w:bookmarkStart w:id="1603" w:name="_Toc208976916"/>
      <w:bookmarkStart w:id="1604" w:name="_Toc208979697"/>
      <w:bookmarkStart w:id="1605" w:name="_Toc208980182"/>
      <w:bookmarkStart w:id="1606" w:name="_Toc209229565"/>
      <w:bookmarkStart w:id="1607" w:name="_Toc209232663"/>
      <w:bookmarkStart w:id="1608" w:name="_Toc209232896"/>
      <w:bookmarkStart w:id="1609" w:name="_Toc209233119"/>
      <w:bookmarkStart w:id="1610" w:name="_Toc209233342"/>
      <w:bookmarkStart w:id="1611" w:name="_Toc209233559"/>
      <w:bookmarkStart w:id="1612" w:name="_Toc209233776"/>
      <w:bookmarkStart w:id="1613" w:name="_Toc209234062"/>
      <w:bookmarkStart w:id="1614" w:name="_Toc209234277"/>
      <w:bookmarkStart w:id="1615" w:name="_Toc209234495"/>
      <w:bookmarkStart w:id="1616" w:name="_Toc209234785"/>
      <w:bookmarkStart w:id="1617" w:name="_Toc209605124"/>
      <w:bookmarkStart w:id="1618" w:name="_Toc209609059"/>
      <w:bookmarkStart w:id="1619" w:name="_Toc208118922"/>
      <w:bookmarkStart w:id="1620" w:name="_Toc208238320"/>
      <w:bookmarkStart w:id="1621" w:name="_Toc208238482"/>
      <w:bookmarkStart w:id="1622" w:name="_Toc208315017"/>
      <w:bookmarkStart w:id="1623" w:name="_Toc208313445"/>
      <w:bookmarkStart w:id="1624" w:name="_Toc208314320"/>
      <w:bookmarkStart w:id="1625" w:name="_Toc208314503"/>
      <w:bookmarkStart w:id="1626" w:name="_Toc208314688"/>
      <w:bookmarkStart w:id="1627" w:name="_Toc208314872"/>
      <w:bookmarkStart w:id="1628" w:name="_Toc208315084"/>
      <w:bookmarkStart w:id="1629" w:name="_Toc208315271"/>
      <w:bookmarkStart w:id="1630" w:name="_Toc208315457"/>
      <w:bookmarkStart w:id="1631" w:name="_Toc208320076"/>
      <w:bookmarkStart w:id="1632" w:name="_Toc208325103"/>
      <w:bookmarkStart w:id="1633" w:name="_Toc208970087"/>
      <w:bookmarkStart w:id="1634" w:name="_Toc208972054"/>
      <w:bookmarkStart w:id="1635" w:name="_Toc208972359"/>
      <w:bookmarkStart w:id="1636" w:name="_Toc208972567"/>
      <w:bookmarkStart w:id="1637" w:name="_Toc208972770"/>
      <w:bookmarkStart w:id="1638" w:name="_Toc208972968"/>
      <w:bookmarkStart w:id="1639" w:name="_Toc208973228"/>
      <w:bookmarkStart w:id="1640" w:name="_Toc208973771"/>
      <w:bookmarkStart w:id="1641" w:name="_Toc208973971"/>
      <w:bookmarkStart w:id="1642" w:name="_Toc208974171"/>
      <w:bookmarkStart w:id="1643" w:name="_Toc208974373"/>
      <w:bookmarkStart w:id="1644" w:name="_Toc208974581"/>
      <w:bookmarkStart w:id="1645" w:name="_Toc208974842"/>
      <w:bookmarkStart w:id="1646" w:name="_Toc208975040"/>
      <w:bookmarkStart w:id="1647" w:name="_Toc208975255"/>
      <w:bookmarkStart w:id="1648" w:name="_Toc208975776"/>
      <w:bookmarkStart w:id="1649" w:name="_Toc208975974"/>
      <w:bookmarkStart w:id="1650" w:name="_Toc208976917"/>
      <w:bookmarkStart w:id="1651" w:name="_Toc208977106"/>
      <w:bookmarkStart w:id="1652" w:name="_Toc208979698"/>
      <w:bookmarkStart w:id="1653" w:name="_Toc208980183"/>
      <w:bookmarkStart w:id="1654" w:name="_Toc209229566"/>
      <w:bookmarkStart w:id="1655" w:name="_Toc209232664"/>
      <w:bookmarkStart w:id="1656" w:name="_Toc209232897"/>
      <w:bookmarkStart w:id="1657" w:name="_Toc209233120"/>
      <w:bookmarkStart w:id="1658" w:name="_Toc209233343"/>
      <w:bookmarkStart w:id="1659" w:name="_Toc209233560"/>
      <w:bookmarkStart w:id="1660" w:name="_Toc209233777"/>
      <w:bookmarkStart w:id="1661" w:name="_Toc209234063"/>
      <w:bookmarkStart w:id="1662" w:name="_Toc209234278"/>
      <w:bookmarkStart w:id="1663" w:name="_Toc209234496"/>
      <w:bookmarkStart w:id="1664" w:name="_Toc209234786"/>
      <w:bookmarkStart w:id="1665" w:name="_Toc209605125"/>
      <w:bookmarkStart w:id="1666" w:name="_Toc209609060"/>
      <w:bookmarkStart w:id="1667" w:name="_bookmark80"/>
      <w:bookmarkStart w:id="1668" w:name="_Toc208973772"/>
      <w:bookmarkStart w:id="1669" w:name="_Toc208973972"/>
      <w:bookmarkStart w:id="1670" w:name="_Toc208974172"/>
      <w:bookmarkStart w:id="1671" w:name="_Toc208974374"/>
      <w:bookmarkStart w:id="1672" w:name="_Toc208974582"/>
      <w:bookmarkStart w:id="1673" w:name="_Toc210589428"/>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r w:rsidRPr="002B3F36">
        <w:t>Performance</w:t>
      </w:r>
      <w:r w:rsidRPr="002B3F36">
        <w:rPr>
          <w:spacing w:val="41"/>
          <w:w w:val="150"/>
        </w:rPr>
        <w:t xml:space="preserve"> </w:t>
      </w:r>
      <w:r w:rsidRPr="002B3F36">
        <w:rPr>
          <w:spacing w:val="-2"/>
        </w:rPr>
        <w:t>Requirements</w:t>
      </w:r>
      <w:bookmarkEnd w:id="1668"/>
      <w:bookmarkEnd w:id="1669"/>
      <w:bookmarkEnd w:id="1670"/>
      <w:bookmarkEnd w:id="1671"/>
      <w:bookmarkEnd w:id="1672"/>
      <w:bookmarkEnd w:id="1673"/>
    </w:p>
    <w:p w14:paraId="44B985F4" w14:textId="77777777" w:rsidR="00F61F8E" w:rsidRPr="002B3F36" w:rsidRDefault="00F61F8E" w:rsidP="00FA38ED">
      <w:pPr>
        <w:pStyle w:val="ReportBodyPar"/>
      </w:pPr>
    </w:p>
    <w:p w14:paraId="1C54B1BE" w14:textId="2AD4903B" w:rsidR="00F61F8E" w:rsidRPr="002B3F36" w:rsidRDefault="000F264B" w:rsidP="00FA38ED">
      <w:pPr>
        <w:pStyle w:val="ReportBodyPar"/>
      </w:pPr>
      <w:r w:rsidRPr="002B3F36">
        <w:t xml:space="preserve">The </w:t>
      </w:r>
      <w:r w:rsidR="00163238" w:rsidRPr="002B3F36">
        <w:t xml:space="preserve">World Bank </w:t>
      </w:r>
      <w:r w:rsidRPr="002B3F36">
        <w:t>Performance Standards (</w:t>
      </w:r>
      <w:r w:rsidR="00163238" w:rsidRPr="002B3F36">
        <w:t>WB PS</w:t>
      </w:r>
      <w:r w:rsidRPr="002B3F36">
        <w:t xml:space="preserve">s) provide the globally recognized framework for managing environmental and social (E&amp;S) risks in development projects, widely adopted by IFC, international lenders, and investors to ensure projects balance economic growth, environmental stewardship, and social responsibility. </w:t>
      </w:r>
    </w:p>
    <w:p w14:paraId="7833802A" w14:textId="77777777" w:rsidR="00F61F8E" w:rsidRPr="002B3F36" w:rsidRDefault="00F61F8E" w:rsidP="00FA38ED">
      <w:pPr>
        <w:pStyle w:val="ReportBodyPar"/>
      </w:pPr>
    </w:p>
    <w:p w14:paraId="6AC8C9A9" w14:textId="4251D275" w:rsidR="00F61F8E" w:rsidRPr="002B3F36" w:rsidRDefault="000F264B" w:rsidP="00FA38ED">
      <w:pPr>
        <w:pStyle w:val="ReportBodyPar"/>
      </w:pPr>
      <w:r w:rsidRPr="002B3F36">
        <w:t xml:space="preserve">For the </w:t>
      </w:r>
      <w:r w:rsidR="0060649C" w:rsidRPr="002B3F36">
        <w:t xml:space="preserve">Mointy – Kyzylzhar </w:t>
      </w:r>
      <w:r w:rsidRPr="002B3F36">
        <w:t xml:space="preserve">Greenfield Railway Section, PS1 guides the entire ESIA process, risk management, and stakeholder engagement; PS2 addresses labor conditions and worker health and safety; PS3 promotes resource efficiency and pollution prevention; and PS4 covers community health, safety, and security, including impacts from construction traffic, noise, and blasting. Where land acquisition or resettlement occurs, PS5 applies, while PS6 ensures protection of biodiversity and ecosystems. PS7 on Indigenous Peoples applies if culturally distinct communities are affected, and PS8 safeguards cultural heritage through chance-find procedures and preservation measures. </w:t>
      </w:r>
    </w:p>
    <w:p w14:paraId="33ED42B8" w14:textId="77777777" w:rsidR="00F61F8E" w:rsidRPr="002B3F36" w:rsidRDefault="00F61F8E" w:rsidP="00FA38ED">
      <w:pPr>
        <w:pStyle w:val="ReportBodyPar"/>
      </w:pPr>
    </w:p>
    <w:p w14:paraId="30255D18" w14:textId="41CF1E1E" w:rsidR="00F61F8E" w:rsidRPr="002B3F36" w:rsidRDefault="000F264B" w:rsidP="00FA38ED">
      <w:pPr>
        <w:pStyle w:val="ReportBodyPar"/>
      </w:pPr>
      <w:r w:rsidRPr="002B3F36">
        <w:t>Together, these standards form the basis for the project’s E&amp;S safeguards and alignment with international best practices. A brief description of PSs and their applicability to this Project are discussed in</w:t>
      </w:r>
      <w:r w:rsidRPr="002B3F36">
        <w:rPr>
          <w:spacing w:val="20"/>
        </w:rPr>
        <w:t xml:space="preserve"> </w:t>
      </w:r>
      <w:hyperlink w:anchor="_bookmark81" w:history="1">
        <w:r w:rsidR="00F61F8E" w:rsidRPr="002B3F36">
          <w:t>Table</w:t>
        </w:r>
      </w:hyperlink>
      <w:r w:rsidRPr="002B3F36">
        <w:t xml:space="preserve"> </w:t>
      </w:r>
      <w:hyperlink w:anchor="_bookmark81" w:history="1">
        <w:r w:rsidR="00F61F8E" w:rsidRPr="002B3F36">
          <w:rPr>
            <w:spacing w:val="-4"/>
          </w:rPr>
          <w:t>below</w:t>
        </w:r>
      </w:hyperlink>
      <w:r w:rsidRPr="002B3F36">
        <w:rPr>
          <w:spacing w:val="-4"/>
        </w:rPr>
        <w:t>.</w:t>
      </w:r>
    </w:p>
    <w:p w14:paraId="247129CD" w14:textId="77777777" w:rsidR="00F61F8E" w:rsidRPr="002B3F36" w:rsidRDefault="00F61F8E">
      <w:pPr>
        <w:pStyle w:val="TableCaption"/>
      </w:pPr>
      <w:bookmarkStart w:id="1674" w:name="_bookmark81"/>
      <w:bookmarkEnd w:id="1674"/>
    </w:p>
    <w:p w14:paraId="245D6D46" w14:textId="2EF10795" w:rsidR="00F61F8E" w:rsidRPr="002B3F36" w:rsidRDefault="00517A3E" w:rsidP="000E123E">
      <w:pPr>
        <w:pStyle w:val="CaptionTable"/>
      </w:pPr>
      <w:bookmarkStart w:id="1675" w:name="_Toc210589556"/>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12</w:t>
      </w:r>
      <w:r w:rsidR="00CF113E" w:rsidRPr="002B3F36">
        <w:fldChar w:fldCharType="end"/>
      </w:r>
      <w:r w:rsidRPr="002B3F36">
        <w:t>:</w:t>
      </w:r>
      <w:r w:rsidR="006D654A" w:rsidRPr="002B3F36">
        <w:t xml:space="preserve"> </w:t>
      </w:r>
      <w:r w:rsidR="000F264B" w:rsidRPr="002B3F36">
        <w:t xml:space="preserve">Applicability of </w:t>
      </w:r>
      <w:r w:rsidR="00F95BD8" w:rsidRPr="002B3F36">
        <w:t>WB</w:t>
      </w:r>
      <w:r w:rsidR="000F264B" w:rsidRPr="002B3F36">
        <w:t xml:space="preserve"> Performance Standards to The Project</w:t>
      </w:r>
      <w:bookmarkEnd w:id="1675"/>
    </w:p>
    <w:tbl>
      <w:tblPr>
        <w:tblStyle w:val="TableGrid2"/>
        <w:tblW w:w="9549" w:type="dxa"/>
        <w:tblInd w:w="85" w:type="dxa"/>
        <w:tblLayout w:type="fixed"/>
        <w:tblLook w:val="01E0" w:firstRow="1" w:lastRow="1" w:firstColumn="1" w:lastColumn="1" w:noHBand="0" w:noVBand="0"/>
      </w:tblPr>
      <w:tblGrid>
        <w:gridCol w:w="2520"/>
        <w:gridCol w:w="2160"/>
        <w:gridCol w:w="4869"/>
      </w:tblGrid>
      <w:tr w:rsidR="00F61F8E" w:rsidRPr="002B3F36" w14:paraId="05732B92" w14:textId="77777777" w:rsidTr="00F82096">
        <w:trPr>
          <w:trHeight w:val="20"/>
          <w:tblHeader/>
        </w:trPr>
        <w:tc>
          <w:tcPr>
            <w:tcW w:w="2520" w:type="dxa"/>
            <w:shd w:val="clear" w:color="auto" w:fill="F2F2F2" w:themeFill="background1" w:themeFillShade="F2"/>
            <w:vAlign w:val="center"/>
          </w:tcPr>
          <w:p w14:paraId="2F35DB11" w14:textId="37BFFB0B" w:rsidR="00F61F8E" w:rsidRPr="002B3F36" w:rsidRDefault="00F95BD8">
            <w:pPr>
              <w:pStyle w:val="TableParagraph"/>
              <w:spacing w:before="0"/>
              <w:ind w:left="108" w:right="656"/>
              <w:jc w:val="center"/>
              <w:rPr>
                <w:rFonts w:ascii="Arial" w:hAnsi="Arial" w:cs="Arial"/>
                <w:b/>
                <w:sz w:val="20"/>
                <w:szCs w:val="20"/>
              </w:rPr>
            </w:pPr>
            <w:r w:rsidRPr="002B3F36">
              <w:rPr>
                <w:rFonts w:ascii="Arial" w:hAnsi="Arial" w:cs="Arial"/>
                <w:b/>
                <w:sz w:val="20"/>
                <w:szCs w:val="20"/>
              </w:rPr>
              <w:t>WB</w:t>
            </w:r>
            <w:r w:rsidR="000F264B" w:rsidRPr="002B3F36">
              <w:rPr>
                <w:rFonts w:ascii="Arial" w:hAnsi="Arial" w:cs="Arial"/>
                <w:b/>
                <w:spacing w:val="-16"/>
                <w:sz w:val="20"/>
                <w:szCs w:val="20"/>
              </w:rPr>
              <w:t xml:space="preserve"> </w:t>
            </w:r>
            <w:r w:rsidR="000F264B" w:rsidRPr="002B3F36">
              <w:rPr>
                <w:rFonts w:ascii="Arial" w:hAnsi="Arial" w:cs="Arial"/>
                <w:b/>
                <w:sz w:val="20"/>
                <w:szCs w:val="20"/>
              </w:rPr>
              <w:t xml:space="preserve">Performance </w:t>
            </w:r>
            <w:r w:rsidR="000F264B" w:rsidRPr="002B3F36">
              <w:rPr>
                <w:rFonts w:ascii="Arial" w:hAnsi="Arial" w:cs="Arial"/>
                <w:b/>
                <w:spacing w:val="-2"/>
                <w:sz w:val="20"/>
                <w:szCs w:val="20"/>
              </w:rPr>
              <w:t>Standards</w:t>
            </w:r>
          </w:p>
        </w:tc>
        <w:tc>
          <w:tcPr>
            <w:tcW w:w="2160" w:type="dxa"/>
            <w:shd w:val="clear" w:color="auto" w:fill="F2F2F2" w:themeFill="background1" w:themeFillShade="F2"/>
            <w:vAlign w:val="center"/>
          </w:tcPr>
          <w:p w14:paraId="4021DD56" w14:textId="77777777" w:rsidR="00F61F8E" w:rsidRPr="002B3F36" w:rsidRDefault="000F264B">
            <w:pPr>
              <w:pStyle w:val="TableParagraph"/>
              <w:spacing w:before="0"/>
              <w:ind w:right="81"/>
              <w:jc w:val="center"/>
              <w:rPr>
                <w:rFonts w:ascii="Arial" w:hAnsi="Arial" w:cs="Arial"/>
                <w:b/>
                <w:sz w:val="20"/>
                <w:szCs w:val="20"/>
              </w:rPr>
            </w:pPr>
            <w:r w:rsidRPr="002B3F36">
              <w:rPr>
                <w:rFonts w:ascii="Arial" w:hAnsi="Arial" w:cs="Arial"/>
                <w:b/>
                <w:spacing w:val="-2"/>
                <w:sz w:val="20"/>
                <w:szCs w:val="20"/>
              </w:rPr>
              <w:t xml:space="preserve">Applicability </w:t>
            </w:r>
            <w:r w:rsidRPr="002B3F36">
              <w:rPr>
                <w:rFonts w:ascii="Arial" w:hAnsi="Arial" w:cs="Arial"/>
                <w:b/>
                <w:sz w:val="20"/>
                <w:szCs w:val="20"/>
              </w:rPr>
              <w:t>to Project</w:t>
            </w:r>
          </w:p>
        </w:tc>
        <w:tc>
          <w:tcPr>
            <w:tcW w:w="4869" w:type="dxa"/>
            <w:shd w:val="clear" w:color="auto" w:fill="F2F2F2" w:themeFill="background1" w:themeFillShade="F2"/>
            <w:vAlign w:val="center"/>
          </w:tcPr>
          <w:p w14:paraId="6E3514FD" w14:textId="77777777" w:rsidR="00F61F8E" w:rsidRPr="002B3F36" w:rsidRDefault="000F264B">
            <w:pPr>
              <w:pStyle w:val="TableParagraph"/>
              <w:spacing w:before="0"/>
              <w:ind w:left="102"/>
              <w:jc w:val="center"/>
              <w:rPr>
                <w:rFonts w:ascii="Arial" w:hAnsi="Arial" w:cs="Arial"/>
                <w:b/>
                <w:sz w:val="20"/>
                <w:szCs w:val="20"/>
              </w:rPr>
            </w:pPr>
            <w:r w:rsidRPr="002B3F36">
              <w:rPr>
                <w:rFonts w:ascii="Arial" w:hAnsi="Arial" w:cs="Arial"/>
                <w:b/>
                <w:spacing w:val="-2"/>
                <w:sz w:val="20"/>
                <w:szCs w:val="20"/>
              </w:rPr>
              <w:t>Remarks</w:t>
            </w:r>
          </w:p>
        </w:tc>
      </w:tr>
      <w:tr w:rsidR="00F61F8E" w:rsidRPr="002B3F36" w14:paraId="16FA551C" w14:textId="77777777">
        <w:trPr>
          <w:trHeight w:val="20"/>
        </w:trPr>
        <w:tc>
          <w:tcPr>
            <w:tcW w:w="2520" w:type="dxa"/>
          </w:tcPr>
          <w:p w14:paraId="2E5B24AE"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 xml:space="preserve">PS1: Assessment and Management of Environmental and Social Risks and </w:t>
            </w:r>
            <w:r w:rsidRPr="002B3F36">
              <w:rPr>
                <w:rFonts w:ascii="Arial" w:hAnsi="Arial" w:cs="Arial"/>
                <w:spacing w:val="-2"/>
                <w:sz w:val="20"/>
                <w:szCs w:val="20"/>
              </w:rPr>
              <w:t>Impacts.</w:t>
            </w:r>
          </w:p>
        </w:tc>
        <w:tc>
          <w:tcPr>
            <w:tcW w:w="2160" w:type="dxa"/>
          </w:tcPr>
          <w:p w14:paraId="799AFA3A"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pacing w:val="-2"/>
                <w:sz w:val="20"/>
                <w:szCs w:val="20"/>
              </w:rPr>
              <w:t>Applicable.</w:t>
            </w:r>
          </w:p>
        </w:tc>
        <w:tc>
          <w:tcPr>
            <w:tcW w:w="4869" w:type="dxa"/>
            <w:vAlign w:val="center"/>
          </w:tcPr>
          <w:p w14:paraId="497E8D2A" w14:textId="5F685391" w:rsidR="00F61F8E" w:rsidRPr="002B3F36" w:rsidRDefault="000F264B" w:rsidP="00D153B7">
            <w:pPr>
              <w:pStyle w:val="TableParagraph"/>
              <w:spacing w:before="0"/>
              <w:ind w:left="102" w:right="393"/>
              <w:rPr>
                <w:rFonts w:ascii="Arial" w:hAnsi="Arial" w:cs="Arial"/>
                <w:sz w:val="20"/>
                <w:szCs w:val="20"/>
              </w:rPr>
            </w:pPr>
            <w:r w:rsidRPr="002B3F36">
              <w:rPr>
                <w:rFonts w:ascii="Arial" w:eastAsia="Times New Roman" w:hAnsi="Arial" w:cs="Arial"/>
                <w:sz w:val="20"/>
                <w:szCs w:val="20"/>
                <w:lang w:eastAsia="en-PH"/>
              </w:rPr>
              <w:t xml:space="preserve">The National EIA categorized the Project as Category II, identifying moderate environmental impacts but not addressing social aspects. This ESIA, prepared in line with </w:t>
            </w:r>
            <w:r w:rsidR="00163238" w:rsidRPr="002B3F36">
              <w:rPr>
                <w:rFonts w:ascii="Arial" w:eastAsia="Times New Roman" w:hAnsi="Arial" w:cs="Arial"/>
                <w:sz w:val="20"/>
                <w:szCs w:val="20"/>
                <w:lang w:eastAsia="en-PH"/>
              </w:rPr>
              <w:t>WB PS</w:t>
            </w:r>
            <w:r w:rsidRPr="002B3F36">
              <w:rPr>
                <w:rFonts w:ascii="Arial" w:eastAsia="Times New Roman" w:hAnsi="Arial" w:cs="Arial"/>
                <w:sz w:val="20"/>
                <w:szCs w:val="20"/>
                <w:lang w:eastAsia="en-PH"/>
              </w:rPr>
              <w:t xml:space="preserve"> guidelines, evaluates both environmental and social risks. A Project-level framework for managing these impacts is provided in the ESMP.</w:t>
            </w:r>
          </w:p>
        </w:tc>
      </w:tr>
      <w:tr w:rsidR="00F61F8E" w:rsidRPr="002B3F36" w14:paraId="2AD23BD5" w14:textId="77777777">
        <w:trPr>
          <w:trHeight w:val="20"/>
        </w:trPr>
        <w:tc>
          <w:tcPr>
            <w:tcW w:w="2520" w:type="dxa"/>
          </w:tcPr>
          <w:p w14:paraId="1C9FC647"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PS2: Labour and Working Conditions</w:t>
            </w:r>
          </w:p>
        </w:tc>
        <w:tc>
          <w:tcPr>
            <w:tcW w:w="2160" w:type="dxa"/>
          </w:tcPr>
          <w:p w14:paraId="388640A0" w14:textId="77777777" w:rsidR="00F61F8E" w:rsidRPr="002B3F36" w:rsidRDefault="000F264B" w:rsidP="00D153B7">
            <w:pPr>
              <w:pStyle w:val="TableParagraph"/>
              <w:spacing w:before="0"/>
              <w:rPr>
                <w:rFonts w:ascii="Arial" w:hAnsi="Arial" w:cs="Arial"/>
                <w:spacing w:val="-2"/>
                <w:sz w:val="20"/>
                <w:szCs w:val="20"/>
              </w:rPr>
            </w:pPr>
            <w:r w:rsidRPr="002B3F36">
              <w:rPr>
                <w:rFonts w:ascii="Arial" w:hAnsi="Arial" w:cs="Arial"/>
                <w:spacing w:val="-2"/>
                <w:sz w:val="20"/>
                <w:szCs w:val="20"/>
              </w:rPr>
              <w:t>Applicable.</w:t>
            </w:r>
          </w:p>
        </w:tc>
        <w:tc>
          <w:tcPr>
            <w:tcW w:w="4869" w:type="dxa"/>
            <w:vAlign w:val="center"/>
          </w:tcPr>
          <w:p w14:paraId="116A01C2" w14:textId="49C5C494"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 xml:space="preserve">Approximately 1,000 workers will be employed during peak construction, with camps provided for those residing far from </w:t>
            </w:r>
            <w:r w:rsidR="003650DB" w:rsidRPr="002B3F36">
              <w:rPr>
                <w:rFonts w:ascii="Arial" w:eastAsia="Times New Roman" w:hAnsi="Arial" w:cs="Arial"/>
                <w:sz w:val="20"/>
                <w:szCs w:val="20"/>
                <w:lang w:eastAsia="en-PH"/>
              </w:rPr>
              <w:t xml:space="preserve">Mointy – Kyzylzhar </w:t>
            </w:r>
            <w:r w:rsidRPr="002B3F36">
              <w:rPr>
                <w:rFonts w:ascii="Arial" w:eastAsia="Times New Roman" w:hAnsi="Arial" w:cs="Arial"/>
                <w:sz w:val="20"/>
                <w:szCs w:val="20"/>
                <w:lang w:eastAsia="en-PH"/>
              </w:rPr>
              <w:t>Section. Around 300 staff are expected for operation and maintenance.</w:t>
            </w:r>
          </w:p>
        </w:tc>
      </w:tr>
      <w:tr w:rsidR="00F61F8E" w:rsidRPr="002B3F36" w14:paraId="730A5268" w14:textId="77777777">
        <w:trPr>
          <w:trHeight w:val="20"/>
        </w:trPr>
        <w:tc>
          <w:tcPr>
            <w:tcW w:w="2520" w:type="dxa"/>
          </w:tcPr>
          <w:p w14:paraId="5E4E1160"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 xml:space="preserve">PS3: Resource Efficiency and Pollution </w:t>
            </w:r>
            <w:r w:rsidRPr="002B3F36">
              <w:rPr>
                <w:rFonts w:ascii="Arial" w:hAnsi="Arial" w:cs="Arial"/>
                <w:spacing w:val="-2"/>
                <w:sz w:val="20"/>
                <w:szCs w:val="20"/>
              </w:rPr>
              <w:t>Prevention</w:t>
            </w:r>
          </w:p>
        </w:tc>
        <w:tc>
          <w:tcPr>
            <w:tcW w:w="2160" w:type="dxa"/>
          </w:tcPr>
          <w:p w14:paraId="73FD7626" w14:textId="77777777" w:rsidR="00F61F8E" w:rsidRPr="002B3F36" w:rsidRDefault="000F264B" w:rsidP="00D153B7">
            <w:pPr>
              <w:pStyle w:val="TableParagraph"/>
              <w:spacing w:before="0"/>
              <w:rPr>
                <w:rFonts w:ascii="Arial" w:hAnsi="Arial" w:cs="Arial"/>
                <w:spacing w:val="-2"/>
                <w:sz w:val="20"/>
                <w:szCs w:val="20"/>
              </w:rPr>
            </w:pPr>
            <w:r w:rsidRPr="002B3F36">
              <w:rPr>
                <w:rFonts w:ascii="Arial" w:hAnsi="Arial" w:cs="Arial"/>
                <w:spacing w:val="-2"/>
                <w:sz w:val="20"/>
                <w:szCs w:val="20"/>
              </w:rPr>
              <w:t>Applicable.</w:t>
            </w:r>
          </w:p>
        </w:tc>
        <w:tc>
          <w:tcPr>
            <w:tcW w:w="4869" w:type="dxa"/>
            <w:vAlign w:val="center"/>
          </w:tcPr>
          <w:p w14:paraId="5DAA8DAF" w14:textId="77777777"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 xml:space="preserve">Project activities will generate dust, noise, and wastewater, and involve surface and groundwater use, soil extraction, and waste </w:t>
            </w:r>
            <w:r w:rsidRPr="002B3F36">
              <w:rPr>
                <w:rFonts w:ascii="Arial" w:eastAsia="Times New Roman" w:hAnsi="Arial" w:cs="Arial"/>
                <w:sz w:val="20"/>
                <w:szCs w:val="20"/>
                <w:lang w:eastAsia="en-PH"/>
              </w:rPr>
              <w:lastRenderedPageBreak/>
              <w:t>management during both construction and operation.</w:t>
            </w:r>
          </w:p>
        </w:tc>
      </w:tr>
      <w:tr w:rsidR="00F61F8E" w:rsidRPr="002B3F36" w14:paraId="518E5868" w14:textId="77777777">
        <w:trPr>
          <w:trHeight w:val="20"/>
        </w:trPr>
        <w:tc>
          <w:tcPr>
            <w:tcW w:w="2520" w:type="dxa"/>
          </w:tcPr>
          <w:p w14:paraId="6E0845D5"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lastRenderedPageBreak/>
              <w:t xml:space="preserve">PS4: Community Health, Safety, and </w:t>
            </w:r>
            <w:r w:rsidRPr="002B3F36">
              <w:rPr>
                <w:rFonts w:ascii="Arial" w:hAnsi="Arial" w:cs="Arial"/>
                <w:spacing w:val="-2"/>
                <w:sz w:val="20"/>
                <w:szCs w:val="20"/>
              </w:rPr>
              <w:t>Security</w:t>
            </w:r>
          </w:p>
        </w:tc>
        <w:tc>
          <w:tcPr>
            <w:tcW w:w="2160" w:type="dxa"/>
          </w:tcPr>
          <w:p w14:paraId="4E6BE581" w14:textId="77777777" w:rsidR="00F61F8E" w:rsidRPr="002B3F36" w:rsidRDefault="000F264B" w:rsidP="00D153B7">
            <w:pPr>
              <w:pStyle w:val="TableParagraph"/>
              <w:spacing w:before="0"/>
              <w:rPr>
                <w:rFonts w:ascii="Arial" w:hAnsi="Arial" w:cs="Arial"/>
                <w:spacing w:val="-2"/>
                <w:sz w:val="20"/>
                <w:szCs w:val="20"/>
              </w:rPr>
            </w:pPr>
            <w:r w:rsidRPr="002B3F36">
              <w:rPr>
                <w:rFonts w:ascii="Arial" w:hAnsi="Arial" w:cs="Arial"/>
                <w:spacing w:val="-2"/>
                <w:sz w:val="20"/>
                <w:szCs w:val="20"/>
              </w:rPr>
              <w:t>Applicable.</w:t>
            </w:r>
          </w:p>
        </w:tc>
        <w:tc>
          <w:tcPr>
            <w:tcW w:w="4869" w:type="dxa"/>
            <w:vAlign w:val="center"/>
          </w:tcPr>
          <w:p w14:paraId="1C5059B6" w14:textId="77777777"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Though the rail alignment’s is not close to settlements, at certain instances, communities may experience noise, air emissions, construction traffic, and interactions with security personnel during construction and operations.</w:t>
            </w:r>
          </w:p>
        </w:tc>
      </w:tr>
      <w:tr w:rsidR="00F61F8E" w:rsidRPr="002B3F36" w14:paraId="3A6FD635" w14:textId="77777777">
        <w:trPr>
          <w:trHeight w:val="20"/>
        </w:trPr>
        <w:tc>
          <w:tcPr>
            <w:tcW w:w="2520" w:type="dxa"/>
          </w:tcPr>
          <w:p w14:paraId="5CE27DF3"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 xml:space="preserve">PS5: Land Acquisition and Involuntary </w:t>
            </w:r>
            <w:r w:rsidRPr="002B3F36">
              <w:rPr>
                <w:rFonts w:ascii="Arial" w:hAnsi="Arial" w:cs="Arial"/>
                <w:spacing w:val="-2"/>
                <w:sz w:val="20"/>
                <w:szCs w:val="20"/>
              </w:rPr>
              <w:t>Resettlement</w:t>
            </w:r>
          </w:p>
        </w:tc>
        <w:tc>
          <w:tcPr>
            <w:tcW w:w="2160" w:type="dxa"/>
          </w:tcPr>
          <w:p w14:paraId="7806A9E4" w14:textId="77777777" w:rsidR="00F61F8E" w:rsidRPr="002B3F36" w:rsidRDefault="000F264B" w:rsidP="00D153B7">
            <w:pPr>
              <w:pStyle w:val="TableParagraph"/>
              <w:spacing w:before="0"/>
              <w:rPr>
                <w:rFonts w:ascii="Arial" w:hAnsi="Arial" w:cs="Arial"/>
                <w:spacing w:val="-2"/>
                <w:sz w:val="20"/>
                <w:szCs w:val="20"/>
              </w:rPr>
            </w:pPr>
            <w:r w:rsidRPr="002B3F36">
              <w:rPr>
                <w:rFonts w:ascii="Arial" w:hAnsi="Arial" w:cs="Arial"/>
                <w:spacing w:val="-2"/>
                <w:sz w:val="20"/>
                <w:szCs w:val="20"/>
              </w:rPr>
              <w:t>Applicable.</w:t>
            </w:r>
          </w:p>
        </w:tc>
        <w:tc>
          <w:tcPr>
            <w:tcW w:w="4869" w:type="dxa"/>
            <w:vAlign w:val="center"/>
          </w:tcPr>
          <w:p w14:paraId="32B08F22" w14:textId="77777777"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The Project requires a combination of private, company, and state-owned land. Acquisition will be initiated in through District Akimat decrees.</w:t>
            </w:r>
          </w:p>
        </w:tc>
      </w:tr>
      <w:tr w:rsidR="00F61F8E" w:rsidRPr="002B3F36" w14:paraId="03DFC0C7" w14:textId="77777777" w:rsidTr="000E123E">
        <w:trPr>
          <w:trHeight w:val="20"/>
        </w:trPr>
        <w:tc>
          <w:tcPr>
            <w:tcW w:w="2520" w:type="dxa"/>
          </w:tcPr>
          <w:p w14:paraId="6F797456"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 xml:space="preserve">PS6: Biodiversity Conservation and </w:t>
            </w:r>
            <w:r w:rsidRPr="002B3F36">
              <w:rPr>
                <w:rFonts w:ascii="Arial" w:hAnsi="Arial" w:cs="Arial"/>
                <w:spacing w:val="-2"/>
                <w:sz w:val="20"/>
                <w:szCs w:val="20"/>
              </w:rPr>
              <w:t xml:space="preserve">Sustainable </w:t>
            </w:r>
            <w:r w:rsidRPr="002B3F36">
              <w:rPr>
                <w:rFonts w:ascii="Arial" w:hAnsi="Arial" w:cs="Arial"/>
                <w:sz w:val="20"/>
                <w:szCs w:val="20"/>
              </w:rPr>
              <w:t>Management of Living Natural Resources</w:t>
            </w:r>
          </w:p>
        </w:tc>
        <w:tc>
          <w:tcPr>
            <w:tcW w:w="2160" w:type="dxa"/>
          </w:tcPr>
          <w:p w14:paraId="2170F337" w14:textId="77777777" w:rsidR="00F61F8E" w:rsidRPr="002B3F36" w:rsidRDefault="000F264B" w:rsidP="00D153B7">
            <w:pPr>
              <w:pStyle w:val="TableParagraph"/>
              <w:spacing w:before="0"/>
              <w:rPr>
                <w:rFonts w:ascii="Arial" w:hAnsi="Arial" w:cs="Arial"/>
                <w:spacing w:val="-2"/>
                <w:sz w:val="20"/>
                <w:szCs w:val="20"/>
              </w:rPr>
            </w:pPr>
            <w:r w:rsidRPr="002B3F36">
              <w:rPr>
                <w:rFonts w:ascii="Arial" w:hAnsi="Arial" w:cs="Arial"/>
                <w:spacing w:val="-2"/>
                <w:sz w:val="20"/>
                <w:szCs w:val="20"/>
              </w:rPr>
              <w:t>Applicable.</w:t>
            </w:r>
          </w:p>
        </w:tc>
        <w:tc>
          <w:tcPr>
            <w:tcW w:w="4869" w:type="dxa"/>
          </w:tcPr>
          <w:p w14:paraId="052F5515" w14:textId="7010E8A0"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The alignment intersects riparian and steppe habitats, requiring vegetation clearance that may result in habitat loss and modification.</w:t>
            </w:r>
          </w:p>
        </w:tc>
      </w:tr>
      <w:tr w:rsidR="00F61F8E" w:rsidRPr="002B3F36" w14:paraId="74A6FB94" w14:textId="77777777">
        <w:trPr>
          <w:trHeight w:val="20"/>
        </w:trPr>
        <w:tc>
          <w:tcPr>
            <w:tcW w:w="2520" w:type="dxa"/>
          </w:tcPr>
          <w:p w14:paraId="39F343F9"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 xml:space="preserve">PS7: Indigenous </w:t>
            </w:r>
            <w:r w:rsidRPr="002B3F36">
              <w:rPr>
                <w:rFonts w:ascii="Arial" w:hAnsi="Arial" w:cs="Arial"/>
                <w:spacing w:val="-2"/>
                <w:sz w:val="20"/>
                <w:szCs w:val="20"/>
              </w:rPr>
              <w:t>Peoples</w:t>
            </w:r>
          </w:p>
        </w:tc>
        <w:tc>
          <w:tcPr>
            <w:tcW w:w="2160" w:type="dxa"/>
          </w:tcPr>
          <w:p w14:paraId="44836B58" w14:textId="77777777" w:rsidR="00F61F8E" w:rsidRPr="002B3F36" w:rsidRDefault="000F264B" w:rsidP="00D153B7">
            <w:pPr>
              <w:pStyle w:val="TableParagraph"/>
              <w:spacing w:before="0"/>
              <w:rPr>
                <w:rFonts w:ascii="Arial" w:hAnsi="Arial" w:cs="Arial"/>
                <w:spacing w:val="-2"/>
                <w:sz w:val="20"/>
                <w:szCs w:val="20"/>
              </w:rPr>
            </w:pPr>
            <w:r w:rsidRPr="002B3F36">
              <w:rPr>
                <w:rFonts w:ascii="Arial" w:hAnsi="Arial" w:cs="Arial"/>
                <w:spacing w:val="-4"/>
                <w:sz w:val="20"/>
                <w:szCs w:val="20"/>
              </w:rPr>
              <w:t xml:space="preserve">Not </w:t>
            </w:r>
            <w:r w:rsidRPr="002B3F36">
              <w:rPr>
                <w:rFonts w:ascii="Arial" w:hAnsi="Arial" w:cs="Arial"/>
                <w:spacing w:val="-2"/>
                <w:sz w:val="20"/>
                <w:szCs w:val="20"/>
              </w:rPr>
              <w:t>Applicable.</w:t>
            </w:r>
          </w:p>
        </w:tc>
        <w:tc>
          <w:tcPr>
            <w:tcW w:w="4869" w:type="dxa"/>
            <w:vAlign w:val="center"/>
          </w:tcPr>
          <w:p w14:paraId="00B9D82E" w14:textId="77777777"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Based on initial findings and consultations with District Akimats, no Indigenous Peoples are present within the Project’s Area of Influence.</w:t>
            </w:r>
          </w:p>
        </w:tc>
      </w:tr>
      <w:tr w:rsidR="00F61F8E" w:rsidRPr="002B3F36" w14:paraId="58169877" w14:textId="77777777">
        <w:trPr>
          <w:trHeight w:val="20"/>
        </w:trPr>
        <w:tc>
          <w:tcPr>
            <w:tcW w:w="2520" w:type="dxa"/>
          </w:tcPr>
          <w:p w14:paraId="450E56AD" w14:textId="77777777" w:rsidR="00F61F8E" w:rsidRPr="002B3F36" w:rsidRDefault="000F264B" w:rsidP="00D153B7">
            <w:pPr>
              <w:pStyle w:val="TableParagraph"/>
              <w:spacing w:before="0"/>
              <w:ind w:left="108" w:right="143"/>
              <w:rPr>
                <w:rFonts w:ascii="Arial" w:hAnsi="Arial" w:cs="Arial"/>
                <w:sz w:val="20"/>
                <w:szCs w:val="20"/>
              </w:rPr>
            </w:pPr>
            <w:r w:rsidRPr="002B3F36">
              <w:rPr>
                <w:rFonts w:ascii="Arial" w:hAnsi="Arial" w:cs="Arial"/>
                <w:sz w:val="20"/>
                <w:szCs w:val="20"/>
              </w:rPr>
              <w:t>PS8:</w:t>
            </w:r>
            <w:r w:rsidRPr="002B3F36">
              <w:rPr>
                <w:rFonts w:ascii="Arial" w:hAnsi="Arial" w:cs="Arial"/>
                <w:spacing w:val="23"/>
                <w:sz w:val="20"/>
                <w:szCs w:val="20"/>
              </w:rPr>
              <w:t xml:space="preserve"> </w:t>
            </w:r>
            <w:r w:rsidRPr="002B3F36">
              <w:rPr>
                <w:rFonts w:ascii="Arial" w:hAnsi="Arial" w:cs="Arial"/>
                <w:sz w:val="20"/>
                <w:szCs w:val="20"/>
              </w:rPr>
              <w:t>Cultural</w:t>
            </w:r>
            <w:r w:rsidRPr="002B3F36">
              <w:rPr>
                <w:rFonts w:ascii="Arial" w:hAnsi="Arial" w:cs="Arial"/>
                <w:spacing w:val="26"/>
                <w:sz w:val="20"/>
                <w:szCs w:val="20"/>
              </w:rPr>
              <w:t xml:space="preserve"> </w:t>
            </w:r>
            <w:r w:rsidRPr="002B3F36">
              <w:rPr>
                <w:rFonts w:ascii="Arial" w:hAnsi="Arial" w:cs="Arial"/>
                <w:spacing w:val="-2"/>
                <w:sz w:val="20"/>
                <w:szCs w:val="20"/>
              </w:rPr>
              <w:t>Heritage</w:t>
            </w:r>
          </w:p>
        </w:tc>
        <w:tc>
          <w:tcPr>
            <w:tcW w:w="2160" w:type="dxa"/>
          </w:tcPr>
          <w:p w14:paraId="521FFE3E" w14:textId="405ADA16" w:rsidR="00F61F8E" w:rsidRPr="002B3F36" w:rsidRDefault="00C36273" w:rsidP="00D153B7">
            <w:pPr>
              <w:pStyle w:val="TableParagraph"/>
              <w:spacing w:before="0"/>
              <w:rPr>
                <w:rFonts w:ascii="Arial" w:hAnsi="Arial" w:cs="Arial"/>
                <w:spacing w:val="-2"/>
                <w:sz w:val="20"/>
                <w:szCs w:val="20"/>
              </w:rPr>
            </w:pPr>
            <w:r w:rsidRPr="002B3F36">
              <w:rPr>
                <w:rFonts w:ascii="Arial" w:hAnsi="Arial" w:cs="Arial"/>
                <w:spacing w:val="-2"/>
                <w:sz w:val="20"/>
                <w:szCs w:val="20"/>
              </w:rPr>
              <w:t>Applicable.</w:t>
            </w:r>
          </w:p>
        </w:tc>
        <w:tc>
          <w:tcPr>
            <w:tcW w:w="4869" w:type="dxa"/>
            <w:vAlign w:val="center"/>
          </w:tcPr>
          <w:p w14:paraId="306970BC" w14:textId="6E13C89F" w:rsidR="00F61F8E" w:rsidRPr="002B3F36" w:rsidRDefault="000F264B" w:rsidP="00D153B7">
            <w:pPr>
              <w:pStyle w:val="TableParagraph"/>
              <w:spacing w:before="0"/>
              <w:ind w:left="102" w:right="211"/>
              <w:rPr>
                <w:rFonts w:ascii="Arial" w:hAnsi="Arial" w:cs="Arial"/>
                <w:sz w:val="20"/>
                <w:szCs w:val="20"/>
              </w:rPr>
            </w:pPr>
            <w:r w:rsidRPr="002B3F36">
              <w:rPr>
                <w:rFonts w:ascii="Arial" w:eastAsia="Times New Roman" w:hAnsi="Arial" w:cs="Arial"/>
                <w:sz w:val="20"/>
                <w:szCs w:val="20"/>
                <w:lang w:eastAsia="en-PH"/>
              </w:rPr>
              <w:t>No critical heritage sites are located beyond 4</w:t>
            </w:r>
            <w:r w:rsidR="003A18DB" w:rsidRPr="002B3F36">
              <w:rPr>
                <w:rFonts w:ascii="Arial" w:eastAsia="Times New Roman" w:hAnsi="Arial" w:cs="Arial"/>
                <w:sz w:val="20"/>
                <w:szCs w:val="20"/>
                <w:lang w:eastAsia="en-PH"/>
              </w:rPr>
              <w:t>0</w:t>
            </w:r>
            <w:r w:rsidRPr="002B3F36">
              <w:rPr>
                <w:rFonts w:ascii="Arial" w:eastAsia="Times New Roman" w:hAnsi="Arial" w:cs="Arial"/>
                <w:sz w:val="20"/>
                <w:szCs w:val="20"/>
                <w:lang w:eastAsia="en-PH"/>
              </w:rPr>
              <w:t xml:space="preserve"> m from the alignment centre-line. While any sites outside the corridor RoW, could fall within the Project’s Area of Influence.</w:t>
            </w:r>
          </w:p>
        </w:tc>
      </w:tr>
    </w:tbl>
    <w:p w14:paraId="75E3E199" w14:textId="77777777" w:rsidR="00F61F8E" w:rsidRPr="002B3F36" w:rsidRDefault="00F61F8E">
      <w:pPr>
        <w:pStyle w:val="ReportBodyTextNogap"/>
      </w:pPr>
    </w:p>
    <w:p w14:paraId="425298A7" w14:textId="77777777" w:rsidR="00F61F8E" w:rsidRPr="002B3F36" w:rsidRDefault="000F264B" w:rsidP="005A68AD">
      <w:pPr>
        <w:pStyle w:val="31"/>
      </w:pPr>
      <w:bookmarkStart w:id="1676" w:name="_bookmark82"/>
      <w:bookmarkStart w:id="1677" w:name="_Toc208973773"/>
      <w:bookmarkStart w:id="1678" w:name="_Toc208973973"/>
      <w:bookmarkStart w:id="1679" w:name="_Toc208974173"/>
      <w:bookmarkStart w:id="1680" w:name="_Toc208974375"/>
      <w:bookmarkStart w:id="1681" w:name="_Toc208974583"/>
      <w:bookmarkStart w:id="1682" w:name="_Toc210589429"/>
      <w:bookmarkEnd w:id="1676"/>
      <w:r w:rsidRPr="002B3F36">
        <w:t>International</w:t>
      </w:r>
      <w:r w:rsidRPr="002B3F36">
        <w:rPr>
          <w:spacing w:val="42"/>
          <w:w w:val="150"/>
        </w:rPr>
        <w:t xml:space="preserve"> </w:t>
      </w:r>
      <w:r w:rsidRPr="002B3F36">
        <w:rPr>
          <w:spacing w:val="-2"/>
        </w:rPr>
        <w:t>Conventions</w:t>
      </w:r>
      <w:bookmarkEnd w:id="1677"/>
      <w:bookmarkEnd w:id="1678"/>
      <w:bookmarkEnd w:id="1679"/>
      <w:bookmarkEnd w:id="1680"/>
      <w:bookmarkEnd w:id="1681"/>
      <w:bookmarkEnd w:id="1682"/>
    </w:p>
    <w:p w14:paraId="75B7120F" w14:textId="77777777" w:rsidR="00F61F8E" w:rsidRPr="002B3F36" w:rsidRDefault="00F61F8E">
      <w:pPr>
        <w:pStyle w:val="ReportParagraph"/>
      </w:pPr>
    </w:p>
    <w:p w14:paraId="0B3CD006" w14:textId="77777777" w:rsidR="00F61F8E" w:rsidRPr="002B3F36" w:rsidRDefault="000F264B">
      <w:pPr>
        <w:pStyle w:val="ReportParagraph"/>
      </w:pPr>
      <w:r w:rsidRPr="002B3F36">
        <w:t xml:space="preserve">The Republic of Kazakhstan is a signatory and contracting party to a wide range of international conventions and agreements that guide its commitments to environmental protection, sustainable development, and social responsibility. These frameworks establish binding obligations for the country in areas such as biodiversity conservation, climate change mitigation, pollution control, labor rights, and cultural heritage protection. Accordingly, the Project will be reviewed against all conventions listed here, and findings will be explicitly referenced in the impact assessment section of the ESIA to ensure full compliance and traceability. </w:t>
      </w:r>
    </w:p>
    <w:p w14:paraId="37053259" w14:textId="77777777" w:rsidR="00F61F8E" w:rsidRPr="002B3F36" w:rsidRDefault="00F61F8E">
      <w:pPr>
        <w:pStyle w:val="ReportParagraph"/>
      </w:pPr>
    </w:p>
    <w:p w14:paraId="5D6954B3" w14:textId="77777777" w:rsidR="00F61F8E" w:rsidRPr="002B3F36" w:rsidRDefault="000F264B">
      <w:pPr>
        <w:pStyle w:val="ReportParagraph"/>
      </w:pPr>
      <w:r w:rsidRPr="002B3F36">
        <w:t>By aligning national legislation and project-level implementation with these international instruments, Kazakhstan reinforces its role as a responsible member of the global community while ensuring that development initiatives, including this Project, are consistent with internationally recognized standards and best practices.</w:t>
      </w:r>
    </w:p>
    <w:p w14:paraId="2CE34519" w14:textId="77777777" w:rsidR="00F61F8E" w:rsidRPr="002B3F36" w:rsidRDefault="00F61F8E">
      <w:pPr>
        <w:pStyle w:val="ReportParagraph"/>
      </w:pPr>
    </w:p>
    <w:p w14:paraId="25DEA367" w14:textId="5DEF49D8" w:rsidR="00F61F8E" w:rsidRPr="002B3F36" w:rsidRDefault="000F264B">
      <w:pPr>
        <w:pStyle w:val="ReportParagraph"/>
      </w:pPr>
      <w:r w:rsidRPr="002B3F36">
        <w:t>The</w:t>
      </w:r>
      <w:r w:rsidRPr="002B3F36">
        <w:rPr>
          <w:spacing w:val="-7"/>
        </w:rPr>
        <w:t xml:space="preserve"> </w:t>
      </w:r>
      <w:r w:rsidRPr="002B3F36">
        <w:t>following</w:t>
      </w:r>
      <w:r w:rsidRPr="002B3F36">
        <w:rPr>
          <w:spacing w:val="-5"/>
        </w:rPr>
        <w:t xml:space="preserve"> </w:t>
      </w:r>
      <w:r w:rsidRPr="002B3F36">
        <w:t>international</w:t>
      </w:r>
      <w:r w:rsidRPr="002B3F36">
        <w:rPr>
          <w:spacing w:val="-5"/>
        </w:rPr>
        <w:t xml:space="preserve"> </w:t>
      </w:r>
      <w:r w:rsidRPr="002B3F36">
        <w:t>conventions</w:t>
      </w:r>
      <w:r w:rsidRPr="002B3F36">
        <w:rPr>
          <w:spacing w:val="-4"/>
        </w:rPr>
        <w:t xml:space="preserve"> </w:t>
      </w:r>
      <w:r w:rsidRPr="002B3F36">
        <w:t>and</w:t>
      </w:r>
      <w:r w:rsidRPr="002B3F36">
        <w:rPr>
          <w:spacing w:val="-5"/>
        </w:rPr>
        <w:t xml:space="preserve"> </w:t>
      </w:r>
      <w:r w:rsidRPr="002B3F36">
        <w:t>agreements</w:t>
      </w:r>
      <w:r w:rsidRPr="002B3F36">
        <w:rPr>
          <w:spacing w:val="-4"/>
        </w:rPr>
        <w:t xml:space="preserve"> </w:t>
      </w:r>
      <w:r w:rsidRPr="002B3F36">
        <w:t>signed</w:t>
      </w:r>
      <w:r w:rsidRPr="002B3F36">
        <w:rPr>
          <w:spacing w:val="-5"/>
        </w:rPr>
        <w:t xml:space="preserve"> </w:t>
      </w:r>
      <w:r w:rsidRPr="002B3F36">
        <w:t>and</w:t>
      </w:r>
      <w:r w:rsidRPr="002B3F36">
        <w:rPr>
          <w:spacing w:val="-5"/>
        </w:rPr>
        <w:t xml:space="preserve"> </w:t>
      </w:r>
      <w:r w:rsidRPr="002B3F36">
        <w:t>ratified</w:t>
      </w:r>
      <w:r w:rsidRPr="002B3F36">
        <w:rPr>
          <w:spacing w:val="-5"/>
        </w:rPr>
        <w:t xml:space="preserve"> </w:t>
      </w:r>
      <w:r w:rsidRPr="002B3F36">
        <w:t>by</w:t>
      </w:r>
      <w:r w:rsidRPr="002B3F36">
        <w:rPr>
          <w:spacing w:val="-6"/>
        </w:rPr>
        <w:t xml:space="preserve"> </w:t>
      </w:r>
      <w:r w:rsidRPr="002B3F36">
        <w:t>the</w:t>
      </w:r>
      <w:r w:rsidRPr="002B3F36">
        <w:rPr>
          <w:spacing w:val="-7"/>
        </w:rPr>
        <w:t xml:space="preserve"> </w:t>
      </w:r>
      <w:r w:rsidRPr="002B3F36">
        <w:t>Republic</w:t>
      </w:r>
      <w:r w:rsidRPr="002B3F36">
        <w:rPr>
          <w:spacing w:val="-4"/>
        </w:rPr>
        <w:t xml:space="preserve"> </w:t>
      </w:r>
      <w:r w:rsidRPr="002B3F36">
        <w:t>of Kazakhstan are applicable to the Project (</w:t>
      </w:r>
      <w:hyperlink w:anchor="_bookmark83" w:history="1">
        <w:r w:rsidR="00F61F8E" w:rsidRPr="002B3F36">
          <w:t>Table below</w:t>
        </w:r>
      </w:hyperlink>
      <w:r w:rsidRPr="002B3F36">
        <w:t>).</w:t>
      </w:r>
    </w:p>
    <w:p w14:paraId="692F7FA8" w14:textId="77777777" w:rsidR="00F61F8E" w:rsidRPr="002B3F36" w:rsidRDefault="00F61F8E" w:rsidP="00517A3E">
      <w:pPr>
        <w:pStyle w:val="TableCaption"/>
        <w:rPr>
          <w:szCs w:val="24"/>
        </w:rPr>
      </w:pPr>
      <w:bookmarkStart w:id="1683" w:name="_bookmark83"/>
      <w:bookmarkEnd w:id="1683"/>
    </w:p>
    <w:p w14:paraId="5E4136AE" w14:textId="5AB81334" w:rsidR="00F61F8E" w:rsidRPr="002B3F36" w:rsidRDefault="00517A3E" w:rsidP="000E123E">
      <w:pPr>
        <w:pStyle w:val="CaptionTable"/>
      </w:pPr>
      <w:bookmarkStart w:id="1684" w:name="_Toc210589557"/>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13</w:t>
      </w:r>
      <w:r w:rsidR="00CF113E" w:rsidRPr="002B3F36">
        <w:fldChar w:fldCharType="end"/>
      </w:r>
      <w:r w:rsidR="000F264B" w:rsidRPr="002B3F36">
        <w:t>:</w:t>
      </w:r>
      <w:r w:rsidR="006D654A" w:rsidRPr="002B3F36">
        <w:t xml:space="preserve"> </w:t>
      </w:r>
      <w:r w:rsidR="000F264B" w:rsidRPr="002B3F36">
        <w:t xml:space="preserve">International Conventions and Agreements Signed </w:t>
      </w:r>
      <w:r w:rsidR="00264F8C" w:rsidRPr="002B3F36">
        <w:t>&amp;</w:t>
      </w:r>
      <w:r w:rsidR="000F264B" w:rsidRPr="002B3F36">
        <w:t xml:space="preserve"> Ratified by the </w:t>
      </w:r>
      <w:r w:rsidR="00264F8C" w:rsidRPr="002B3F36">
        <w:t>RoK</w:t>
      </w:r>
      <w:bookmarkEnd w:id="1684"/>
    </w:p>
    <w:tbl>
      <w:tblPr>
        <w:tblStyle w:val="TableGrid2"/>
        <w:tblW w:w="0" w:type="auto"/>
        <w:tblLook w:val="01E0" w:firstRow="1" w:lastRow="1" w:firstColumn="1" w:lastColumn="1" w:noHBand="0" w:noVBand="0"/>
      </w:tblPr>
      <w:tblGrid>
        <w:gridCol w:w="2995"/>
        <w:gridCol w:w="2368"/>
        <w:gridCol w:w="4347"/>
      </w:tblGrid>
      <w:tr w:rsidR="00F61F8E" w:rsidRPr="002B3F36" w14:paraId="4C3012DB" w14:textId="77777777" w:rsidTr="00F82096">
        <w:trPr>
          <w:trHeight w:val="20"/>
          <w:tblHeader/>
        </w:trPr>
        <w:tc>
          <w:tcPr>
            <w:tcW w:w="0" w:type="auto"/>
            <w:shd w:val="clear" w:color="auto" w:fill="F2F2F2" w:themeFill="background1" w:themeFillShade="F2"/>
            <w:vAlign w:val="center"/>
          </w:tcPr>
          <w:p w14:paraId="06DBAB93" w14:textId="77777777" w:rsidR="00F61F8E" w:rsidRPr="002B3F36" w:rsidRDefault="000F264B">
            <w:pPr>
              <w:pStyle w:val="TableParagraph"/>
              <w:spacing w:before="0"/>
              <w:ind w:left="122"/>
              <w:jc w:val="center"/>
              <w:rPr>
                <w:rFonts w:ascii="Arial" w:hAnsi="Arial" w:cs="Arial"/>
                <w:b/>
                <w:sz w:val="20"/>
                <w:szCs w:val="20"/>
              </w:rPr>
            </w:pPr>
            <w:r w:rsidRPr="002B3F36">
              <w:rPr>
                <w:rFonts w:ascii="Arial" w:hAnsi="Arial" w:cs="Arial"/>
                <w:b/>
                <w:spacing w:val="-2"/>
                <w:sz w:val="20"/>
                <w:szCs w:val="20"/>
              </w:rPr>
              <w:t>Title</w:t>
            </w:r>
          </w:p>
        </w:tc>
        <w:tc>
          <w:tcPr>
            <w:tcW w:w="0" w:type="auto"/>
            <w:shd w:val="clear" w:color="auto" w:fill="F2F2F2" w:themeFill="background1" w:themeFillShade="F2"/>
            <w:vAlign w:val="center"/>
          </w:tcPr>
          <w:p w14:paraId="3451CB45" w14:textId="77777777" w:rsidR="00F61F8E" w:rsidRPr="002B3F36" w:rsidRDefault="000F264B">
            <w:pPr>
              <w:pStyle w:val="TableParagraph"/>
              <w:spacing w:before="0"/>
              <w:ind w:left="0"/>
              <w:jc w:val="center"/>
              <w:rPr>
                <w:rFonts w:ascii="Arial" w:hAnsi="Arial" w:cs="Arial"/>
                <w:b/>
                <w:sz w:val="20"/>
                <w:szCs w:val="20"/>
              </w:rPr>
            </w:pPr>
            <w:r w:rsidRPr="002B3F36">
              <w:rPr>
                <w:rFonts w:ascii="Arial" w:hAnsi="Arial" w:cs="Arial"/>
                <w:b/>
                <w:sz w:val="20"/>
                <w:szCs w:val="20"/>
              </w:rPr>
              <w:t xml:space="preserve">Date and place of </w:t>
            </w:r>
            <w:r w:rsidRPr="002B3F36">
              <w:rPr>
                <w:rFonts w:ascii="Arial" w:hAnsi="Arial" w:cs="Arial"/>
                <w:b/>
                <w:spacing w:val="-2"/>
                <w:sz w:val="20"/>
                <w:szCs w:val="20"/>
              </w:rPr>
              <w:t>signature</w:t>
            </w:r>
          </w:p>
        </w:tc>
        <w:tc>
          <w:tcPr>
            <w:tcW w:w="0" w:type="auto"/>
            <w:shd w:val="clear" w:color="auto" w:fill="F2F2F2" w:themeFill="background1" w:themeFillShade="F2"/>
            <w:vAlign w:val="center"/>
          </w:tcPr>
          <w:p w14:paraId="40EFD7A1" w14:textId="77777777" w:rsidR="00F61F8E" w:rsidRPr="002B3F36" w:rsidRDefault="000F264B">
            <w:pPr>
              <w:pStyle w:val="TableParagraph"/>
              <w:spacing w:before="0"/>
              <w:ind w:right="154"/>
              <w:jc w:val="center"/>
              <w:rPr>
                <w:rFonts w:ascii="Arial" w:hAnsi="Arial" w:cs="Arial"/>
                <w:b/>
                <w:sz w:val="20"/>
                <w:szCs w:val="20"/>
              </w:rPr>
            </w:pPr>
            <w:r w:rsidRPr="002B3F36">
              <w:rPr>
                <w:rFonts w:ascii="Arial" w:hAnsi="Arial" w:cs="Arial"/>
                <w:b/>
                <w:sz w:val="20"/>
                <w:szCs w:val="20"/>
              </w:rPr>
              <w:t>Comments</w:t>
            </w:r>
            <w:r w:rsidRPr="002B3F36">
              <w:rPr>
                <w:rFonts w:ascii="Arial" w:hAnsi="Arial" w:cs="Arial"/>
                <w:b/>
                <w:spacing w:val="-6"/>
                <w:sz w:val="20"/>
                <w:szCs w:val="20"/>
              </w:rPr>
              <w:t xml:space="preserve"> </w:t>
            </w:r>
            <w:r w:rsidRPr="002B3F36">
              <w:rPr>
                <w:rFonts w:ascii="Arial" w:hAnsi="Arial" w:cs="Arial"/>
                <w:b/>
                <w:sz w:val="20"/>
                <w:szCs w:val="20"/>
              </w:rPr>
              <w:t>on</w:t>
            </w:r>
            <w:r w:rsidRPr="002B3F36">
              <w:rPr>
                <w:rFonts w:ascii="Arial" w:hAnsi="Arial" w:cs="Arial"/>
                <w:b/>
                <w:spacing w:val="-8"/>
                <w:sz w:val="20"/>
                <w:szCs w:val="20"/>
              </w:rPr>
              <w:t xml:space="preserve"> </w:t>
            </w:r>
            <w:r w:rsidRPr="002B3F36">
              <w:rPr>
                <w:rFonts w:ascii="Arial" w:hAnsi="Arial" w:cs="Arial"/>
                <w:b/>
                <w:sz w:val="20"/>
                <w:szCs w:val="20"/>
              </w:rPr>
              <w:t>the</w:t>
            </w:r>
            <w:r w:rsidRPr="002B3F36">
              <w:rPr>
                <w:rFonts w:ascii="Arial" w:hAnsi="Arial" w:cs="Arial"/>
                <w:b/>
                <w:spacing w:val="-6"/>
                <w:sz w:val="20"/>
                <w:szCs w:val="20"/>
              </w:rPr>
              <w:t xml:space="preserve"> </w:t>
            </w:r>
            <w:r w:rsidRPr="002B3F36">
              <w:rPr>
                <w:rFonts w:ascii="Arial" w:hAnsi="Arial" w:cs="Arial"/>
                <w:b/>
                <w:sz w:val="20"/>
                <w:szCs w:val="20"/>
              </w:rPr>
              <w:t>applicability</w:t>
            </w:r>
            <w:r w:rsidRPr="002B3F36">
              <w:rPr>
                <w:rFonts w:ascii="Arial" w:hAnsi="Arial" w:cs="Arial"/>
                <w:b/>
                <w:spacing w:val="-7"/>
                <w:sz w:val="20"/>
                <w:szCs w:val="20"/>
              </w:rPr>
              <w:t xml:space="preserve"> </w:t>
            </w:r>
            <w:r w:rsidRPr="002B3F36">
              <w:rPr>
                <w:rFonts w:ascii="Arial" w:hAnsi="Arial" w:cs="Arial"/>
                <w:b/>
                <w:sz w:val="20"/>
                <w:szCs w:val="20"/>
              </w:rPr>
              <w:t>to</w:t>
            </w:r>
            <w:r w:rsidRPr="002B3F36">
              <w:rPr>
                <w:rFonts w:ascii="Arial" w:hAnsi="Arial" w:cs="Arial"/>
                <w:b/>
                <w:spacing w:val="-8"/>
                <w:sz w:val="20"/>
                <w:szCs w:val="20"/>
              </w:rPr>
              <w:t xml:space="preserve"> </w:t>
            </w:r>
            <w:r w:rsidRPr="002B3F36">
              <w:rPr>
                <w:rFonts w:ascii="Arial" w:hAnsi="Arial" w:cs="Arial"/>
                <w:b/>
                <w:sz w:val="20"/>
                <w:szCs w:val="20"/>
              </w:rPr>
              <w:t>the</w:t>
            </w:r>
            <w:r w:rsidRPr="002B3F36">
              <w:rPr>
                <w:rFonts w:ascii="Arial" w:hAnsi="Arial" w:cs="Arial"/>
                <w:b/>
                <w:spacing w:val="-6"/>
                <w:sz w:val="20"/>
                <w:szCs w:val="20"/>
              </w:rPr>
              <w:t xml:space="preserve"> </w:t>
            </w:r>
            <w:r w:rsidRPr="002B3F36">
              <w:rPr>
                <w:rFonts w:ascii="Arial" w:hAnsi="Arial" w:cs="Arial"/>
                <w:b/>
                <w:sz w:val="20"/>
                <w:szCs w:val="20"/>
              </w:rPr>
              <w:t>Project and summary of the requirements</w:t>
            </w:r>
          </w:p>
        </w:tc>
      </w:tr>
      <w:tr w:rsidR="00F61F8E" w:rsidRPr="002B3F36" w14:paraId="7DECA96E" w14:textId="77777777">
        <w:trPr>
          <w:trHeight w:val="20"/>
        </w:trPr>
        <w:tc>
          <w:tcPr>
            <w:tcW w:w="0" w:type="auto"/>
            <w:gridSpan w:val="3"/>
          </w:tcPr>
          <w:p w14:paraId="6B502D74" w14:textId="77777777" w:rsidR="00F61F8E" w:rsidRPr="002B3F36" w:rsidRDefault="000F264B">
            <w:pPr>
              <w:pStyle w:val="TableParagraph"/>
              <w:spacing w:before="0"/>
              <w:ind w:left="122"/>
              <w:jc w:val="both"/>
              <w:rPr>
                <w:rFonts w:ascii="Arial" w:hAnsi="Arial" w:cs="Arial"/>
                <w:b/>
                <w:sz w:val="20"/>
                <w:szCs w:val="20"/>
              </w:rPr>
            </w:pPr>
            <w:r w:rsidRPr="002B3F36">
              <w:rPr>
                <w:rFonts w:ascii="Arial" w:hAnsi="Arial" w:cs="Arial"/>
                <w:b/>
                <w:sz w:val="20"/>
                <w:szCs w:val="20"/>
              </w:rPr>
              <w:t>Climate</w:t>
            </w:r>
            <w:r w:rsidRPr="002B3F36">
              <w:rPr>
                <w:rFonts w:ascii="Arial" w:hAnsi="Arial" w:cs="Arial"/>
                <w:b/>
                <w:spacing w:val="-3"/>
                <w:sz w:val="20"/>
                <w:szCs w:val="20"/>
              </w:rPr>
              <w:t xml:space="preserve"> </w:t>
            </w:r>
            <w:r w:rsidRPr="002B3F36">
              <w:rPr>
                <w:rFonts w:ascii="Arial" w:hAnsi="Arial" w:cs="Arial"/>
                <w:b/>
                <w:sz w:val="20"/>
                <w:szCs w:val="20"/>
              </w:rPr>
              <w:t>and</w:t>
            </w:r>
            <w:r w:rsidRPr="002B3F36">
              <w:rPr>
                <w:rFonts w:ascii="Arial" w:hAnsi="Arial" w:cs="Arial"/>
                <w:b/>
                <w:spacing w:val="-3"/>
                <w:sz w:val="20"/>
                <w:szCs w:val="20"/>
              </w:rPr>
              <w:t xml:space="preserve"> </w:t>
            </w:r>
            <w:r w:rsidRPr="002B3F36">
              <w:rPr>
                <w:rFonts w:ascii="Arial" w:hAnsi="Arial" w:cs="Arial"/>
                <w:b/>
                <w:spacing w:val="-5"/>
                <w:sz w:val="20"/>
                <w:szCs w:val="20"/>
              </w:rPr>
              <w:t>Air</w:t>
            </w:r>
          </w:p>
        </w:tc>
      </w:tr>
      <w:tr w:rsidR="00F61F8E" w:rsidRPr="002B3F36" w14:paraId="4319E21D" w14:textId="77777777">
        <w:trPr>
          <w:trHeight w:val="20"/>
        </w:trPr>
        <w:tc>
          <w:tcPr>
            <w:tcW w:w="0" w:type="auto"/>
          </w:tcPr>
          <w:p w14:paraId="7B2CEF8C" w14:textId="77777777" w:rsidR="00F61F8E" w:rsidRPr="002B3F36" w:rsidRDefault="000F264B" w:rsidP="00D153B7">
            <w:pPr>
              <w:pStyle w:val="TableParagraph"/>
              <w:spacing w:before="0"/>
              <w:ind w:left="122"/>
              <w:rPr>
                <w:rFonts w:ascii="Arial" w:hAnsi="Arial" w:cs="Arial"/>
                <w:sz w:val="20"/>
                <w:szCs w:val="20"/>
              </w:rPr>
            </w:pPr>
            <w:r w:rsidRPr="002B3F36">
              <w:rPr>
                <w:rFonts w:ascii="Arial" w:hAnsi="Arial" w:cs="Arial"/>
                <w:sz w:val="20"/>
                <w:szCs w:val="20"/>
              </w:rPr>
              <w:t>UN framework convention on climate change</w:t>
            </w:r>
          </w:p>
        </w:tc>
        <w:tc>
          <w:tcPr>
            <w:tcW w:w="0" w:type="auto"/>
          </w:tcPr>
          <w:p w14:paraId="05EEC12E"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 xml:space="preserve">1992, Rio de </w:t>
            </w:r>
            <w:r w:rsidRPr="002B3F36">
              <w:rPr>
                <w:rFonts w:ascii="Arial" w:hAnsi="Arial" w:cs="Arial"/>
                <w:spacing w:val="-2"/>
                <w:sz w:val="20"/>
                <w:szCs w:val="20"/>
              </w:rPr>
              <w:t>Janeiro</w:t>
            </w:r>
          </w:p>
        </w:tc>
        <w:tc>
          <w:tcPr>
            <w:tcW w:w="0" w:type="auto"/>
          </w:tcPr>
          <w:p w14:paraId="3375A3CE"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Client will evaluate predicted GHG emissions and provide for avoidance or mitigation of adverse effects.</w:t>
            </w:r>
          </w:p>
        </w:tc>
      </w:tr>
      <w:tr w:rsidR="00F61F8E" w:rsidRPr="002B3F36" w14:paraId="2CAA961A" w14:textId="77777777">
        <w:trPr>
          <w:trHeight w:val="20"/>
        </w:trPr>
        <w:tc>
          <w:tcPr>
            <w:tcW w:w="0" w:type="auto"/>
          </w:tcPr>
          <w:p w14:paraId="530448ED" w14:textId="77777777" w:rsidR="00F61F8E" w:rsidRPr="002B3F36" w:rsidRDefault="000F264B" w:rsidP="00D153B7">
            <w:pPr>
              <w:pStyle w:val="TableParagraph"/>
              <w:spacing w:before="0"/>
              <w:ind w:left="122" w:right="210"/>
              <w:rPr>
                <w:rFonts w:ascii="Arial" w:hAnsi="Arial" w:cs="Arial"/>
                <w:sz w:val="20"/>
                <w:szCs w:val="20"/>
              </w:rPr>
            </w:pPr>
            <w:r w:rsidRPr="002B3F36">
              <w:rPr>
                <w:rFonts w:ascii="Arial" w:hAnsi="Arial" w:cs="Arial"/>
                <w:sz w:val="20"/>
                <w:szCs w:val="20"/>
              </w:rPr>
              <w:t xml:space="preserve">Vienna Convention for the Protection of the Ozone Layer and Montreal Protocol on Substances </w:t>
            </w:r>
            <w:r w:rsidRPr="002B3F36">
              <w:rPr>
                <w:rFonts w:ascii="Arial" w:hAnsi="Arial" w:cs="Arial"/>
                <w:sz w:val="20"/>
                <w:szCs w:val="20"/>
              </w:rPr>
              <w:lastRenderedPageBreak/>
              <w:t>that Deplete the Ozone Layer</w:t>
            </w:r>
          </w:p>
        </w:tc>
        <w:tc>
          <w:tcPr>
            <w:tcW w:w="0" w:type="auto"/>
          </w:tcPr>
          <w:p w14:paraId="666E967E"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lastRenderedPageBreak/>
              <w:t>1985,</w:t>
            </w:r>
            <w:r w:rsidRPr="002B3F36">
              <w:rPr>
                <w:rFonts w:ascii="Arial" w:hAnsi="Arial" w:cs="Arial"/>
                <w:spacing w:val="21"/>
                <w:sz w:val="20"/>
                <w:szCs w:val="20"/>
              </w:rPr>
              <w:t xml:space="preserve"> </w:t>
            </w:r>
            <w:r w:rsidRPr="002B3F36">
              <w:rPr>
                <w:rFonts w:ascii="Arial" w:hAnsi="Arial" w:cs="Arial"/>
                <w:spacing w:val="-2"/>
                <w:sz w:val="20"/>
                <w:szCs w:val="20"/>
              </w:rPr>
              <w:t>Vienna</w:t>
            </w:r>
          </w:p>
          <w:p w14:paraId="3B905D47"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1987,</w:t>
            </w:r>
            <w:r w:rsidRPr="002B3F36">
              <w:rPr>
                <w:rFonts w:ascii="Arial" w:hAnsi="Arial" w:cs="Arial"/>
                <w:spacing w:val="21"/>
                <w:sz w:val="20"/>
                <w:szCs w:val="20"/>
              </w:rPr>
              <w:t xml:space="preserve"> </w:t>
            </w:r>
            <w:r w:rsidRPr="002B3F36">
              <w:rPr>
                <w:rFonts w:ascii="Arial" w:hAnsi="Arial" w:cs="Arial"/>
                <w:spacing w:val="-2"/>
                <w:sz w:val="20"/>
                <w:szCs w:val="20"/>
              </w:rPr>
              <w:t>Montreal</w:t>
            </w:r>
          </w:p>
        </w:tc>
        <w:tc>
          <w:tcPr>
            <w:tcW w:w="0" w:type="auto"/>
          </w:tcPr>
          <w:p w14:paraId="2C575026"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Project must not result in "adverse effects resulting or likely to result from human</w:t>
            </w:r>
            <w:r w:rsidRPr="002B3F36">
              <w:rPr>
                <w:rFonts w:ascii="Arial" w:hAnsi="Arial" w:cs="Arial"/>
                <w:spacing w:val="40"/>
                <w:sz w:val="20"/>
                <w:szCs w:val="20"/>
              </w:rPr>
              <w:t xml:space="preserve"> </w:t>
            </w:r>
            <w:r w:rsidRPr="002B3F36">
              <w:rPr>
                <w:rFonts w:ascii="Arial" w:hAnsi="Arial" w:cs="Arial"/>
                <w:sz w:val="20"/>
                <w:szCs w:val="20"/>
              </w:rPr>
              <w:t>activities which modify or are likely to modify the ozone layer".</w:t>
            </w:r>
          </w:p>
        </w:tc>
      </w:tr>
      <w:tr w:rsidR="00F61F8E" w:rsidRPr="002B3F36" w14:paraId="10DE821A" w14:textId="77777777">
        <w:trPr>
          <w:trHeight w:val="20"/>
        </w:trPr>
        <w:tc>
          <w:tcPr>
            <w:tcW w:w="0" w:type="auto"/>
          </w:tcPr>
          <w:p w14:paraId="274D242F" w14:textId="77777777" w:rsidR="00F61F8E" w:rsidRPr="002B3F36" w:rsidRDefault="000F264B" w:rsidP="00D153B7">
            <w:pPr>
              <w:pStyle w:val="TableParagraph"/>
              <w:spacing w:before="0"/>
              <w:ind w:left="122"/>
              <w:rPr>
                <w:rFonts w:ascii="Arial" w:hAnsi="Arial" w:cs="Arial"/>
                <w:sz w:val="20"/>
                <w:szCs w:val="20"/>
              </w:rPr>
            </w:pPr>
            <w:r w:rsidRPr="002B3F36">
              <w:rPr>
                <w:rFonts w:ascii="Arial" w:hAnsi="Arial" w:cs="Arial"/>
                <w:sz w:val="20"/>
                <w:szCs w:val="20"/>
              </w:rPr>
              <w:t>Convention on Long-range Transboundary Air Pollution</w:t>
            </w:r>
          </w:p>
        </w:tc>
        <w:tc>
          <w:tcPr>
            <w:tcW w:w="0" w:type="auto"/>
          </w:tcPr>
          <w:p w14:paraId="5571F684"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1979,</w:t>
            </w:r>
            <w:r w:rsidRPr="002B3F36">
              <w:rPr>
                <w:rFonts w:ascii="Arial" w:hAnsi="Arial" w:cs="Arial"/>
                <w:spacing w:val="19"/>
                <w:sz w:val="20"/>
                <w:szCs w:val="20"/>
              </w:rPr>
              <w:t xml:space="preserve"> </w:t>
            </w:r>
            <w:r w:rsidRPr="002B3F36">
              <w:rPr>
                <w:rFonts w:ascii="Arial" w:hAnsi="Arial" w:cs="Arial"/>
                <w:spacing w:val="-2"/>
                <w:sz w:val="20"/>
                <w:szCs w:val="20"/>
              </w:rPr>
              <w:t>Geneva</w:t>
            </w:r>
          </w:p>
        </w:tc>
        <w:tc>
          <w:tcPr>
            <w:tcW w:w="0" w:type="auto"/>
          </w:tcPr>
          <w:p w14:paraId="100AFED2" w14:textId="77777777" w:rsidR="00F61F8E" w:rsidRPr="002B3F36" w:rsidRDefault="000F264B" w:rsidP="00D153B7">
            <w:pPr>
              <w:pStyle w:val="TableParagraph"/>
              <w:spacing w:before="0"/>
              <w:ind w:right="154"/>
              <w:rPr>
                <w:rFonts w:ascii="Arial" w:hAnsi="Arial" w:cs="Arial"/>
                <w:sz w:val="20"/>
                <w:szCs w:val="20"/>
              </w:rPr>
            </w:pPr>
            <w:r w:rsidRPr="002B3F36">
              <w:rPr>
                <w:rFonts w:ascii="Arial" w:hAnsi="Arial" w:cs="Arial"/>
                <w:sz w:val="20"/>
                <w:szCs w:val="20"/>
              </w:rPr>
              <w:t>The</w:t>
            </w:r>
            <w:r w:rsidRPr="002B3F36">
              <w:rPr>
                <w:rFonts w:ascii="Arial" w:hAnsi="Arial" w:cs="Arial"/>
                <w:spacing w:val="40"/>
                <w:sz w:val="20"/>
                <w:szCs w:val="20"/>
              </w:rPr>
              <w:t xml:space="preserve"> </w:t>
            </w:r>
            <w:r w:rsidRPr="002B3F36">
              <w:rPr>
                <w:rFonts w:ascii="Arial" w:hAnsi="Arial" w:cs="Arial"/>
                <w:sz w:val="20"/>
                <w:szCs w:val="20"/>
              </w:rPr>
              <w:t>Project</w:t>
            </w:r>
            <w:r w:rsidRPr="002B3F36">
              <w:rPr>
                <w:rFonts w:ascii="Arial" w:hAnsi="Arial" w:cs="Arial"/>
                <w:spacing w:val="40"/>
                <w:sz w:val="20"/>
                <w:szCs w:val="20"/>
              </w:rPr>
              <w:t xml:space="preserve"> </w:t>
            </w:r>
            <w:r w:rsidRPr="002B3F36">
              <w:rPr>
                <w:rFonts w:ascii="Arial" w:hAnsi="Arial" w:cs="Arial"/>
                <w:sz w:val="20"/>
                <w:szCs w:val="20"/>
              </w:rPr>
              <w:t>design</w:t>
            </w:r>
            <w:r w:rsidRPr="002B3F36">
              <w:rPr>
                <w:rFonts w:ascii="Arial" w:hAnsi="Arial" w:cs="Arial"/>
                <w:spacing w:val="40"/>
                <w:sz w:val="20"/>
                <w:szCs w:val="20"/>
              </w:rPr>
              <w:t xml:space="preserve"> </w:t>
            </w:r>
            <w:r w:rsidRPr="002B3F36">
              <w:rPr>
                <w:rFonts w:ascii="Arial" w:hAnsi="Arial" w:cs="Arial"/>
                <w:sz w:val="20"/>
                <w:szCs w:val="20"/>
              </w:rPr>
              <w:t>must</w:t>
            </w:r>
            <w:r w:rsidRPr="002B3F36">
              <w:rPr>
                <w:rFonts w:ascii="Arial" w:hAnsi="Arial" w:cs="Arial"/>
                <w:spacing w:val="40"/>
                <w:sz w:val="20"/>
                <w:szCs w:val="20"/>
              </w:rPr>
              <w:t xml:space="preserve"> </w:t>
            </w:r>
            <w:r w:rsidRPr="002B3F36">
              <w:rPr>
                <w:rFonts w:ascii="Arial" w:hAnsi="Arial" w:cs="Arial"/>
                <w:sz w:val="20"/>
                <w:szCs w:val="20"/>
              </w:rPr>
              <w:t>provide</w:t>
            </w:r>
            <w:r w:rsidRPr="002B3F36">
              <w:rPr>
                <w:rFonts w:ascii="Arial" w:hAnsi="Arial" w:cs="Arial"/>
                <w:spacing w:val="40"/>
                <w:sz w:val="20"/>
                <w:szCs w:val="20"/>
              </w:rPr>
              <w:t xml:space="preserve"> </w:t>
            </w:r>
            <w:r w:rsidRPr="002B3F36">
              <w:rPr>
                <w:rFonts w:ascii="Arial" w:hAnsi="Arial" w:cs="Arial"/>
                <w:sz w:val="20"/>
                <w:szCs w:val="20"/>
              </w:rPr>
              <w:t>for</w:t>
            </w:r>
            <w:r w:rsidRPr="002B3F36">
              <w:rPr>
                <w:rFonts w:ascii="Arial" w:hAnsi="Arial" w:cs="Arial"/>
                <w:spacing w:val="40"/>
                <w:sz w:val="20"/>
                <w:szCs w:val="20"/>
              </w:rPr>
              <w:t xml:space="preserve"> </w:t>
            </w:r>
            <w:r w:rsidRPr="002B3F36">
              <w:rPr>
                <w:rFonts w:ascii="Arial" w:hAnsi="Arial" w:cs="Arial"/>
                <w:sz w:val="20"/>
                <w:szCs w:val="20"/>
              </w:rPr>
              <w:t xml:space="preserve">measures to limit and, as far as possible, reduce air pollution including long-range transboundary air </w:t>
            </w:r>
            <w:r w:rsidRPr="002B3F36">
              <w:rPr>
                <w:rFonts w:ascii="Arial" w:hAnsi="Arial" w:cs="Arial"/>
                <w:spacing w:val="-2"/>
                <w:sz w:val="20"/>
                <w:szCs w:val="20"/>
              </w:rPr>
              <w:t>pollution.</w:t>
            </w:r>
          </w:p>
        </w:tc>
      </w:tr>
      <w:tr w:rsidR="00F61F8E" w:rsidRPr="002B3F36" w14:paraId="6BABBFED" w14:textId="77777777">
        <w:trPr>
          <w:trHeight w:val="20"/>
        </w:trPr>
        <w:tc>
          <w:tcPr>
            <w:tcW w:w="0" w:type="auto"/>
            <w:gridSpan w:val="3"/>
          </w:tcPr>
          <w:p w14:paraId="4331E1AF" w14:textId="77777777" w:rsidR="00F61F8E" w:rsidRPr="002B3F36" w:rsidRDefault="000F264B" w:rsidP="00D153B7">
            <w:pPr>
              <w:pStyle w:val="TableParagraph"/>
              <w:spacing w:before="0"/>
              <w:ind w:left="122"/>
              <w:rPr>
                <w:rFonts w:ascii="Arial" w:hAnsi="Arial" w:cs="Arial"/>
                <w:b/>
                <w:sz w:val="20"/>
                <w:szCs w:val="20"/>
              </w:rPr>
            </w:pPr>
            <w:r w:rsidRPr="002B3F36">
              <w:rPr>
                <w:rFonts w:ascii="Arial" w:hAnsi="Arial" w:cs="Arial"/>
                <w:b/>
                <w:sz w:val="20"/>
                <w:szCs w:val="20"/>
              </w:rPr>
              <w:t>Flora</w:t>
            </w:r>
            <w:r w:rsidRPr="002B3F36">
              <w:rPr>
                <w:rFonts w:ascii="Arial" w:hAnsi="Arial" w:cs="Arial"/>
                <w:b/>
                <w:spacing w:val="-6"/>
                <w:sz w:val="20"/>
                <w:szCs w:val="20"/>
              </w:rPr>
              <w:t xml:space="preserve"> </w:t>
            </w:r>
            <w:r w:rsidRPr="002B3F36">
              <w:rPr>
                <w:rFonts w:ascii="Arial" w:hAnsi="Arial" w:cs="Arial"/>
                <w:b/>
                <w:sz w:val="20"/>
                <w:szCs w:val="20"/>
              </w:rPr>
              <w:t>and</w:t>
            </w:r>
            <w:r w:rsidRPr="002B3F36">
              <w:rPr>
                <w:rFonts w:ascii="Arial" w:hAnsi="Arial" w:cs="Arial"/>
                <w:b/>
                <w:spacing w:val="-3"/>
                <w:sz w:val="20"/>
                <w:szCs w:val="20"/>
              </w:rPr>
              <w:t xml:space="preserve"> </w:t>
            </w:r>
            <w:r w:rsidRPr="002B3F36">
              <w:rPr>
                <w:rFonts w:ascii="Arial" w:hAnsi="Arial" w:cs="Arial"/>
                <w:b/>
                <w:spacing w:val="-4"/>
                <w:sz w:val="20"/>
                <w:szCs w:val="20"/>
              </w:rPr>
              <w:t>Fauna</w:t>
            </w:r>
          </w:p>
        </w:tc>
      </w:tr>
      <w:tr w:rsidR="00F61F8E" w:rsidRPr="002B3F36" w14:paraId="72ACE6D4" w14:textId="77777777">
        <w:trPr>
          <w:trHeight w:val="20"/>
        </w:trPr>
        <w:tc>
          <w:tcPr>
            <w:tcW w:w="0" w:type="auto"/>
          </w:tcPr>
          <w:p w14:paraId="36EEE0A2" w14:textId="77777777" w:rsidR="00F61F8E" w:rsidRPr="002B3F36" w:rsidRDefault="000F264B" w:rsidP="00D153B7">
            <w:pPr>
              <w:pStyle w:val="TableParagraph"/>
              <w:spacing w:before="0"/>
              <w:ind w:left="122" w:right="210"/>
              <w:rPr>
                <w:rFonts w:ascii="Arial" w:hAnsi="Arial" w:cs="Arial"/>
                <w:sz w:val="20"/>
                <w:szCs w:val="20"/>
              </w:rPr>
            </w:pPr>
            <w:r w:rsidRPr="002B3F36">
              <w:rPr>
                <w:rFonts w:ascii="Arial" w:hAnsi="Arial" w:cs="Arial"/>
                <w:sz w:val="20"/>
                <w:szCs w:val="20"/>
              </w:rPr>
              <w:t xml:space="preserve">Convention on Biological </w:t>
            </w:r>
            <w:r w:rsidRPr="002B3F36">
              <w:rPr>
                <w:rFonts w:ascii="Arial" w:hAnsi="Arial" w:cs="Arial"/>
                <w:spacing w:val="-2"/>
                <w:sz w:val="20"/>
                <w:szCs w:val="20"/>
              </w:rPr>
              <w:t>Diversity</w:t>
            </w:r>
          </w:p>
        </w:tc>
        <w:tc>
          <w:tcPr>
            <w:tcW w:w="0" w:type="auto"/>
          </w:tcPr>
          <w:p w14:paraId="052C724F"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 xml:space="preserve">1992, Rio de </w:t>
            </w:r>
            <w:r w:rsidRPr="002B3F36">
              <w:rPr>
                <w:rFonts w:ascii="Arial" w:hAnsi="Arial" w:cs="Arial"/>
                <w:spacing w:val="-2"/>
                <w:sz w:val="20"/>
                <w:szCs w:val="20"/>
              </w:rPr>
              <w:t>Janeiro</w:t>
            </w:r>
          </w:p>
        </w:tc>
        <w:tc>
          <w:tcPr>
            <w:tcW w:w="0" w:type="auto"/>
          </w:tcPr>
          <w:p w14:paraId="1529F0CE"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Project must be implemented with due regard to the following principles:</w:t>
            </w:r>
          </w:p>
          <w:p w14:paraId="0507D9D8" w14:textId="77777777" w:rsidR="00F61F8E" w:rsidRPr="002B3F36" w:rsidRDefault="000F264B" w:rsidP="009B4CDB">
            <w:pPr>
              <w:pStyle w:val="TableParagraph"/>
              <w:numPr>
                <w:ilvl w:val="0"/>
                <w:numId w:val="63"/>
              </w:numPr>
              <w:tabs>
                <w:tab w:val="left" w:pos="463"/>
              </w:tabs>
              <w:spacing w:before="0"/>
              <w:ind w:left="463" w:hanging="360"/>
              <w:rPr>
                <w:rFonts w:ascii="Arial" w:hAnsi="Arial" w:cs="Arial"/>
                <w:sz w:val="20"/>
                <w:szCs w:val="20"/>
              </w:rPr>
            </w:pPr>
            <w:r w:rsidRPr="002B3F36">
              <w:rPr>
                <w:rFonts w:ascii="Arial" w:hAnsi="Arial" w:cs="Arial"/>
                <w:sz w:val="20"/>
                <w:szCs w:val="20"/>
              </w:rPr>
              <w:t>Conservation</w:t>
            </w:r>
            <w:r w:rsidRPr="002B3F36">
              <w:rPr>
                <w:rFonts w:ascii="Arial" w:hAnsi="Arial" w:cs="Arial"/>
                <w:spacing w:val="23"/>
                <w:sz w:val="20"/>
                <w:szCs w:val="20"/>
              </w:rPr>
              <w:t xml:space="preserve"> </w:t>
            </w:r>
            <w:r w:rsidRPr="002B3F36">
              <w:rPr>
                <w:rFonts w:ascii="Arial" w:hAnsi="Arial" w:cs="Arial"/>
                <w:sz w:val="20"/>
                <w:szCs w:val="20"/>
              </w:rPr>
              <w:t>of</w:t>
            </w:r>
            <w:r w:rsidRPr="002B3F36">
              <w:rPr>
                <w:rFonts w:ascii="Arial" w:hAnsi="Arial" w:cs="Arial"/>
                <w:spacing w:val="28"/>
                <w:sz w:val="20"/>
                <w:szCs w:val="20"/>
              </w:rPr>
              <w:t xml:space="preserve"> </w:t>
            </w:r>
            <w:r w:rsidRPr="002B3F36">
              <w:rPr>
                <w:rFonts w:ascii="Arial" w:hAnsi="Arial" w:cs="Arial"/>
                <w:spacing w:val="-2"/>
                <w:sz w:val="20"/>
                <w:szCs w:val="20"/>
              </w:rPr>
              <w:t>biodiversity</w:t>
            </w:r>
          </w:p>
          <w:p w14:paraId="193CE021" w14:textId="77777777" w:rsidR="00F61F8E" w:rsidRPr="002B3F36" w:rsidRDefault="000F264B" w:rsidP="009B4CDB">
            <w:pPr>
              <w:pStyle w:val="TableParagraph"/>
              <w:numPr>
                <w:ilvl w:val="0"/>
                <w:numId w:val="63"/>
              </w:numPr>
              <w:tabs>
                <w:tab w:val="left" w:pos="463"/>
              </w:tabs>
              <w:spacing w:before="0"/>
              <w:ind w:left="463" w:hanging="360"/>
              <w:rPr>
                <w:rFonts w:ascii="Arial" w:hAnsi="Arial" w:cs="Arial"/>
                <w:sz w:val="20"/>
                <w:szCs w:val="20"/>
              </w:rPr>
            </w:pPr>
            <w:r w:rsidRPr="002B3F36">
              <w:rPr>
                <w:rFonts w:ascii="Arial" w:hAnsi="Arial" w:cs="Arial"/>
                <w:sz w:val="20"/>
                <w:szCs w:val="20"/>
              </w:rPr>
              <w:t>Sustainable</w:t>
            </w:r>
            <w:r w:rsidRPr="002B3F36">
              <w:rPr>
                <w:rFonts w:ascii="Arial" w:hAnsi="Arial" w:cs="Arial"/>
                <w:spacing w:val="41"/>
                <w:sz w:val="20"/>
                <w:szCs w:val="20"/>
              </w:rPr>
              <w:t xml:space="preserve"> </w:t>
            </w:r>
            <w:r w:rsidRPr="002B3F36">
              <w:rPr>
                <w:rFonts w:ascii="Arial" w:hAnsi="Arial" w:cs="Arial"/>
                <w:sz w:val="20"/>
                <w:szCs w:val="20"/>
              </w:rPr>
              <w:t>biodiversity</w:t>
            </w:r>
            <w:r w:rsidRPr="002B3F36">
              <w:rPr>
                <w:rFonts w:ascii="Arial" w:hAnsi="Arial" w:cs="Arial"/>
                <w:spacing w:val="44"/>
                <w:sz w:val="20"/>
                <w:szCs w:val="20"/>
              </w:rPr>
              <w:t xml:space="preserve"> </w:t>
            </w:r>
            <w:r w:rsidRPr="002B3F36">
              <w:rPr>
                <w:rFonts w:ascii="Arial" w:hAnsi="Arial" w:cs="Arial"/>
                <w:spacing w:val="-2"/>
                <w:sz w:val="20"/>
                <w:szCs w:val="20"/>
              </w:rPr>
              <w:t>use/management</w:t>
            </w:r>
          </w:p>
          <w:p w14:paraId="4F6F0F5B" w14:textId="77777777" w:rsidR="00F61F8E" w:rsidRPr="002B3F36" w:rsidRDefault="000F264B" w:rsidP="009B4CDB">
            <w:pPr>
              <w:pStyle w:val="TableParagraph"/>
              <w:numPr>
                <w:ilvl w:val="0"/>
                <w:numId w:val="63"/>
              </w:numPr>
              <w:tabs>
                <w:tab w:val="left" w:pos="463"/>
              </w:tabs>
              <w:spacing w:before="0"/>
              <w:ind w:left="463" w:right="399"/>
              <w:rPr>
                <w:rFonts w:ascii="Arial" w:hAnsi="Arial" w:cs="Arial"/>
                <w:sz w:val="20"/>
                <w:szCs w:val="20"/>
              </w:rPr>
            </w:pPr>
            <w:r w:rsidRPr="002B3F36">
              <w:rPr>
                <w:rFonts w:ascii="Arial" w:hAnsi="Arial" w:cs="Arial"/>
                <w:sz w:val="20"/>
                <w:szCs w:val="20"/>
              </w:rPr>
              <w:t>Equitable sharing of the benefits from the use of genetic resources</w:t>
            </w:r>
          </w:p>
        </w:tc>
      </w:tr>
      <w:tr w:rsidR="00F61F8E" w:rsidRPr="002B3F36" w14:paraId="200D3196" w14:textId="77777777">
        <w:trPr>
          <w:trHeight w:val="20"/>
        </w:trPr>
        <w:tc>
          <w:tcPr>
            <w:tcW w:w="0" w:type="auto"/>
          </w:tcPr>
          <w:p w14:paraId="6E204BDF" w14:textId="77777777" w:rsidR="00F61F8E" w:rsidRPr="002B3F36" w:rsidRDefault="000F264B" w:rsidP="00D153B7">
            <w:pPr>
              <w:pStyle w:val="TableParagraph"/>
              <w:spacing w:before="0"/>
              <w:ind w:left="122" w:right="210"/>
              <w:rPr>
                <w:rFonts w:ascii="Arial" w:hAnsi="Arial" w:cs="Arial"/>
                <w:sz w:val="20"/>
                <w:szCs w:val="20"/>
              </w:rPr>
            </w:pPr>
            <w:r w:rsidRPr="002B3F36">
              <w:rPr>
                <w:rFonts w:ascii="Arial" w:hAnsi="Arial" w:cs="Arial"/>
                <w:sz w:val="20"/>
                <w:szCs w:val="20"/>
              </w:rPr>
              <w:t xml:space="preserve">Convention on the Conservation of Migratory Species of Wild Animals (Bonn </w:t>
            </w:r>
            <w:r w:rsidRPr="002B3F36">
              <w:rPr>
                <w:rFonts w:ascii="Arial" w:hAnsi="Arial" w:cs="Arial"/>
                <w:spacing w:val="-2"/>
                <w:sz w:val="20"/>
                <w:szCs w:val="20"/>
              </w:rPr>
              <w:t>Convention)</w:t>
            </w:r>
          </w:p>
        </w:tc>
        <w:tc>
          <w:tcPr>
            <w:tcW w:w="0" w:type="auto"/>
          </w:tcPr>
          <w:p w14:paraId="680BA9C3"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1979,</w:t>
            </w:r>
            <w:r w:rsidRPr="002B3F36">
              <w:rPr>
                <w:rFonts w:ascii="Arial" w:hAnsi="Arial" w:cs="Arial"/>
                <w:spacing w:val="19"/>
                <w:sz w:val="20"/>
                <w:szCs w:val="20"/>
              </w:rPr>
              <w:t xml:space="preserve"> </w:t>
            </w:r>
            <w:r w:rsidRPr="002B3F36">
              <w:rPr>
                <w:rFonts w:ascii="Arial" w:hAnsi="Arial" w:cs="Arial"/>
                <w:spacing w:val="-4"/>
                <w:sz w:val="20"/>
                <w:szCs w:val="20"/>
              </w:rPr>
              <w:t>Bonn</w:t>
            </w:r>
          </w:p>
        </w:tc>
        <w:tc>
          <w:tcPr>
            <w:tcW w:w="0" w:type="auto"/>
          </w:tcPr>
          <w:p w14:paraId="227C9281"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 xml:space="preserve">The Project must be implemented with due regard to the principle of conservation of migratory species of wild animals and their </w:t>
            </w:r>
            <w:r w:rsidRPr="002B3F36">
              <w:rPr>
                <w:rFonts w:ascii="Arial" w:hAnsi="Arial" w:cs="Arial"/>
                <w:spacing w:val="-2"/>
                <w:sz w:val="20"/>
                <w:szCs w:val="20"/>
              </w:rPr>
              <w:t>habitats.</w:t>
            </w:r>
          </w:p>
        </w:tc>
      </w:tr>
      <w:tr w:rsidR="00F61F8E" w:rsidRPr="002B3F36" w14:paraId="77C01998" w14:textId="77777777">
        <w:trPr>
          <w:trHeight w:val="20"/>
        </w:trPr>
        <w:tc>
          <w:tcPr>
            <w:tcW w:w="0" w:type="auto"/>
          </w:tcPr>
          <w:p w14:paraId="35340F59"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Convention on Wetlands of International Importance especially as Waterfowl Habitat (Ramsar Convention)</w:t>
            </w:r>
          </w:p>
        </w:tc>
        <w:tc>
          <w:tcPr>
            <w:tcW w:w="0" w:type="auto"/>
          </w:tcPr>
          <w:p w14:paraId="293DAA97"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1971,</w:t>
            </w:r>
            <w:r w:rsidRPr="002B3F36">
              <w:rPr>
                <w:rFonts w:ascii="Arial" w:hAnsi="Arial" w:cs="Arial"/>
                <w:spacing w:val="21"/>
                <w:sz w:val="20"/>
                <w:szCs w:val="20"/>
              </w:rPr>
              <w:t xml:space="preserve"> </w:t>
            </w:r>
            <w:r w:rsidRPr="002B3F36">
              <w:rPr>
                <w:rFonts w:ascii="Arial" w:hAnsi="Arial" w:cs="Arial"/>
                <w:spacing w:val="-2"/>
                <w:sz w:val="20"/>
                <w:szCs w:val="20"/>
              </w:rPr>
              <w:t>Ramsar</w:t>
            </w:r>
          </w:p>
        </w:tc>
        <w:tc>
          <w:tcPr>
            <w:tcW w:w="0" w:type="auto"/>
          </w:tcPr>
          <w:p w14:paraId="3DC633DA"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Client will establish if any ecosystems covered by this Convention exist within the Project or in the immediate proximity to the project facilities and will take the adequate protection/conservation measures if required.</w:t>
            </w:r>
          </w:p>
        </w:tc>
      </w:tr>
      <w:tr w:rsidR="00F61F8E" w:rsidRPr="002B3F36" w14:paraId="4400833A" w14:textId="77777777">
        <w:trPr>
          <w:trHeight w:val="20"/>
        </w:trPr>
        <w:tc>
          <w:tcPr>
            <w:tcW w:w="0" w:type="auto"/>
            <w:gridSpan w:val="3"/>
          </w:tcPr>
          <w:p w14:paraId="1FA2CF89" w14:textId="77777777" w:rsidR="00F61F8E" w:rsidRPr="002B3F36" w:rsidRDefault="000F264B" w:rsidP="00D153B7">
            <w:pPr>
              <w:pStyle w:val="TableParagraph"/>
              <w:spacing w:before="0"/>
              <w:ind w:left="122"/>
              <w:rPr>
                <w:rFonts w:ascii="Arial" w:hAnsi="Arial" w:cs="Arial"/>
                <w:b/>
                <w:sz w:val="20"/>
                <w:szCs w:val="20"/>
              </w:rPr>
            </w:pPr>
            <w:r w:rsidRPr="002B3F36">
              <w:rPr>
                <w:rFonts w:ascii="Arial" w:hAnsi="Arial" w:cs="Arial"/>
                <w:b/>
                <w:spacing w:val="-4"/>
                <w:sz w:val="20"/>
                <w:szCs w:val="20"/>
              </w:rPr>
              <w:t>Land</w:t>
            </w:r>
          </w:p>
        </w:tc>
      </w:tr>
      <w:tr w:rsidR="00F61F8E" w:rsidRPr="002B3F36" w14:paraId="60553873" w14:textId="77777777">
        <w:trPr>
          <w:trHeight w:val="20"/>
        </w:trPr>
        <w:tc>
          <w:tcPr>
            <w:tcW w:w="0" w:type="auto"/>
          </w:tcPr>
          <w:p w14:paraId="62B71458" w14:textId="77777777" w:rsidR="00F61F8E" w:rsidRPr="002B3F36" w:rsidRDefault="000F264B" w:rsidP="00D153B7">
            <w:pPr>
              <w:pStyle w:val="TableParagraph"/>
              <w:spacing w:before="0"/>
              <w:ind w:left="122" w:right="210"/>
              <w:rPr>
                <w:rFonts w:ascii="Arial" w:hAnsi="Arial" w:cs="Arial"/>
                <w:sz w:val="20"/>
                <w:szCs w:val="20"/>
              </w:rPr>
            </w:pPr>
            <w:r w:rsidRPr="002B3F36">
              <w:rPr>
                <w:rFonts w:ascii="Arial" w:hAnsi="Arial" w:cs="Arial"/>
                <w:sz w:val="20"/>
                <w:szCs w:val="20"/>
              </w:rPr>
              <w:t xml:space="preserve">UN Convention to Combat Desertification/ Land </w:t>
            </w:r>
            <w:r w:rsidRPr="002B3F36">
              <w:rPr>
                <w:rFonts w:ascii="Arial" w:hAnsi="Arial" w:cs="Arial"/>
                <w:spacing w:val="-2"/>
                <w:sz w:val="20"/>
                <w:szCs w:val="20"/>
              </w:rPr>
              <w:t>Degradation</w:t>
            </w:r>
          </w:p>
        </w:tc>
        <w:tc>
          <w:tcPr>
            <w:tcW w:w="0" w:type="auto"/>
          </w:tcPr>
          <w:p w14:paraId="249470BA"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1994,</w:t>
            </w:r>
            <w:r w:rsidRPr="002B3F36">
              <w:rPr>
                <w:rFonts w:ascii="Arial" w:hAnsi="Arial" w:cs="Arial"/>
                <w:spacing w:val="21"/>
                <w:sz w:val="20"/>
                <w:szCs w:val="20"/>
              </w:rPr>
              <w:t xml:space="preserve"> </w:t>
            </w:r>
            <w:r w:rsidRPr="002B3F36">
              <w:rPr>
                <w:rFonts w:ascii="Arial" w:hAnsi="Arial" w:cs="Arial"/>
                <w:spacing w:val="-2"/>
                <w:sz w:val="20"/>
                <w:szCs w:val="20"/>
              </w:rPr>
              <w:t>Paris</w:t>
            </w:r>
          </w:p>
        </w:tc>
        <w:tc>
          <w:tcPr>
            <w:tcW w:w="0" w:type="auto"/>
          </w:tcPr>
          <w:p w14:paraId="6DB5539A"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Client will provide for measures to improve productivity of land, and the rehabilitation, conservation and sustainable management of land and water resources.</w:t>
            </w:r>
          </w:p>
        </w:tc>
      </w:tr>
      <w:tr w:rsidR="00F61F8E" w:rsidRPr="002B3F36" w14:paraId="42E10784" w14:textId="77777777">
        <w:trPr>
          <w:trHeight w:val="20"/>
        </w:trPr>
        <w:tc>
          <w:tcPr>
            <w:tcW w:w="0" w:type="auto"/>
            <w:gridSpan w:val="3"/>
          </w:tcPr>
          <w:p w14:paraId="40637735" w14:textId="77777777" w:rsidR="00F61F8E" w:rsidRPr="002B3F36" w:rsidRDefault="000F264B" w:rsidP="00D153B7">
            <w:pPr>
              <w:pStyle w:val="TableParagraph"/>
              <w:spacing w:before="0"/>
              <w:ind w:left="122"/>
              <w:rPr>
                <w:rFonts w:ascii="Arial" w:hAnsi="Arial" w:cs="Arial"/>
                <w:b/>
                <w:sz w:val="20"/>
                <w:szCs w:val="20"/>
              </w:rPr>
            </w:pPr>
            <w:r w:rsidRPr="002B3F36">
              <w:rPr>
                <w:rFonts w:ascii="Arial" w:hAnsi="Arial" w:cs="Arial"/>
                <w:b/>
                <w:sz w:val="20"/>
                <w:szCs w:val="20"/>
              </w:rPr>
              <w:t>Cultural</w:t>
            </w:r>
            <w:r w:rsidRPr="002B3F36">
              <w:rPr>
                <w:rFonts w:ascii="Arial" w:hAnsi="Arial" w:cs="Arial"/>
                <w:b/>
                <w:spacing w:val="31"/>
                <w:sz w:val="20"/>
                <w:szCs w:val="20"/>
              </w:rPr>
              <w:t xml:space="preserve"> </w:t>
            </w:r>
            <w:r w:rsidRPr="002B3F36">
              <w:rPr>
                <w:rFonts w:ascii="Arial" w:hAnsi="Arial" w:cs="Arial"/>
                <w:b/>
                <w:spacing w:val="-2"/>
                <w:sz w:val="20"/>
                <w:szCs w:val="20"/>
              </w:rPr>
              <w:t>Heritage</w:t>
            </w:r>
          </w:p>
        </w:tc>
      </w:tr>
      <w:tr w:rsidR="00F61F8E" w:rsidRPr="002B3F36" w14:paraId="506DEC4D" w14:textId="77777777">
        <w:trPr>
          <w:trHeight w:val="20"/>
        </w:trPr>
        <w:tc>
          <w:tcPr>
            <w:tcW w:w="0" w:type="auto"/>
          </w:tcPr>
          <w:p w14:paraId="4DEA35EF"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Convention concerning the Protection of the World Cultural and Natural Heritage</w:t>
            </w:r>
          </w:p>
        </w:tc>
        <w:tc>
          <w:tcPr>
            <w:tcW w:w="0" w:type="auto"/>
          </w:tcPr>
          <w:p w14:paraId="2D23E9A4"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1972,</w:t>
            </w:r>
            <w:r w:rsidRPr="002B3F36">
              <w:rPr>
                <w:rFonts w:ascii="Arial" w:hAnsi="Arial" w:cs="Arial"/>
                <w:spacing w:val="21"/>
                <w:sz w:val="20"/>
                <w:szCs w:val="20"/>
              </w:rPr>
              <w:t xml:space="preserve"> </w:t>
            </w:r>
            <w:r w:rsidRPr="002B3F36">
              <w:rPr>
                <w:rFonts w:ascii="Arial" w:hAnsi="Arial" w:cs="Arial"/>
                <w:spacing w:val="-2"/>
                <w:sz w:val="20"/>
                <w:szCs w:val="20"/>
              </w:rPr>
              <w:t>Paris</w:t>
            </w:r>
          </w:p>
        </w:tc>
        <w:tc>
          <w:tcPr>
            <w:tcW w:w="0" w:type="auto"/>
          </w:tcPr>
          <w:p w14:paraId="55C70DEC"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Client will identify whether objects of</w:t>
            </w:r>
            <w:r w:rsidRPr="002B3F36">
              <w:rPr>
                <w:rFonts w:ascii="Arial" w:hAnsi="Arial" w:cs="Arial"/>
                <w:spacing w:val="40"/>
                <w:sz w:val="20"/>
                <w:szCs w:val="20"/>
              </w:rPr>
              <w:t xml:space="preserve"> </w:t>
            </w:r>
            <w:r w:rsidRPr="002B3F36">
              <w:rPr>
                <w:rFonts w:ascii="Arial" w:hAnsi="Arial" w:cs="Arial"/>
                <w:sz w:val="20"/>
                <w:szCs w:val="20"/>
              </w:rPr>
              <w:t>cultural and natural heritage covered by this Convention exist within immediate proximity to the project facilities and will take the adequate protection/conservation measures if required.</w:t>
            </w:r>
          </w:p>
        </w:tc>
      </w:tr>
      <w:tr w:rsidR="00F61F8E" w:rsidRPr="002B3F36" w14:paraId="75C26385" w14:textId="77777777">
        <w:trPr>
          <w:trHeight w:val="20"/>
        </w:trPr>
        <w:tc>
          <w:tcPr>
            <w:tcW w:w="0" w:type="auto"/>
            <w:gridSpan w:val="3"/>
          </w:tcPr>
          <w:p w14:paraId="240F3073"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b/>
                <w:sz w:val="20"/>
                <w:szCs w:val="20"/>
              </w:rPr>
              <w:t>Social</w:t>
            </w:r>
            <w:r w:rsidRPr="002B3F36">
              <w:rPr>
                <w:rFonts w:ascii="Arial" w:hAnsi="Arial" w:cs="Arial"/>
                <w:b/>
                <w:spacing w:val="21"/>
                <w:sz w:val="20"/>
                <w:szCs w:val="20"/>
              </w:rPr>
              <w:t xml:space="preserve"> </w:t>
            </w:r>
            <w:r w:rsidRPr="002B3F36">
              <w:rPr>
                <w:rFonts w:ascii="Arial" w:hAnsi="Arial" w:cs="Arial"/>
                <w:b/>
                <w:sz w:val="20"/>
                <w:szCs w:val="20"/>
              </w:rPr>
              <w:t>Aspects</w:t>
            </w:r>
            <w:r w:rsidRPr="002B3F36">
              <w:rPr>
                <w:rFonts w:ascii="Arial" w:hAnsi="Arial" w:cs="Arial"/>
                <w:b/>
                <w:spacing w:val="18"/>
                <w:sz w:val="20"/>
                <w:szCs w:val="20"/>
              </w:rPr>
              <w:t xml:space="preserve"> </w:t>
            </w:r>
            <w:r w:rsidRPr="002B3F36">
              <w:rPr>
                <w:rFonts w:ascii="Arial" w:hAnsi="Arial" w:cs="Arial"/>
                <w:b/>
                <w:sz w:val="20"/>
                <w:szCs w:val="20"/>
              </w:rPr>
              <w:t>/</w:t>
            </w:r>
            <w:r w:rsidRPr="002B3F36">
              <w:rPr>
                <w:rFonts w:ascii="Arial" w:hAnsi="Arial" w:cs="Arial"/>
                <w:b/>
                <w:spacing w:val="22"/>
                <w:sz w:val="20"/>
                <w:szCs w:val="20"/>
              </w:rPr>
              <w:t xml:space="preserve"> </w:t>
            </w:r>
            <w:r w:rsidRPr="002B3F36">
              <w:rPr>
                <w:rFonts w:ascii="Arial" w:hAnsi="Arial" w:cs="Arial"/>
                <w:b/>
                <w:spacing w:val="-2"/>
                <w:sz w:val="20"/>
                <w:szCs w:val="20"/>
              </w:rPr>
              <w:t>Consultations</w:t>
            </w:r>
          </w:p>
        </w:tc>
      </w:tr>
      <w:tr w:rsidR="00F61F8E" w:rsidRPr="002B3F36" w14:paraId="010D97B1" w14:textId="77777777">
        <w:trPr>
          <w:trHeight w:val="20"/>
        </w:trPr>
        <w:tc>
          <w:tcPr>
            <w:tcW w:w="0" w:type="auto"/>
          </w:tcPr>
          <w:p w14:paraId="3D70EAEA"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Convention on Access to Information, Public Participation in Decision making and Access to Justice in Environmental Matters</w:t>
            </w:r>
          </w:p>
        </w:tc>
        <w:tc>
          <w:tcPr>
            <w:tcW w:w="0" w:type="auto"/>
          </w:tcPr>
          <w:p w14:paraId="2FF0E7C1"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Convention on Access to Information, Public Participation in Decision making and Access to Justice in Environmental Matters</w:t>
            </w:r>
          </w:p>
        </w:tc>
        <w:tc>
          <w:tcPr>
            <w:tcW w:w="0" w:type="auto"/>
          </w:tcPr>
          <w:p w14:paraId="47F79B4C"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Convention on Access to Information, Public Participation in Decision making and Access to Justice in Environmental Matters</w:t>
            </w:r>
          </w:p>
        </w:tc>
      </w:tr>
      <w:tr w:rsidR="00F61F8E" w:rsidRPr="002B3F36" w14:paraId="5037C5C4" w14:textId="77777777">
        <w:trPr>
          <w:trHeight w:val="20"/>
        </w:trPr>
        <w:tc>
          <w:tcPr>
            <w:tcW w:w="0" w:type="auto"/>
            <w:gridSpan w:val="3"/>
          </w:tcPr>
          <w:p w14:paraId="0181160E"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b/>
                <w:spacing w:val="-2"/>
                <w:sz w:val="20"/>
                <w:szCs w:val="20"/>
              </w:rPr>
              <w:t>Gender</w:t>
            </w:r>
          </w:p>
        </w:tc>
      </w:tr>
      <w:tr w:rsidR="00F61F8E" w:rsidRPr="002B3F36" w14:paraId="351F1648" w14:textId="77777777">
        <w:trPr>
          <w:trHeight w:val="20"/>
        </w:trPr>
        <w:tc>
          <w:tcPr>
            <w:tcW w:w="0" w:type="auto"/>
          </w:tcPr>
          <w:p w14:paraId="06AADBC4"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 xml:space="preserve">ILO C190 - Violence and Harassment in the World of </w:t>
            </w:r>
            <w:r w:rsidRPr="002B3F36">
              <w:rPr>
                <w:rFonts w:ascii="Arial" w:hAnsi="Arial" w:cs="Arial"/>
                <w:spacing w:val="-4"/>
                <w:sz w:val="20"/>
                <w:szCs w:val="20"/>
              </w:rPr>
              <w:t>Work</w:t>
            </w:r>
          </w:p>
        </w:tc>
        <w:tc>
          <w:tcPr>
            <w:tcW w:w="0" w:type="auto"/>
          </w:tcPr>
          <w:p w14:paraId="63BD941D"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 xml:space="preserve">ILO C190 - Violence and Harassment in the World of </w:t>
            </w:r>
            <w:r w:rsidRPr="002B3F36">
              <w:rPr>
                <w:rFonts w:ascii="Arial" w:hAnsi="Arial" w:cs="Arial"/>
                <w:spacing w:val="-4"/>
                <w:sz w:val="20"/>
                <w:szCs w:val="20"/>
              </w:rPr>
              <w:t>Work</w:t>
            </w:r>
          </w:p>
        </w:tc>
        <w:tc>
          <w:tcPr>
            <w:tcW w:w="0" w:type="auto"/>
          </w:tcPr>
          <w:p w14:paraId="7AE8194A"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 xml:space="preserve">ILO C190 - Violence and Harassment in the World of </w:t>
            </w:r>
            <w:r w:rsidRPr="002B3F36">
              <w:rPr>
                <w:rFonts w:ascii="Arial" w:hAnsi="Arial" w:cs="Arial"/>
                <w:spacing w:val="-4"/>
                <w:sz w:val="20"/>
                <w:szCs w:val="20"/>
              </w:rPr>
              <w:t>Work</w:t>
            </w:r>
          </w:p>
        </w:tc>
      </w:tr>
      <w:tr w:rsidR="00F61F8E" w:rsidRPr="002B3F36" w14:paraId="073A09F8" w14:textId="77777777">
        <w:trPr>
          <w:trHeight w:val="20"/>
        </w:trPr>
        <w:tc>
          <w:tcPr>
            <w:tcW w:w="0" w:type="auto"/>
            <w:gridSpan w:val="3"/>
          </w:tcPr>
          <w:p w14:paraId="04A69F4D"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b/>
                <w:sz w:val="20"/>
                <w:szCs w:val="20"/>
              </w:rPr>
              <w:t>Health</w:t>
            </w:r>
            <w:r w:rsidRPr="002B3F36">
              <w:rPr>
                <w:rFonts w:ascii="Arial" w:hAnsi="Arial" w:cs="Arial"/>
                <w:b/>
                <w:spacing w:val="19"/>
                <w:sz w:val="20"/>
                <w:szCs w:val="20"/>
              </w:rPr>
              <w:t xml:space="preserve"> </w:t>
            </w:r>
            <w:r w:rsidRPr="002B3F36">
              <w:rPr>
                <w:rFonts w:ascii="Arial" w:hAnsi="Arial" w:cs="Arial"/>
                <w:b/>
                <w:sz w:val="20"/>
                <w:szCs w:val="20"/>
              </w:rPr>
              <w:t>and</w:t>
            </w:r>
            <w:r w:rsidRPr="002B3F36">
              <w:rPr>
                <w:rFonts w:ascii="Arial" w:hAnsi="Arial" w:cs="Arial"/>
                <w:b/>
                <w:spacing w:val="23"/>
                <w:sz w:val="20"/>
                <w:szCs w:val="20"/>
              </w:rPr>
              <w:t xml:space="preserve"> </w:t>
            </w:r>
            <w:r w:rsidRPr="002B3F36">
              <w:rPr>
                <w:rFonts w:ascii="Arial" w:hAnsi="Arial" w:cs="Arial"/>
                <w:b/>
                <w:spacing w:val="-2"/>
                <w:sz w:val="20"/>
                <w:szCs w:val="20"/>
              </w:rPr>
              <w:t>Safety</w:t>
            </w:r>
          </w:p>
        </w:tc>
      </w:tr>
      <w:tr w:rsidR="00F61F8E" w:rsidRPr="002B3F36" w14:paraId="3687C973" w14:textId="77777777">
        <w:trPr>
          <w:trHeight w:val="20"/>
        </w:trPr>
        <w:tc>
          <w:tcPr>
            <w:tcW w:w="0" w:type="auto"/>
          </w:tcPr>
          <w:p w14:paraId="589D1D06" w14:textId="77777777" w:rsidR="00F61F8E" w:rsidRPr="002B3F36" w:rsidRDefault="000F264B" w:rsidP="00D153B7">
            <w:pPr>
              <w:pStyle w:val="TableParagraph"/>
              <w:spacing w:before="0"/>
              <w:ind w:left="122" w:right="257"/>
              <w:rPr>
                <w:rFonts w:ascii="Arial" w:hAnsi="Arial" w:cs="Arial"/>
                <w:b/>
                <w:sz w:val="20"/>
                <w:szCs w:val="20"/>
              </w:rPr>
            </w:pPr>
            <w:r w:rsidRPr="002B3F36">
              <w:rPr>
                <w:rFonts w:ascii="Arial" w:hAnsi="Arial" w:cs="Arial"/>
                <w:sz w:val="20"/>
                <w:szCs w:val="20"/>
              </w:rPr>
              <w:t xml:space="preserve">ILO C148 – Working Environment (Air Pollution, Noise and Vibration) </w:t>
            </w:r>
            <w:r w:rsidRPr="002B3F36">
              <w:rPr>
                <w:rFonts w:ascii="Arial" w:hAnsi="Arial" w:cs="Arial"/>
                <w:spacing w:val="-2"/>
                <w:sz w:val="20"/>
                <w:szCs w:val="20"/>
              </w:rPr>
              <w:t>Convention</w:t>
            </w:r>
          </w:p>
        </w:tc>
        <w:tc>
          <w:tcPr>
            <w:tcW w:w="0" w:type="auto"/>
          </w:tcPr>
          <w:p w14:paraId="1E6F5649"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 xml:space="preserve">ILO C148 – Working Environment (Air Pollution, Noise and Vibration) </w:t>
            </w:r>
            <w:r w:rsidRPr="002B3F36">
              <w:rPr>
                <w:rFonts w:ascii="Arial" w:hAnsi="Arial" w:cs="Arial"/>
                <w:spacing w:val="-2"/>
                <w:sz w:val="20"/>
                <w:szCs w:val="20"/>
              </w:rPr>
              <w:t>Convention</w:t>
            </w:r>
          </w:p>
        </w:tc>
        <w:tc>
          <w:tcPr>
            <w:tcW w:w="0" w:type="auto"/>
          </w:tcPr>
          <w:p w14:paraId="304DDF99"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 xml:space="preserve">ILO C148 – Working Environment (Air Pollution, Noise and Vibration) </w:t>
            </w:r>
            <w:r w:rsidRPr="002B3F36">
              <w:rPr>
                <w:rFonts w:ascii="Arial" w:hAnsi="Arial" w:cs="Arial"/>
                <w:spacing w:val="-2"/>
                <w:sz w:val="20"/>
                <w:szCs w:val="20"/>
              </w:rPr>
              <w:t>Convention</w:t>
            </w:r>
          </w:p>
        </w:tc>
      </w:tr>
      <w:tr w:rsidR="00F61F8E" w:rsidRPr="002B3F36" w14:paraId="14F71527" w14:textId="77777777">
        <w:trPr>
          <w:trHeight w:val="20"/>
        </w:trPr>
        <w:tc>
          <w:tcPr>
            <w:tcW w:w="0" w:type="auto"/>
          </w:tcPr>
          <w:p w14:paraId="12480497"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ILO C155 – Occupational Safety and Health Convention</w:t>
            </w:r>
          </w:p>
        </w:tc>
        <w:tc>
          <w:tcPr>
            <w:tcW w:w="0" w:type="auto"/>
          </w:tcPr>
          <w:p w14:paraId="6FE4D717"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1981,</w:t>
            </w:r>
            <w:r w:rsidRPr="002B3F36">
              <w:rPr>
                <w:rFonts w:ascii="Arial" w:hAnsi="Arial" w:cs="Arial"/>
                <w:spacing w:val="19"/>
                <w:sz w:val="20"/>
                <w:szCs w:val="20"/>
              </w:rPr>
              <w:t xml:space="preserve"> </w:t>
            </w:r>
            <w:r w:rsidRPr="002B3F36">
              <w:rPr>
                <w:rFonts w:ascii="Arial" w:hAnsi="Arial" w:cs="Arial"/>
                <w:spacing w:val="-2"/>
                <w:sz w:val="20"/>
                <w:szCs w:val="20"/>
              </w:rPr>
              <w:t>Geneva</w:t>
            </w:r>
          </w:p>
        </w:tc>
        <w:tc>
          <w:tcPr>
            <w:tcW w:w="0" w:type="auto"/>
          </w:tcPr>
          <w:p w14:paraId="391C7D13"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Project will provide for measures to prevent accidents and injury to health arising out of, linked</w:t>
            </w:r>
            <w:r w:rsidRPr="002B3F36">
              <w:rPr>
                <w:rFonts w:ascii="Arial" w:hAnsi="Arial" w:cs="Arial"/>
                <w:spacing w:val="40"/>
                <w:sz w:val="20"/>
                <w:szCs w:val="20"/>
              </w:rPr>
              <w:t xml:space="preserve"> </w:t>
            </w:r>
            <w:r w:rsidRPr="002B3F36">
              <w:rPr>
                <w:rFonts w:ascii="Arial" w:hAnsi="Arial" w:cs="Arial"/>
                <w:sz w:val="20"/>
                <w:szCs w:val="20"/>
              </w:rPr>
              <w:t>with</w:t>
            </w:r>
            <w:r w:rsidRPr="002B3F36">
              <w:rPr>
                <w:rFonts w:ascii="Arial" w:hAnsi="Arial" w:cs="Arial"/>
                <w:spacing w:val="39"/>
                <w:sz w:val="20"/>
                <w:szCs w:val="20"/>
              </w:rPr>
              <w:t xml:space="preserve"> </w:t>
            </w:r>
            <w:r w:rsidRPr="002B3F36">
              <w:rPr>
                <w:rFonts w:ascii="Arial" w:hAnsi="Arial" w:cs="Arial"/>
                <w:sz w:val="20"/>
                <w:szCs w:val="20"/>
              </w:rPr>
              <w:t>or</w:t>
            </w:r>
            <w:r w:rsidRPr="002B3F36">
              <w:rPr>
                <w:rFonts w:ascii="Arial" w:hAnsi="Arial" w:cs="Arial"/>
                <w:spacing w:val="40"/>
                <w:sz w:val="20"/>
                <w:szCs w:val="20"/>
              </w:rPr>
              <w:t xml:space="preserve"> </w:t>
            </w:r>
            <w:r w:rsidRPr="002B3F36">
              <w:rPr>
                <w:rFonts w:ascii="Arial" w:hAnsi="Arial" w:cs="Arial"/>
                <w:sz w:val="20"/>
                <w:szCs w:val="20"/>
              </w:rPr>
              <w:t>occurring</w:t>
            </w:r>
            <w:r w:rsidRPr="002B3F36">
              <w:rPr>
                <w:rFonts w:ascii="Arial" w:hAnsi="Arial" w:cs="Arial"/>
                <w:spacing w:val="40"/>
                <w:sz w:val="20"/>
                <w:szCs w:val="20"/>
              </w:rPr>
              <w:t xml:space="preserve"> </w:t>
            </w:r>
            <w:r w:rsidRPr="002B3F36">
              <w:rPr>
                <w:rFonts w:ascii="Arial" w:hAnsi="Arial" w:cs="Arial"/>
                <w:sz w:val="20"/>
                <w:szCs w:val="20"/>
              </w:rPr>
              <w:t>in</w:t>
            </w:r>
            <w:r w:rsidRPr="002B3F36">
              <w:rPr>
                <w:rFonts w:ascii="Arial" w:hAnsi="Arial" w:cs="Arial"/>
                <w:spacing w:val="39"/>
                <w:sz w:val="20"/>
                <w:szCs w:val="20"/>
              </w:rPr>
              <w:t xml:space="preserve"> </w:t>
            </w:r>
            <w:r w:rsidRPr="002B3F36">
              <w:rPr>
                <w:rFonts w:ascii="Arial" w:hAnsi="Arial" w:cs="Arial"/>
                <w:sz w:val="20"/>
                <w:szCs w:val="20"/>
              </w:rPr>
              <w:lastRenderedPageBreak/>
              <w:t>the</w:t>
            </w:r>
            <w:r w:rsidRPr="002B3F36">
              <w:rPr>
                <w:rFonts w:ascii="Arial" w:hAnsi="Arial" w:cs="Arial"/>
                <w:spacing w:val="40"/>
                <w:sz w:val="20"/>
                <w:szCs w:val="20"/>
              </w:rPr>
              <w:t xml:space="preserve"> </w:t>
            </w:r>
            <w:r w:rsidRPr="002B3F36">
              <w:rPr>
                <w:rFonts w:ascii="Arial" w:hAnsi="Arial" w:cs="Arial"/>
                <w:sz w:val="20"/>
                <w:szCs w:val="20"/>
              </w:rPr>
              <w:t>course</w:t>
            </w:r>
            <w:r w:rsidRPr="002B3F36">
              <w:rPr>
                <w:rFonts w:ascii="Arial" w:hAnsi="Arial" w:cs="Arial"/>
                <w:spacing w:val="37"/>
                <w:sz w:val="20"/>
                <w:szCs w:val="20"/>
              </w:rPr>
              <w:t xml:space="preserve"> </w:t>
            </w:r>
            <w:r w:rsidRPr="002B3F36">
              <w:rPr>
                <w:rFonts w:ascii="Arial" w:hAnsi="Arial" w:cs="Arial"/>
                <w:sz w:val="20"/>
                <w:szCs w:val="20"/>
              </w:rPr>
              <w:t>of</w:t>
            </w:r>
            <w:r w:rsidRPr="002B3F36">
              <w:rPr>
                <w:rFonts w:ascii="Arial" w:hAnsi="Arial" w:cs="Arial"/>
                <w:spacing w:val="39"/>
                <w:sz w:val="20"/>
                <w:szCs w:val="20"/>
              </w:rPr>
              <w:t xml:space="preserve"> </w:t>
            </w:r>
            <w:r w:rsidRPr="002B3F36">
              <w:rPr>
                <w:rFonts w:ascii="Arial" w:hAnsi="Arial" w:cs="Arial"/>
                <w:sz w:val="20"/>
                <w:szCs w:val="20"/>
              </w:rPr>
              <w:t>work, by minimising, so</w:t>
            </w:r>
            <w:r w:rsidRPr="002B3F36">
              <w:rPr>
                <w:rFonts w:ascii="Arial" w:hAnsi="Arial" w:cs="Arial"/>
                <w:spacing w:val="40"/>
                <w:sz w:val="20"/>
                <w:szCs w:val="20"/>
              </w:rPr>
              <w:t xml:space="preserve"> </w:t>
            </w:r>
            <w:r w:rsidRPr="002B3F36">
              <w:rPr>
                <w:rFonts w:ascii="Arial" w:hAnsi="Arial" w:cs="Arial"/>
                <w:sz w:val="20"/>
                <w:szCs w:val="20"/>
              </w:rPr>
              <w:t>far as is reasonably</w:t>
            </w:r>
            <w:r w:rsidRPr="002B3F36">
              <w:rPr>
                <w:rFonts w:ascii="Arial" w:hAnsi="Arial" w:cs="Arial"/>
                <w:spacing w:val="40"/>
                <w:sz w:val="20"/>
                <w:szCs w:val="20"/>
              </w:rPr>
              <w:t xml:space="preserve"> </w:t>
            </w:r>
            <w:r w:rsidRPr="002B3F36">
              <w:rPr>
                <w:rFonts w:ascii="Arial" w:hAnsi="Arial" w:cs="Arial"/>
                <w:sz w:val="20"/>
                <w:szCs w:val="20"/>
              </w:rPr>
              <w:t>practicable,</w:t>
            </w:r>
            <w:r w:rsidRPr="002B3F36">
              <w:rPr>
                <w:rFonts w:ascii="Arial" w:hAnsi="Arial" w:cs="Arial"/>
                <w:spacing w:val="40"/>
                <w:sz w:val="20"/>
                <w:szCs w:val="20"/>
              </w:rPr>
              <w:t xml:space="preserve"> </w:t>
            </w:r>
            <w:r w:rsidRPr="002B3F36">
              <w:rPr>
                <w:rFonts w:ascii="Arial" w:hAnsi="Arial" w:cs="Arial"/>
                <w:sz w:val="20"/>
                <w:szCs w:val="20"/>
              </w:rPr>
              <w:t>the</w:t>
            </w:r>
            <w:r w:rsidRPr="002B3F36">
              <w:rPr>
                <w:rFonts w:ascii="Arial" w:hAnsi="Arial" w:cs="Arial"/>
                <w:spacing w:val="40"/>
                <w:sz w:val="20"/>
                <w:szCs w:val="20"/>
              </w:rPr>
              <w:t xml:space="preserve"> </w:t>
            </w:r>
            <w:r w:rsidRPr="002B3F36">
              <w:rPr>
                <w:rFonts w:ascii="Arial" w:hAnsi="Arial" w:cs="Arial"/>
                <w:sz w:val="20"/>
                <w:szCs w:val="20"/>
              </w:rPr>
              <w:t>causes</w:t>
            </w:r>
            <w:r w:rsidRPr="002B3F36">
              <w:rPr>
                <w:rFonts w:ascii="Arial" w:hAnsi="Arial" w:cs="Arial"/>
                <w:spacing w:val="40"/>
                <w:sz w:val="20"/>
                <w:szCs w:val="20"/>
              </w:rPr>
              <w:t xml:space="preserve"> </w:t>
            </w:r>
            <w:r w:rsidRPr="002B3F36">
              <w:rPr>
                <w:rFonts w:ascii="Arial" w:hAnsi="Arial" w:cs="Arial"/>
                <w:sz w:val="20"/>
                <w:szCs w:val="20"/>
              </w:rPr>
              <w:t>of</w:t>
            </w:r>
            <w:r w:rsidRPr="002B3F36">
              <w:rPr>
                <w:rFonts w:ascii="Arial" w:hAnsi="Arial" w:cs="Arial"/>
                <w:spacing w:val="40"/>
                <w:sz w:val="20"/>
                <w:szCs w:val="20"/>
              </w:rPr>
              <w:t xml:space="preserve"> </w:t>
            </w:r>
            <w:r w:rsidRPr="002B3F36">
              <w:rPr>
                <w:rFonts w:ascii="Arial" w:hAnsi="Arial" w:cs="Arial"/>
                <w:sz w:val="20"/>
                <w:szCs w:val="20"/>
              </w:rPr>
              <w:t>hazards</w:t>
            </w:r>
            <w:r w:rsidRPr="002B3F36">
              <w:rPr>
                <w:rFonts w:ascii="Arial" w:hAnsi="Arial" w:cs="Arial"/>
                <w:spacing w:val="40"/>
                <w:sz w:val="20"/>
                <w:szCs w:val="20"/>
              </w:rPr>
              <w:t xml:space="preserve"> </w:t>
            </w:r>
            <w:r w:rsidRPr="002B3F36">
              <w:rPr>
                <w:rFonts w:ascii="Arial" w:hAnsi="Arial" w:cs="Arial"/>
                <w:sz w:val="20"/>
                <w:szCs w:val="20"/>
              </w:rPr>
              <w:t>inherent</w:t>
            </w:r>
            <w:r w:rsidRPr="002B3F36">
              <w:rPr>
                <w:rFonts w:ascii="Arial" w:hAnsi="Arial" w:cs="Arial"/>
                <w:spacing w:val="40"/>
                <w:sz w:val="20"/>
                <w:szCs w:val="20"/>
              </w:rPr>
              <w:t xml:space="preserve"> </w:t>
            </w:r>
            <w:r w:rsidRPr="002B3F36">
              <w:rPr>
                <w:rFonts w:ascii="Arial" w:hAnsi="Arial" w:cs="Arial"/>
                <w:sz w:val="20"/>
                <w:szCs w:val="20"/>
              </w:rPr>
              <w:t>in the working environment.</w:t>
            </w:r>
          </w:p>
        </w:tc>
      </w:tr>
      <w:tr w:rsidR="00F61F8E" w:rsidRPr="002B3F36" w14:paraId="747D2C35" w14:textId="77777777">
        <w:trPr>
          <w:trHeight w:val="20"/>
        </w:trPr>
        <w:tc>
          <w:tcPr>
            <w:tcW w:w="0" w:type="auto"/>
          </w:tcPr>
          <w:p w14:paraId="65F32513" w14:textId="77777777" w:rsidR="00F61F8E" w:rsidRPr="002B3F36" w:rsidRDefault="000F264B" w:rsidP="00D153B7">
            <w:pPr>
              <w:pStyle w:val="TableParagraph"/>
              <w:spacing w:before="0"/>
              <w:ind w:left="122" w:right="210"/>
              <w:rPr>
                <w:rFonts w:ascii="Arial" w:hAnsi="Arial" w:cs="Arial"/>
                <w:sz w:val="20"/>
                <w:szCs w:val="20"/>
              </w:rPr>
            </w:pPr>
            <w:r w:rsidRPr="002B3F36">
              <w:rPr>
                <w:rFonts w:ascii="Arial" w:hAnsi="Arial" w:cs="Arial"/>
                <w:sz w:val="20"/>
                <w:szCs w:val="20"/>
              </w:rPr>
              <w:lastRenderedPageBreak/>
              <w:t>ILO Conventions 29 and 105 (Forced or Compulsory Labour), 87 (Freedom of Association), 98 (Right to Organise and Collective Bargaining), 100 and 111</w:t>
            </w:r>
          </w:p>
          <w:p w14:paraId="3BE234AD"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 xml:space="preserve">(Discrimination), 138 (Minimum Age), 182 (Worst Forms of Child Labour), and 190 (Violence and </w:t>
            </w:r>
            <w:r w:rsidRPr="002B3F36">
              <w:rPr>
                <w:rFonts w:ascii="Arial" w:hAnsi="Arial" w:cs="Arial"/>
                <w:spacing w:val="-2"/>
                <w:sz w:val="20"/>
                <w:szCs w:val="20"/>
              </w:rPr>
              <w:t>Harassment)</w:t>
            </w:r>
          </w:p>
        </w:tc>
        <w:tc>
          <w:tcPr>
            <w:tcW w:w="0" w:type="auto"/>
          </w:tcPr>
          <w:p w14:paraId="700BA477"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pacing w:val="-10"/>
                <w:sz w:val="20"/>
                <w:szCs w:val="20"/>
              </w:rPr>
              <w:t>-</w:t>
            </w:r>
          </w:p>
        </w:tc>
        <w:tc>
          <w:tcPr>
            <w:tcW w:w="0" w:type="auto"/>
          </w:tcPr>
          <w:p w14:paraId="09B15E59" w14:textId="77777777"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Project/Client will provide for measures to prevent discrimination, forced or compulsory labour, or child labour.</w:t>
            </w:r>
          </w:p>
        </w:tc>
      </w:tr>
      <w:tr w:rsidR="00F61F8E" w:rsidRPr="002B3F36" w14:paraId="00891D3B" w14:textId="77777777">
        <w:trPr>
          <w:trHeight w:val="20"/>
        </w:trPr>
        <w:tc>
          <w:tcPr>
            <w:tcW w:w="0" w:type="auto"/>
          </w:tcPr>
          <w:p w14:paraId="0115F015" w14:textId="25B9D32A"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Convention</w:t>
            </w:r>
            <w:r w:rsidRPr="002B3F36">
              <w:rPr>
                <w:rFonts w:ascii="Arial" w:hAnsi="Arial" w:cs="Arial"/>
                <w:spacing w:val="19"/>
                <w:sz w:val="20"/>
                <w:szCs w:val="20"/>
              </w:rPr>
              <w:t xml:space="preserve"> </w:t>
            </w:r>
            <w:r w:rsidRPr="002B3F36">
              <w:rPr>
                <w:rFonts w:ascii="Arial" w:hAnsi="Arial" w:cs="Arial"/>
                <w:sz w:val="20"/>
                <w:szCs w:val="20"/>
              </w:rPr>
              <w:t>on</w:t>
            </w:r>
            <w:r w:rsidRPr="002B3F36">
              <w:rPr>
                <w:rFonts w:ascii="Arial" w:hAnsi="Arial" w:cs="Arial"/>
                <w:spacing w:val="20"/>
                <w:sz w:val="20"/>
                <w:szCs w:val="20"/>
              </w:rPr>
              <w:t xml:space="preserve"> </w:t>
            </w:r>
            <w:r w:rsidRPr="002B3F36">
              <w:rPr>
                <w:rFonts w:ascii="Arial" w:hAnsi="Arial" w:cs="Arial"/>
                <w:sz w:val="20"/>
                <w:szCs w:val="20"/>
              </w:rPr>
              <w:t>R</w:t>
            </w:r>
            <w:r w:rsidR="00FF3A40" w:rsidRPr="002B3F36">
              <w:rPr>
                <w:rFonts w:ascii="Arial" w:hAnsi="Arial" w:cs="Arial"/>
                <w:sz w:val="20"/>
                <w:szCs w:val="20"/>
              </w:rPr>
              <w:t>ailr</w:t>
            </w:r>
            <w:r w:rsidRPr="002B3F36">
              <w:rPr>
                <w:rFonts w:ascii="Arial" w:hAnsi="Arial" w:cs="Arial"/>
                <w:sz w:val="20"/>
                <w:szCs w:val="20"/>
              </w:rPr>
              <w:t>oad</w:t>
            </w:r>
            <w:r w:rsidRPr="002B3F36">
              <w:rPr>
                <w:rFonts w:ascii="Arial" w:hAnsi="Arial" w:cs="Arial"/>
                <w:spacing w:val="21"/>
                <w:sz w:val="20"/>
                <w:szCs w:val="20"/>
              </w:rPr>
              <w:t xml:space="preserve"> </w:t>
            </w:r>
            <w:r w:rsidRPr="002B3F36">
              <w:rPr>
                <w:rFonts w:ascii="Arial" w:hAnsi="Arial" w:cs="Arial"/>
                <w:spacing w:val="-2"/>
                <w:sz w:val="20"/>
                <w:szCs w:val="20"/>
              </w:rPr>
              <w:t>Traffic</w:t>
            </w:r>
          </w:p>
        </w:tc>
        <w:tc>
          <w:tcPr>
            <w:tcW w:w="0" w:type="auto"/>
          </w:tcPr>
          <w:p w14:paraId="41A80ECD"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1968,</w:t>
            </w:r>
            <w:r w:rsidRPr="002B3F36">
              <w:rPr>
                <w:rFonts w:ascii="Arial" w:hAnsi="Arial" w:cs="Arial"/>
                <w:spacing w:val="21"/>
                <w:sz w:val="20"/>
                <w:szCs w:val="20"/>
              </w:rPr>
              <w:t xml:space="preserve"> </w:t>
            </w:r>
            <w:r w:rsidRPr="002B3F36">
              <w:rPr>
                <w:rFonts w:ascii="Arial" w:hAnsi="Arial" w:cs="Arial"/>
                <w:spacing w:val="-2"/>
                <w:sz w:val="20"/>
                <w:szCs w:val="20"/>
              </w:rPr>
              <w:t>Vienna</w:t>
            </w:r>
          </w:p>
        </w:tc>
        <w:tc>
          <w:tcPr>
            <w:tcW w:w="0" w:type="auto"/>
          </w:tcPr>
          <w:p w14:paraId="674C98A7" w14:textId="5325905F"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 xml:space="preserve">The Project will facilitate international </w:t>
            </w:r>
            <w:r w:rsidR="00FF3A40" w:rsidRPr="002B3F36">
              <w:rPr>
                <w:rFonts w:ascii="Arial" w:hAnsi="Arial" w:cs="Arial"/>
                <w:sz w:val="20"/>
                <w:szCs w:val="20"/>
              </w:rPr>
              <w:t>rail</w:t>
            </w:r>
            <w:r w:rsidRPr="002B3F36">
              <w:rPr>
                <w:rFonts w:ascii="Arial" w:hAnsi="Arial" w:cs="Arial"/>
                <w:sz w:val="20"/>
                <w:szCs w:val="20"/>
              </w:rPr>
              <w:t xml:space="preserve">road traffic and increase </w:t>
            </w:r>
            <w:r w:rsidR="00FF3A40" w:rsidRPr="002B3F36">
              <w:rPr>
                <w:rFonts w:ascii="Arial" w:hAnsi="Arial" w:cs="Arial"/>
                <w:sz w:val="20"/>
                <w:szCs w:val="20"/>
              </w:rPr>
              <w:t>rail</w:t>
            </w:r>
            <w:r w:rsidRPr="002B3F36">
              <w:rPr>
                <w:rFonts w:ascii="Arial" w:hAnsi="Arial" w:cs="Arial"/>
                <w:sz w:val="20"/>
                <w:szCs w:val="20"/>
              </w:rPr>
              <w:t>road safety through the adoption of uniform traffic rules.</w:t>
            </w:r>
          </w:p>
        </w:tc>
      </w:tr>
      <w:tr w:rsidR="00F61F8E" w:rsidRPr="002B3F36" w14:paraId="5DABDB56" w14:textId="77777777">
        <w:trPr>
          <w:trHeight w:val="20"/>
        </w:trPr>
        <w:tc>
          <w:tcPr>
            <w:tcW w:w="0" w:type="auto"/>
          </w:tcPr>
          <w:p w14:paraId="27331CC1"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 xml:space="preserve">Convention on Road Signs and </w:t>
            </w:r>
            <w:r w:rsidRPr="002B3F36">
              <w:rPr>
                <w:rFonts w:ascii="Arial" w:hAnsi="Arial" w:cs="Arial"/>
                <w:spacing w:val="-2"/>
                <w:sz w:val="20"/>
                <w:szCs w:val="20"/>
              </w:rPr>
              <w:t>Signals</w:t>
            </w:r>
          </w:p>
        </w:tc>
        <w:tc>
          <w:tcPr>
            <w:tcW w:w="0" w:type="auto"/>
          </w:tcPr>
          <w:p w14:paraId="6EE2D40E"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1968,</w:t>
            </w:r>
            <w:r w:rsidRPr="002B3F36">
              <w:rPr>
                <w:rFonts w:ascii="Arial" w:hAnsi="Arial" w:cs="Arial"/>
                <w:spacing w:val="19"/>
                <w:sz w:val="20"/>
                <w:szCs w:val="20"/>
              </w:rPr>
              <w:t xml:space="preserve"> </w:t>
            </w:r>
            <w:r w:rsidRPr="002B3F36">
              <w:rPr>
                <w:rFonts w:ascii="Arial" w:hAnsi="Arial" w:cs="Arial"/>
                <w:spacing w:val="-2"/>
                <w:sz w:val="20"/>
                <w:szCs w:val="20"/>
              </w:rPr>
              <w:t>Geneva</w:t>
            </w:r>
          </w:p>
        </w:tc>
        <w:tc>
          <w:tcPr>
            <w:tcW w:w="0" w:type="auto"/>
          </w:tcPr>
          <w:p w14:paraId="0EEE0E6B" w14:textId="4FA3E1F4"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The Project will uniformity of road signs, signals and symbols and of road markings is necessary</w:t>
            </w:r>
            <w:r w:rsidRPr="002B3F36">
              <w:rPr>
                <w:rFonts w:ascii="Arial" w:hAnsi="Arial" w:cs="Arial"/>
                <w:spacing w:val="40"/>
                <w:sz w:val="20"/>
                <w:szCs w:val="20"/>
              </w:rPr>
              <w:t xml:space="preserve"> </w:t>
            </w:r>
            <w:r w:rsidRPr="002B3F36">
              <w:rPr>
                <w:rFonts w:ascii="Arial" w:hAnsi="Arial" w:cs="Arial"/>
                <w:sz w:val="20"/>
                <w:szCs w:val="20"/>
              </w:rPr>
              <w:t xml:space="preserve">to facilitate international </w:t>
            </w:r>
            <w:r w:rsidR="00FF3A40" w:rsidRPr="002B3F36">
              <w:rPr>
                <w:rFonts w:ascii="Arial" w:hAnsi="Arial" w:cs="Arial"/>
                <w:sz w:val="20"/>
                <w:szCs w:val="20"/>
              </w:rPr>
              <w:t>rail</w:t>
            </w:r>
            <w:r w:rsidRPr="002B3F36">
              <w:rPr>
                <w:rFonts w:ascii="Arial" w:hAnsi="Arial" w:cs="Arial"/>
                <w:sz w:val="20"/>
                <w:szCs w:val="20"/>
              </w:rPr>
              <w:t xml:space="preserve">road traffic and to increase </w:t>
            </w:r>
            <w:r w:rsidR="00FF3A40" w:rsidRPr="002B3F36">
              <w:rPr>
                <w:rFonts w:ascii="Arial" w:hAnsi="Arial" w:cs="Arial"/>
                <w:sz w:val="20"/>
                <w:szCs w:val="20"/>
              </w:rPr>
              <w:t>rail</w:t>
            </w:r>
            <w:r w:rsidRPr="002B3F36">
              <w:rPr>
                <w:rFonts w:ascii="Arial" w:hAnsi="Arial" w:cs="Arial"/>
                <w:sz w:val="20"/>
                <w:szCs w:val="20"/>
              </w:rPr>
              <w:t>road safety.</w:t>
            </w:r>
          </w:p>
        </w:tc>
      </w:tr>
      <w:tr w:rsidR="00F61F8E" w:rsidRPr="002B3F36" w14:paraId="2641CCA4" w14:textId="77777777">
        <w:trPr>
          <w:trHeight w:val="20"/>
        </w:trPr>
        <w:tc>
          <w:tcPr>
            <w:tcW w:w="0" w:type="auto"/>
          </w:tcPr>
          <w:p w14:paraId="250A627D" w14:textId="77777777" w:rsidR="00F61F8E" w:rsidRPr="002B3F36" w:rsidRDefault="000F264B" w:rsidP="00D153B7">
            <w:pPr>
              <w:pStyle w:val="TableParagraph"/>
              <w:spacing w:before="0"/>
              <w:ind w:left="122" w:right="257"/>
              <w:rPr>
                <w:rFonts w:ascii="Arial" w:hAnsi="Arial" w:cs="Arial"/>
                <w:sz w:val="20"/>
                <w:szCs w:val="20"/>
              </w:rPr>
            </w:pPr>
            <w:r w:rsidRPr="002B3F36">
              <w:rPr>
                <w:rFonts w:ascii="Arial" w:hAnsi="Arial" w:cs="Arial"/>
                <w:sz w:val="20"/>
                <w:szCs w:val="20"/>
              </w:rPr>
              <w:t xml:space="preserve">European Agreement concerning the work of Crews of Vehicles engaged in International Road Transport </w:t>
            </w:r>
            <w:r w:rsidRPr="002B3F36">
              <w:rPr>
                <w:rFonts w:ascii="Arial" w:hAnsi="Arial" w:cs="Arial"/>
                <w:spacing w:val="-2"/>
                <w:sz w:val="20"/>
                <w:szCs w:val="20"/>
              </w:rPr>
              <w:t>(AETR)</w:t>
            </w:r>
          </w:p>
        </w:tc>
        <w:tc>
          <w:tcPr>
            <w:tcW w:w="0" w:type="auto"/>
          </w:tcPr>
          <w:p w14:paraId="1A710CA3" w14:textId="77777777" w:rsidR="00F61F8E" w:rsidRPr="002B3F36" w:rsidRDefault="000F264B" w:rsidP="00D153B7">
            <w:pPr>
              <w:pStyle w:val="TableParagraph"/>
              <w:spacing w:before="0"/>
              <w:rPr>
                <w:rFonts w:ascii="Arial" w:hAnsi="Arial" w:cs="Arial"/>
                <w:sz w:val="20"/>
                <w:szCs w:val="20"/>
              </w:rPr>
            </w:pPr>
            <w:r w:rsidRPr="002B3F36">
              <w:rPr>
                <w:rFonts w:ascii="Arial" w:hAnsi="Arial" w:cs="Arial"/>
                <w:sz w:val="20"/>
                <w:szCs w:val="20"/>
              </w:rPr>
              <w:t>1970,</w:t>
            </w:r>
            <w:r w:rsidRPr="002B3F36">
              <w:rPr>
                <w:rFonts w:ascii="Arial" w:hAnsi="Arial" w:cs="Arial"/>
                <w:spacing w:val="19"/>
                <w:sz w:val="20"/>
                <w:szCs w:val="20"/>
              </w:rPr>
              <w:t xml:space="preserve"> </w:t>
            </w:r>
            <w:r w:rsidRPr="002B3F36">
              <w:rPr>
                <w:rFonts w:ascii="Arial" w:hAnsi="Arial" w:cs="Arial"/>
                <w:spacing w:val="-2"/>
                <w:sz w:val="20"/>
                <w:szCs w:val="20"/>
              </w:rPr>
              <w:t>Geneva</w:t>
            </w:r>
          </w:p>
        </w:tc>
        <w:tc>
          <w:tcPr>
            <w:tcW w:w="0" w:type="auto"/>
          </w:tcPr>
          <w:p w14:paraId="7DFE77AB" w14:textId="01EE691A" w:rsidR="00F61F8E" w:rsidRPr="002B3F36" w:rsidRDefault="000F264B" w:rsidP="00D153B7">
            <w:pPr>
              <w:pStyle w:val="TableParagraph"/>
              <w:spacing w:before="0"/>
              <w:ind w:right="348"/>
              <w:rPr>
                <w:rFonts w:ascii="Arial" w:hAnsi="Arial" w:cs="Arial"/>
                <w:sz w:val="20"/>
                <w:szCs w:val="20"/>
              </w:rPr>
            </w:pPr>
            <w:r w:rsidRPr="002B3F36">
              <w:rPr>
                <w:rFonts w:ascii="Arial" w:hAnsi="Arial" w:cs="Arial"/>
                <w:sz w:val="20"/>
                <w:szCs w:val="20"/>
              </w:rPr>
              <w:t xml:space="preserve">The Project will reduce </w:t>
            </w:r>
            <w:r w:rsidR="00FF3A40" w:rsidRPr="002B3F36">
              <w:rPr>
                <w:rFonts w:ascii="Arial" w:hAnsi="Arial" w:cs="Arial"/>
                <w:sz w:val="20"/>
                <w:szCs w:val="20"/>
              </w:rPr>
              <w:t>rail</w:t>
            </w:r>
            <w:r w:rsidRPr="002B3F36">
              <w:rPr>
                <w:rFonts w:ascii="Arial" w:hAnsi="Arial" w:cs="Arial"/>
                <w:sz w:val="20"/>
                <w:szCs w:val="20"/>
              </w:rPr>
              <w:t>road accidents due to fatigue, uniform working conditions.</w:t>
            </w:r>
          </w:p>
        </w:tc>
      </w:tr>
    </w:tbl>
    <w:p w14:paraId="45546A3F" w14:textId="77777777" w:rsidR="00F61F8E" w:rsidRPr="002B3F36" w:rsidRDefault="00F61F8E">
      <w:pPr>
        <w:pStyle w:val="ReportParagraph"/>
      </w:pPr>
    </w:p>
    <w:p w14:paraId="527CD557" w14:textId="77777777" w:rsidR="00F61F8E" w:rsidRPr="002B3F36" w:rsidRDefault="000F264B">
      <w:pPr>
        <w:rPr>
          <w:rFonts w:ascii="Arial" w:eastAsia="Arial" w:hAnsi="Arial" w:cs="Arial"/>
          <w:sz w:val="24"/>
          <w:szCs w:val="24"/>
          <w:lang w:eastAsia="en-PH"/>
        </w:rPr>
      </w:pPr>
      <w:r w:rsidRPr="002B3F36">
        <w:rPr>
          <w:rFonts w:ascii="Arial" w:hAnsi="Arial" w:cs="Arial"/>
        </w:rPr>
        <w:br w:type="page"/>
      </w:r>
    </w:p>
    <w:p w14:paraId="1A115E5F" w14:textId="77777777" w:rsidR="00F61F8E" w:rsidRPr="002B3F36" w:rsidRDefault="000F264B">
      <w:pPr>
        <w:pStyle w:val="1"/>
        <w:numPr>
          <w:ilvl w:val="0"/>
          <w:numId w:val="1"/>
        </w:numPr>
        <w:autoSpaceDE/>
        <w:autoSpaceDN/>
        <w:spacing w:line="253" w:lineRule="auto"/>
        <w:ind w:right="72"/>
        <w:jc w:val="both"/>
        <w:rPr>
          <w:rFonts w:cs="Arial"/>
        </w:rPr>
      </w:pPr>
      <w:bookmarkStart w:id="1685" w:name="_bookmark84"/>
      <w:bookmarkStart w:id="1686" w:name="_Toc208973774"/>
      <w:bookmarkStart w:id="1687" w:name="_Toc208973974"/>
      <w:bookmarkStart w:id="1688" w:name="_Toc208974174"/>
      <w:bookmarkStart w:id="1689" w:name="_Toc208974376"/>
      <w:bookmarkStart w:id="1690" w:name="_Toc208974584"/>
      <w:bookmarkStart w:id="1691" w:name="_Toc210589430"/>
      <w:bookmarkEnd w:id="1685"/>
      <w:r w:rsidRPr="002B3F36">
        <w:rPr>
          <w:rFonts w:cs="Arial"/>
        </w:rPr>
        <w:lastRenderedPageBreak/>
        <w:t>STAKEHOLDER ENGAGEMENT</w:t>
      </w:r>
      <w:bookmarkEnd w:id="1686"/>
      <w:bookmarkEnd w:id="1687"/>
      <w:bookmarkEnd w:id="1688"/>
      <w:bookmarkEnd w:id="1689"/>
      <w:bookmarkEnd w:id="1690"/>
      <w:bookmarkEnd w:id="1691"/>
    </w:p>
    <w:p w14:paraId="275E2E57" w14:textId="77777777" w:rsidR="00F61F8E" w:rsidRPr="002B3F36" w:rsidRDefault="000F264B">
      <w:pPr>
        <w:pStyle w:val="20"/>
      </w:pPr>
      <w:bookmarkStart w:id="1692" w:name="_bookmark85"/>
      <w:bookmarkStart w:id="1693" w:name="_Toc208973775"/>
      <w:bookmarkStart w:id="1694" w:name="_Toc208973975"/>
      <w:bookmarkStart w:id="1695" w:name="_Toc208974175"/>
      <w:bookmarkStart w:id="1696" w:name="_Toc208974377"/>
      <w:bookmarkStart w:id="1697" w:name="_Toc208974585"/>
      <w:bookmarkStart w:id="1698" w:name="_Toc210589431"/>
      <w:bookmarkEnd w:id="1692"/>
      <w:r w:rsidRPr="002B3F36">
        <w:t>Introduction</w:t>
      </w:r>
      <w:bookmarkEnd w:id="1693"/>
      <w:bookmarkEnd w:id="1694"/>
      <w:bookmarkEnd w:id="1695"/>
      <w:bookmarkEnd w:id="1696"/>
      <w:bookmarkEnd w:id="1697"/>
      <w:bookmarkEnd w:id="1698"/>
    </w:p>
    <w:p w14:paraId="6324928D" w14:textId="77777777" w:rsidR="00F61F8E" w:rsidRPr="002B3F36" w:rsidRDefault="00F61F8E">
      <w:pPr>
        <w:pStyle w:val="ReportParagraph"/>
      </w:pPr>
    </w:p>
    <w:p w14:paraId="0D1707FD" w14:textId="5D6D3729" w:rsidR="00F61F8E" w:rsidRPr="002B3F36" w:rsidRDefault="000F264B">
      <w:pPr>
        <w:pStyle w:val="ReportParagraph"/>
        <w:rPr>
          <w:lang w:val="en-PH"/>
        </w:rPr>
      </w:pPr>
      <w:r w:rsidRPr="002B3F36">
        <w:rPr>
          <w:lang w:val="en-PH"/>
        </w:rPr>
        <w:t xml:space="preserve">Stakeholder engagement of the </w:t>
      </w:r>
      <w:r w:rsidR="003650DB" w:rsidRPr="002B3F36">
        <w:rPr>
          <w:lang w:val="en-PH"/>
        </w:rPr>
        <w:t xml:space="preserve">Mointy – Kyzylzhar </w:t>
      </w:r>
      <w:r w:rsidRPr="002B3F36">
        <w:rPr>
          <w:lang w:val="en-PH"/>
        </w:rPr>
        <w:t xml:space="preserve">Railway Project, </w:t>
      </w:r>
      <w:r w:rsidR="00C7634E" w:rsidRPr="002B3F36">
        <w:rPr>
          <w:lang w:val="en-PH"/>
        </w:rPr>
        <w:t xml:space="preserve">should be </w:t>
      </w:r>
      <w:r w:rsidRPr="002B3F36">
        <w:rPr>
          <w:lang w:val="en-PH"/>
        </w:rPr>
        <w:t>designed to ensure transparency, inclusivity, and compliance with both national requirements and the International Finance Corporation’s Performance Standards, particularly PS1 on the management of environmental and social risks and PS4 on community health, safety, and security. From the early stages of project preparation, engagement activities have been carried out with government authorities, affected communities, and other interested parties to identify concerns, communicate potential project impacts, and integrate feedback into the environmental and social assessment. These early consultations have helped shape project design, inform baseline studies, and establish a platform for trust-building between the Project and stakeholders.</w:t>
      </w:r>
    </w:p>
    <w:p w14:paraId="479A2371" w14:textId="77777777" w:rsidR="00F61F8E" w:rsidRPr="002B3F36" w:rsidRDefault="00F61F8E">
      <w:pPr>
        <w:pStyle w:val="ReportParagraph"/>
        <w:rPr>
          <w:lang w:val="en-PH"/>
        </w:rPr>
      </w:pPr>
    </w:p>
    <w:p w14:paraId="7F4E782B" w14:textId="77777777" w:rsidR="00F61F8E" w:rsidRPr="002B3F36" w:rsidRDefault="000F264B">
      <w:pPr>
        <w:pStyle w:val="ReportParagraph"/>
        <w:rPr>
          <w:lang w:val="en-PH"/>
        </w:rPr>
      </w:pPr>
      <w:r w:rsidRPr="002B3F36">
        <w:rPr>
          <w:lang w:val="en-PH"/>
        </w:rPr>
        <w:t>Looking forward, the Project is committed to structured and ongoing engagement throughout its life cycle. A Stakeholder Engagement Plan (SEP), initially developed during the scoping stage and further refined through the ESIA, sets out the framework for meaningful dialogue, documentation of issues raised, and continued consultation with affected groups, including vulnerable populations. To complement this, a Grievance Redressal Mechanism (GRM) will provide an accessible and transparent channel for stakeholders to raise concerns and obtain timely resolutions. Together, these instruments will guide future engagement, ensuring that stakeholder input remains central to decision-making and that environmental and social risks are managed in a manner that supports sustainable development outcomes for Kazakhstan and the project region.</w:t>
      </w:r>
    </w:p>
    <w:p w14:paraId="00650CD3" w14:textId="5EF7F2BA" w:rsidR="00F61F8E" w:rsidRPr="002B3F36" w:rsidRDefault="00F61F8E">
      <w:pPr>
        <w:pStyle w:val="ReportParagraph"/>
      </w:pPr>
    </w:p>
    <w:p w14:paraId="6927A894" w14:textId="503A2646" w:rsidR="007E0403" w:rsidRPr="002B3F36" w:rsidRDefault="007E0403">
      <w:pPr>
        <w:pStyle w:val="ReportParagraph"/>
      </w:pPr>
      <w:r w:rsidRPr="002B3F36">
        <w:t xml:space="preserve">A separate Stakeholder Engagement Plan (SEP) has been prepared for </w:t>
      </w:r>
      <w:r w:rsidR="003650DB" w:rsidRPr="002B3F36">
        <w:t xml:space="preserve">Mointy – Kyzylzhar </w:t>
      </w:r>
      <w:r w:rsidRPr="002B3F36">
        <w:t>Greenfield Railway Construction Project.</w:t>
      </w:r>
    </w:p>
    <w:p w14:paraId="73F725CE" w14:textId="77777777" w:rsidR="007E0403" w:rsidRPr="002B3F36" w:rsidRDefault="007E0403">
      <w:pPr>
        <w:pStyle w:val="ReportParagraph"/>
      </w:pPr>
    </w:p>
    <w:p w14:paraId="3FA9B03A" w14:textId="41EA0460" w:rsidR="00F61F8E" w:rsidRPr="002B3F36" w:rsidRDefault="000F264B">
      <w:pPr>
        <w:pStyle w:val="20"/>
      </w:pPr>
      <w:bookmarkStart w:id="1699" w:name="_bookmark86"/>
      <w:bookmarkStart w:id="1700" w:name="_Toc208973776"/>
      <w:bookmarkStart w:id="1701" w:name="_Toc208973976"/>
      <w:bookmarkStart w:id="1702" w:name="_Toc208974176"/>
      <w:bookmarkStart w:id="1703" w:name="_Toc208974378"/>
      <w:bookmarkStart w:id="1704" w:name="_Toc208974586"/>
      <w:bookmarkStart w:id="1705" w:name="_Toc210589432"/>
      <w:bookmarkEnd w:id="1699"/>
      <w:r w:rsidRPr="002B3F36">
        <w:t>Stakeholder Engagement History</w:t>
      </w:r>
      <w:bookmarkEnd w:id="1700"/>
      <w:bookmarkEnd w:id="1701"/>
      <w:bookmarkEnd w:id="1702"/>
      <w:bookmarkEnd w:id="1703"/>
      <w:bookmarkEnd w:id="1704"/>
      <w:bookmarkEnd w:id="1705"/>
    </w:p>
    <w:p w14:paraId="6BDA760A" w14:textId="77777777" w:rsidR="00F61F8E" w:rsidRPr="002B3F36" w:rsidRDefault="00F61F8E">
      <w:pPr>
        <w:pStyle w:val="ReportBodyPar"/>
      </w:pPr>
      <w:bookmarkStart w:id="1706" w:name="_bookmark87"/>
      <w:bookmarkEnd w:id="1706"/>
    </w:p>
    <w:p w14:paraId="00C71BC8" w14:textId="54253311" w:rsidR="00527C34" w:rsidRPr="002B3F36" w:rsidRDefault="00527C34" w:rsidP="00527C34">
      <w:pPr>
        <w:pStyle w:val="ReportBodyPar"/>
      </w:pPr>
      <w:r w:rsidRPr="002B3F36">
        <w:t xml:space="preserve">Stakeholder engagement for the Mointy–Kyzylzhar Railway Project has been carried out in accordance with </w:t>
      </w:r>
      <w:r w:rsidR="00163238" w:rsidRPr="002B3F36">
        <w:t>WB PS</w:t>
      </w:r>
      <w:r w:rsidRPr="002B3F36">
        <w:t>1 (Assessment and Management of Environmental and Social Risks and Impacts and</w:t>
      </w:r>
      <w:r w:rsidR="00C452FA" w:rsidRPr="002B3F36">
        <w:t xml:space="preserve"> </w:t>
      </w:r>
      <w:r w:rsidRPr="002B3F36">
        <w:t xml:space="preserve">Stakeholder Engagement and Information Disclosure), ensuring early, inclusive, and transparent consultations throughout the project cycle. Public consultations held on 24 September 2025 in </w:t>
      </w:r>
      <w:r w:rsidR="0017099A" w:rsidRPr="002B3F36">
        <w:t xml:space="preserve">Mointy </w:t>
      </w:r>
      <w:r w:rsidRPr="002B3F36">
        <w:t xml:space="preserve">and 25 September 2025 in </w:t>
      </w:r>
      <w:r w:rsidR="0017099A" w:rsidRPr="002B3F36">
        <w:t xml:space="preserve">Karazhal </w:t>
      </w:r>
      <w:r w:rsidRPr="002B3F36">
        <w:t xml:space="preserve">included presentations in Kazakh and Russian on environmental and social impacts, mitigation measures, and project commitments under the Environmental and Social Management Plan (ESMP). As required by PS1, Paragraphs 5–10, these hybrid-format events combined in-person and online participation, with Q&amp;A sessions enabling affected communities, Akimats, and other stakeholders to raise concerns and provide feedback for integration into the ESMP in line with </w:t>
      </w:r>
      <w:r w:rsidR="00163238" w:rsidRPr="002B3F36">
        <w:t>WB PS</w:t>
      </w:r>
      <w:r w:rsidRPr="002B3F36">
        <w:t>1, Paragraphs 26–30 and Kazakhstan’s Environmental Code (2021).</w:t>
      </w:r>
    </w:p>
    <w:p w14:paraId="718167B9" w14:textId="77777777" w:rsidR="00527C34" w:rsidRPr="002B3F36" w:rsidRDefault="00527C34" w:rsidP="00527C34">
      <w:pPr>
        <w:pStyle w:val="ReportBodyPar"/>
      </w:pPr>
    </w:p>
    <w:p w14:paraId="143B172B" w14:textId="7EED8781" w:rsidR="00F61F8E" w:rsidRPr="002B3F36" w:rsidRDefault="00527C34" w:rsidP="00527C34">
      <w:pPr>
        <w:pStyle w:val="ReportBodyPar"/>
      </w:pPr>
      <w:r w:rsidRPr="002B3F36">
        <w:t xml:space="preserve">In parallel, weekly coordination meetings involving the World Bank Group, KTZ, EPC contractors, and consultants have ensured structured planning, data collection, and timely disclosure of project information. Engagement with Akimats has been critical for cadastral data acquisition, land documentation, and organizing consultations in line with </w:t>
      </w:r>
      <w:r w:rsidR="00163238" w:rsidRPr="002B3F36">
        <w:t>WB PS</w:t>
      </w:r>
      <w:r w:rsidRPr="002B3F36">
        <w:t xml:space="preserve">5 (Land Acquisition and Involuntary Resettlement), ensuring that compensation frameworks meet replacement cost and livelihood restoration requirements under Kazakhstan’s Land Code (2003). Additional site-level engagements—such as assessments of construction camps for occupational health, safety, and labor conditions—further align the project with </w:t>
      </w:r>
      <w:r w:rsidR="00163238" w:rsidRPr="002B3F36">
        <w:t>WB PS</w:t>
      </w:r>
      <w:r w:rsidRPr="002B3F36">
        <w:t xml:space="preserve">2 </w:t>
      </w:r>
      <w:r w:rsidRPr="002B3F36">
        <w:lastRenderedPageBreak/>
        <w:t>(Labor and Working Conditions), demonstrating a comprehensive approach to stakeholder engagement and compliance with both national legislation and international standards.</w:t>
      </w:r>
    </w:p>
    <w:p w14:paraId="76759AB3" w14:textId="77777777" w:rsidR="00527C34" w:rsidRPr="002B3F36" w:rsidRDefault="00527C34" w:rsidP="00527C34">
      <w:pPr>
        <w:pStyle w:val="ReportBodyPar"/>
      </w:pPr>
    </w:p>
    <w:p w14:paraId="39F497DA" w14:textId="79745845" w:rsidR="00F61F8E" w:rsidRPr="002B3F36" w:rsidRDefault="000F264B" w:rsidP="005A68AD">
      <w:pPr>
        <w:pStyle w:val="31"/>
      </w:pPr>
      <w:bookmarkStart w:id="1707" w:name="_Toc208973777"/>
      <w:bookmarkStart w:id="1708" w:name="_Toc208973977"/>
      <w:bookmarkStart w:id="1709" w:name="_Toc208974177"/>
      <w:bookmarkStart w:id="1710" w:name="_Toc208974379"/>
      <w:bookmarkStart w:id="1711" w:name="_Toc208974587"/>
      <w:bookmarkStart w:id="1712" w:name="_Toc210589433"/>
      <w:r w:rsidRPr="002B3F36">
        <w:t>Official Public Announcement</w:t>
      </w:r>
      <w:bookmarkEnd w:id="1707"/>
      <w:bookmarkEnd w:id="1708"/>
      <w:bookmarkEnd w:id="1709"/>
      <w:bookmarkEnd w:id="1710"/>
      <w:bookmarkEnd w:id="1711"/>
      <w:bookmarkEnd w:id="1712"/>
    </w:p>
    <w:p w14:paraId="777247C1" w14:textId="77777777" w:rsidR="00F61F8E" w:rsidRPr="002B3F36" w:rsidRDefault="00F61F8E">
      <w:pPr>
        <w:pStyle w:val="ReportBodyPar"/>
      </w:pPr>
    </w:p>
    <w:p w14:paraId="78C753C1" w14:textId="3B6B31A0" w:rsidR="00527C34" w:rsidRPr="002B3F36" w:rsidRDefault="00527C34" w:rsidP="00527C34">
      <w:pPr>
        <w:pStyle w:val="ReportBodyPar"/>
      </w:pPr>
      <w:r w:rsidRPr="002B3F36">
        <w:t xml:space="preserve">In accordance with </w:t>
      </w:r>
      <w:r w:rsidR="00163238" w:rsidRPr="002B3F36">
        <w:t>WB PS</w:t>
      </w:r>
      <w:r w:rsidRPr="002B3F36">
        <w:t>1 (Assessment and Management of Environmental and Social Risks and Impacts</w:t>
      </w:r>
      <w:r w:rsidR="007F1E36" w:rsidRPr="002B3F36">
        <w:t xml:space="preserve"> including</w:t>
      </w:r>
      <w:r w:rsidRPr="002B3F36">
        <w:t xml:space="preserve"> Stakeholder Engagement and Information Disclosure), Kazakhstan Temir Zholy (KTZ) prepared and officially sent invitations to the Akimats of Mointy and Karazhal to notify all Project-Affected Persons (PAPs) about the scheduled public consultation meetings. This step ensures that affected communities and stakeholders receive timely, accurate, and accessible information on the project’s environmental and social aspects in line with Kazakhstan’s Environmental Code (2021), which mandates transparent engagement during project planning and assessment stages.</w:t>
      </w:r>
    </w:p>
    <w:p w14:paraId="11E50AED" w14:textId="77777777" w:rsidR="00527C34" w:rsidRPr="002B3F36" w:rsidRDefault="00527C34" w:rsidP="00527C34">
      <w:pPr>
        <w:pStyle w:val="ReportBodyPar"/>
      </w:pPr>
    </w:p>
    <w:p w14:paraId="52219484" w14:textId="5B0EAD6A" w:rsidR="00F61F8E" w:rsidRPr="002B3F36" w:rsidRDefault="00527C34" w:rsidP="00527C34">
      <w:pPr>
        <w:pStyle w:val="ReportBodyPar"/>
      </w:pPr>
      <w:r w:rsidRPr="002B3F36">
        <w:t xml:space="preserve">The official public announcement marks the first stage in the stakeholder engagement process required under </w:t>
      </w:r>
      <w:r w:rsidR="00163238" w:rsidRPr="002B3F36">
        <w:t>WB PS</w:t>
      </w:r>
      <w:r w:rsidRPr="002B3F36">
        <w:t xml:space="preserve">1, Paragraphs 5–10, guaranteeing that consultations are inclusive, culturally appropriate, and disclosed in local languages. By channeling the invitations through Akimats—who serve as the administrative liaison with rural authorities and communities—the project ensures compliance with both national regulatory frameworks and </w:t>
      </w:r>
      <w:r w:rsidR="00F95BD8" w:rsidRPr="002B3F36">
        <w:t>WB</w:t>
      </w:r>
      <w:r w:rsidRPr="002B3F36">
        <w:t xml:space="preserve"> Performance Standards, enabling early participation and informed feedback from all affected stakeholders.</w:t>
      </w:r>
    </w:p>
    <w:p w14:paraId="5B64375D" w14:textId="77777777" w:rsidR="00527C34" w:rsidRPr="002B3F36" w:rsidRDefault="00527C34" w:rsidP="00527C34">
      <w:pPr>
        <w:pStyle w:val="ReportBodyPar"/>
      </w:pPr>
    </w:p>
    <w:p w14:paraId="6D4B61E5" w14:textId="37ADE9D2" w:rsidR="00F61F8E" w:rsidRPr="002B3F36" w:rsidRDefault="000F264B" w:rsidP="005A68AD">
      <w:pPr>
        <w:pStyle w:val="31"/>
      </w:pPr>
      <w:bookmarkStart w:id="1713" w:name="_Toc208973778"/>
      <w:bookmarkStart w:id="1714" w:name="_Toc208973978"/>
      <w:bookmarkStart w:id="1715" w:name="_Toc208974178"/>
      <w:bookmarkStart w:id="1716" w:name="_Toc208974380"/>
      <w:bookmarkStart w:id="1717" w:name="_Toc208974588"/>
      <w:bookmarkStart w:id="1718" w:name="_Toc210589434"/>
      <w:r w:rsidRPr="002B3F36">
        <w:t>Public Presentations, Hearings and Consultations</w:t>
      </w:r>
      <w:bookmarkEnd w:id="1713"/>
      <w:bookmarkEnd w:id="1714"/>
      <w:bookmarkEnd w:id="1715"/>
      <w:bookmarkEnd w:id="1716"/>
      <w:bookmarkEnd w:id="1717"/>
      <w:bookmarkEnd w:id="1718"/>
    </w:p>
    <w:p w14:paraId="0F698D6B" w14:textId="77777777" w:rsidR="003264AA" w:rsidRPr="002B3F36" w:rsidRDefault="003264AA" w:rsidP="003264AA">
      <w:pPr>
        <w:pStyle w:val="ReportBodyPar"/>
      </w:pPr>
    </w:p>
    <w:p w14:paraId="655017CF" w14:textId="35A03172" w:rsidR="0016263C" w:rsidRPr="002B3F36" w:rsidRDefault="0016263C" w:rsidP="003264AA">
      <w:pPr>
        <w:pStyle w:val="ReportBodyPar"/>
      </w:pPr>
      <w:r w:rsidRPr="002B3F36">
        <w:t>The public consultations held on 24 September 2025</w:t>
      </w:r>
      <w:r w:rsidR="00545D2B" w:rsidRPr="002B3F36">
        <w:t xml:space="preserve"> </w:t>
      </w:r>
      <w:r w:rsidRPr="002B3F36">
        <w:t xml:space="preserve">in Mointy </w:t>
      </w:r>
      <w:r w:rsidR="00545D2B" w:rsidRPr="002B3F36">
        <w:t xml:space="preserve">(18 people attended) </w:t>
      </w:r>
      <w:r w:rsidRPr="002B3F36">
        <w:t xml:space="preserve">and 25 September 2025 in Karazhal </w:t>
      </w:r>
      <w:r w:rsidR="00545D2B" w:rsidRPr="002B3F36">
        <w:t>(32 people a</w:t>
      </w:r>
      <w:r w:rsidR="00EF045E" w:rsidRPr="002B3F36">
        <w:t>t</w:t>
      </w:r>
      <w:r w:rsidR="00545D2B" w:rsidRPr="002B3F36">
        <w:t xml:space="preserve">tended) </w:t>
      </w:r>
      <w:r w:rsidRPr="002B3F36">
        <w:t xml:space="preserve">were carried out in line with </w:t>
      </w:r>
      <w:r w:rsidR="00163238" w:rsidRPr="002B3F36">
        <w:t>WB PS</w:t>
      </w:r>
      <w:r w:rsidRPr="002B3F36">
        <w:t>1 provisions on stakeholder engagement. Consistent with PS1 paragraphs 26–30, both sessions included an open Questions and Answers forum, where affected communities, local Akimats, and other stakeholders could raise concerns, provide feedback, and suggest additional measures. This feedback is being integrated into the Environmental and Social Management Plan (ESMP) to strengthen impact mitigation and risk management, ensuring that engagement remains continuous and responsive throughout the project lifecycle.</w:t>
      </w:r>
    </w:p>
    <w:p w14:paraId="556DC6DA" w14:textId="6F7280AB" w:rsidR="0016263C" w:rsidRPr="002B3F36" w:rsidRDefault="0016263C" w:rsidP="003264AA">
      <w:pPr>
        <w:pStyle w:val="ReportBodyPar"/>
      </w:pPr>
    </w:p>
    <w:p w14:paraId="4B084DFB" w14:textId="5D1F92DF" w:rsidR="003F1C7E" w:rsidRPr="002B3F36" w:rsidRDefault="00545D2B" w:rsidP="003264AA">
      <w:pPr>
        <w:pStyle w:val="ReportBodyPar"/>
      </w:pPr>
      <w:r w:rsidRPr="002B3F36">
        <w:t xml:space="preserve">Stakeholders from </w:t>
      </w:r>
      <w:r w:rsidR="008D5118" w:rsidRPr="002B3F36">
        <w:t>Mointy</w:t>
      </w:r>
      <w:r w:rsidRPr="002B3F36">
        <w:t xml:space="preserve"> and the </w:t>
      </w:r>
      <w:r w:rsidR="003A184C">
        <w:t>Karagandy</w:t>
      </w:r>
      <w:r w:rsidRPr="002B3F36">
        <w:t xml:space="preserve"> Region raised three core concerns: (i) transport impacts—requests to grade external village roads, construct a dedicated paved bypass, and avoid routing construction traffic through </w:t>
      </w:r>
      <w:r w:rsidR="008D5118" w:rsidRPr="002B3F36">
        <w:t>Mointy</w:t>
      </w:r>
      <w:r w:rsidRPr="002B3F36">
        <w:t>, citing severe dust and damage to pasturelands; (ii) water use—allegations that KTZ abstraction in the village area is depleting water for livestock, with a call for KTZ to develop its own wells to prevent competition with communal sources; and (iii) biodiversity—warnings that railway fencing may block saiga migration in Shet District, requiring precise mapping of migration corridors and wildlife-permeable fencing/crossings to maintain connectivity</w:t>
      </w:r>
    </w:p>
    <w:p w14:paraId="75314175" w14:textId="77777777" w:rsidR="003F1C7E" w:rsidRPr="002B3F36" w:rsidRDefault="003F1C7E" w:rsidP="003264AA">
      <w:pPr>
        <w:pStyle w:val="ReportBodyPar"/>
      </w:pPr>
    </w:p>
    <w:p w14:paraId="4D901A38" w14:textId="77777777" w:rsidR="00545D2B" w:rsidRPr="002B3F36" w:rsidRDefault="00545D2B" w:rsidP="003264AA">
      <w:pPr>
        <w:pStyle w:val="ReportBodyPar"/>
      </w:pPr>
      <w:r w:rsidRPr="002B3F36">
        <w:t xml:space="preserve">Stakeholders requested clear locations of livestock crossing bridges and raised urgent safety concerns about 4–5 m-deep sand pits, calling for prompt fencing and remediation to prevent animal deaths; they also asked whether construction pits near Aktau may be used for waste and, if not, when and how they will be backfilled/closed. Communities sought clarity on compensation for agricultural land intersected by the alignment and proposed a bridge linking the station to Aktau given the Atasu River barrier. They emphasized wildfire preparedness (a local fire depot) in case embers from locomotives ignite fields. Farmers in Karazhal reported loss of grazing access and requested farm access crossings; wildlife concerns included saiga </w:t>
      </w:r>
      <w:r w:rsidRPr="002B3F36">
        <w:lastRenderedPageBreak/>
        <w:t>crossings (with a preference to carry roads over the railway where feasible). Residents also asked to correct settlement names (Tugisken, Kiikti) and suggested a stone dam on the seasonal Zhidebay River to retain water for city use and support livestock grazing. Finally, they requested clarification on responsibility and accountability for addressing these issues.</w:t>
      </w:r>
    </w:p>
    <w:p w14:paraId="4B2A2C28" w14:textId="77777777" w:rsidR="00545D2B" w:rsidRPr="002B3F36" w:rsidRDefault="00545D2B" w:rsidP="003264AA">
      <w:pPr>
        <w:pStyle w:val="ReportBodyPar"/>
      </w:pPr>
    </w:p>
    <w:p w14:paraId="16BF1A68" w14:textId="4DAF501B" w:rsidR="0016263C" w:rsidRPr="002B3F36" w:rsidRDefault="00545D2B" w:rsidP="003264AA">
      <w:pPr>
        <w:pStyle w:val="ReportBodyPar"/>
      </w:pPr>
      <w:r w:rsidRPr="002B3F36">
        <w:t xml:space="preserve">Consistent with </w:t>
      </w:r>
      <w:r w:rsidR="00163238" w:rsidRPr="002B3F36">
        <w:t>WB PS</w:t>
      </w:r>
      <w:r w:rsidRPr="002B3F36">
        <w:t>1, the parties underscored: (i) identifying and assessing environmental and social risks and impacts with due regard for affected communities’ interests; (ii) applying the mitigation hierarchy within a functioning E&amp;S Management System; and (iii) conducting meaningful stakeholder engagement—including timely disclosure, accessible grievance mechanisms, and transparent, ongoing reporting—throughout Project implementation.</w:t>
      </w:r>
    </w:p>
    <w:p w14:paraId="2A3E2120" w14:textId="77777777" w:rsidR="00527C34" w:rsidRPr="002B3F36" w:rsidRDefault="00527C34" w:rsidP="003264AA">
      <w:pPr>
        <w:pStyle w:val="ReportBodyPar"/>
      </w:pPr>
    </w:p>
    <w:p w14:paraId="5B9B0AE4" w14:textId="10537EEA" w:rsidR="00F61F8E" w:rsidRPr="002B3F36" w:rsidRDefault="000F264B" w:rsidP="005A68AD">
      <w:pPr>
        <w:pStyle w:val="31"/>
      </w:pPr>
      <w:bookmarkStart w:id="1719" w:name="_Toc208973779"/>
      <w:bookmarkStart w:id="1720" w:name="_Toc208973979"/>
      <w:bookmarkStart w:id="1721" w:name="_Toc208974179"/>
      <w:bookmarkStart w:id="1722" w:name="_Toc208974381"/>
      <w:bookmarkStart w:id="1723" w:name="_Toc208974589"/>
      <w:bookmarkStart w:id="1724" w:name="_Toc210589435"/>
      <w:r w:rsidRPr="002B3F36">
        <w:t>Key stakeholder meetings</w:t>
      </w:r>
      <w:bookmarkEnd w:id="1719"/>
      <w:bookmarkEnd w:id="1720"/>
      <w:bookmarkEnd w:id="1721"/>
      <w:bookmarkEnd w:id="1722"/>
      <w:bookmarkEnd w:id="1723"/>
      <w:bookmarkEnd w:id="1724"/>
    </w:p>
    <w:p w14:paraId="65FDB919" w14:textId="77777777" w:rsidR="00F61F8E" w:rsidRPr="002B3F36" w:rsidRDefault="00F61F8E" w:rsidP="009E24D5">
      <w:pPr>
        <w:pStyle w:val="ReportBodyPar"/>
      </w:pPr>
    </w:p>
    <w:p w14:paraId="42DBC490" w14:textId="3B3A6931" w:rsidR="00FE3320" w:rsidRPr="002B3F36" w:rsidRDefault="00FE3320" w:rsidP="00FE3320">
      <w:pPr>
        <w:pStyle w:val="ReportBodyPar"/>
      </w:pPr>
      <w:r w:rsidRPr="002B3F36">
        <w:t xml:space="preserve">Kazakhstan Temir Zholy (KTZ) serves as the primary project stakeholder, working closely with the World Bank Group to ensure that environmental and social safeguards, land acquisition planning, and stakeholder engagement activities for the Mointy-Kyzylzhar Railway Project align with both </w:t>
      </w:r>
      <w:r w:rsidR="00163238" w:rsidRPr="002B3F36">
        <w:t xml:space="preserve">WB </w:t>
      </w:r>
      <w:r w:rsidRPr="002B3F36">
        <w:t>Performance Standards and Kazakhstan’s regulatory framework. The World Bank Group provides technical oversight and guidance, while KTZ coordinates directly with Akimats, local authorities, EPC contractors, and their subcontractors to facilitate data collection, field visits, and administrative processes.</w:t>
      </w:r>
    </w:p>
    <w:p w14:paraId="0410B004" w14:textId="77777777" w:rsidR="00FE3320" w:rsidRPr="002B3F36" w:rsidRDefault="00FE3320" w:rsidP="00FE3320">
      <w:pPr>
        <w:pStyle w:val="ReportBodyPar"/>
      </w:pPr>
    </w:p>
    <w:p w14:paraId="0F3D4BEB" w14:textId="25EFF495" w:rsidR="00FE3320" w:rsidRPr="002B3F36" w:rsidRDefault="00FE3320" w:rsidP="00FE3320">
      <w:pPr>
        <w:pStyle w:val="ReportBodyPar"/>
      </w:pPr>
      <w:r w:rsidRPr="002B3F36">
        <w:t xml:space="preserve">Weekly coordination meetings between the World Bank Group, KTZ, and the consultant team have been established to track project progress, resolve logistical bottlenecks, and align deliverables with the project’s tight timelines. In addition, the Social Specialist for SEP and LARAP has been visiting Akimats for data collection and consultations, which themselves constitute critical stakeholder engagement activities under </w:t>
      </w:r>
      <w:r w:rsidR="00163238" w:rsidRPr="002B3F36">
        <w:t>WB PS</w:t>
      </w:r>
      <w:r w:rsidRPr="002B3F36">
        <w:t>1</w:t>
      </w:r>
      <w:r w:rsidR="00C452FA" w:rsidRPr="002B3F36">
        <w:t xml:space="preserve"> and</w:t>
      </w:r>
      <w:r w:rsidRPr="002B3F36">
        <w:t xml:space="preserve"> PS5.</w:t>
      </w:r>
    </w:p>
    <w:p w14:paraId="3D962E45" w14:textId="77777777" w:rsidR="00FE3320" w:rsidRPr="002B3F36" w:rsidRDefault="00FE3320" w:rsidP="00FE3320">
      <w:pPr>
        <w:pStyle w:val="ReportBodyPar"/>
      </w:pPr>
    </w:p>
    <w:p w14:paraId="5647693D" w14:textId="085A6E15" w:rsidR="00F61F8E" w:rsidRPr="002B3F36" w:rsidRDefault="00FE3320" w:rsidP="00FE3320">
      <w:pPr>
        <w:pStyle w:val="ReportBodyPar"/>
      </w:pPr>
      <w:r w:rsidRPr="002B3F36">
        <w:t>Key action points</w:t>
      </w:r>
      <w:r w:rsidR="00666FB7" w:rsidRPr="002B3F36">
        <w:t xml:space="preserve">, </w:t>
      </w:r>
      <w:r w:rsidRPr="002B3F36">
        <w:t>such as translation of project documents into Kazakh, Russian, and English, notification letters to Akimats, scheduling of field visits, and coordination with EPC contractors</w:t>
      </w:r>
      <w:r w:rsidR="00666FB7" w:rsidRPr="002B3F36">
        <w:t xml:space="preserve">, </w:t>
      </w:r>
      <w:r w:rsidRPr="002B3F36">
        <w:t>are monitored through an agreed action tracker reviewed at each weekly session. This structured coordination mechanism ensures that all parties remain aligned on milestones, stakeholder engagement responsibilities, and final submission deadlines.</w:t>
      </w:r>
    </w:p>
    <w:p w14:paraId="473F10CD" w14:textId="77777777" w:rsidR="00FE3320" w:rsidRPr="002B3F36" w:rsidRDefault="00FE3320" w:rsidP="00FE3320">
      <w:pPr>
        <w:pStyle w:val="ReportBodyPar"/>
      </w:pPr>
    </w:p>
    <w:p w14:paraId="0C9D26D3" w14:textId="4F51CDDD" w:rsidR="00F61F8E" w:rsidRPr="002B3F36" w:rsidRDefault="000F264B" w:rsidP="005A68AD">
      <w:pPr>
        <w:pStyle w:val="31"/>
      </w:pPr>
      <w:bookmarkStart w:id="1725" w:name="_Toc208973780"/>
      <w:bookmarkStart w:id="1726" w:name="_Toc208973980"/>
      <w:bookmarkStart w:id="1727" w:name="_Toc208974180"/>
      <w:bookmarkStart w:id="1728" w:name="_Toc208974382"/>
      <w:bookmarkStart w:id="1729" w:name="_Toc208974590"/>
      <w:bookmarkStart w:id="1730" w:name="_Toc210589436"/>
      <w:r w:rsidRPr="002B3F36">
        <w:t>Engagement with the Akimats</w:t>
      </w:r>
      <w:bookmarkEnd w:id="1725"/>
      <w:bookmarkEnd w:id="1726"/>
      <w:bookmarkEnd w:id="1727"/>
      <w:bookmarkEnd w:id="1728"/>
      <w:bookmarkEnd w:id="1729"/>
      <w:bookmarkEnd w:id="1730"/>
    </w:p>
    <w:p w14:paraId="03E72215" w14:textId="77777777" w:rsidR="00F61F8E" w:rsidRPr="002B3F36" w:rsidRDefault="00F61F8E">
      <w:pPr>
        <w:pStyle w:val="ReportBodyPar"/>
      </w:pPr>
    </w:p>
    <w:p w14:paraId="53ABFDC1" w14:textId="1F526D46" w:rsidR="000A7237" w:rsidRPr="002B3F36" w:rsidRDefault="000A7237" w:rsidP="000A7237">
      <w:pPr>
        <w:pStyle w:val="ReportBodyPar"/>
      </w:pPr>
      <w:r w:rsidRPr="002B3F36">
        <w:t xml:space="preserve">Engagement with regional and district-level Akimats is a critical requirement for ensuring regulatory compliance, structured data collection, and meaningful stakeholder participation in line with </w:t>
      </w:r>
      <w:r w:rsidR="00F95BD8" w:rsidRPr="002B3F36">
        <w:t>WB</w:t>
      </w:r>
      <w:r w:rsidRPr="002B3F36">
        <w:t xml:space="preserve"> PS1 (Assessment and Management of Environmental and Social Risks and Impacts), </w:t>
      </w:r>
      <w:r w:rsidR="007431F1" w:rsidRPr="002B3F36">
        <w:t xml:space="preserve">and </w:t>
      </w:r>
      <w:r w:rsidRPr="002B3F36">
        <w:t>PS5 (Land Acquisition and Involuntary Resettlement), as well as Kazakhstan’s Environmental Code (2021) and Land Code (2003). Upon receipt of the final railway alignment, Kazakhstan Temir Zholy (KTZ) will formally issue requests to all concerned Akimats to facilitate cadastral data collection, land documentation access, and field-level coordination. This process will ensure that land acquisition planning, compensation frameworks, and community consultations are based on accurate, government-verified land ownership and use rights information.</w:t>
      </w:r>
    </w:p>
    <w:p w14:paraId="0832A66A" w14:textId="77777777" w:rsidR="000A7237" w:rsidRPr="002B3F36" w:rsidRDefault="000A7237" w:rsidP="000A7237">
      <w:pPr>
        <w:pStyle w:val="ReportBodyPar"/>
      </w:pPr>
    </w:p>
    <w:p w14:paraId="1A26E70F" w14:textId="2DFC8695" w:rsidR="000A7237" w:rsidRPr="002B3F36" w:rsidRDefault="000A7237" w:rsidP="000A7237">
      <w:pPr>
        <w:pStyle w:val="ReportBodyPar"/>
      </w:pPr>
      <w:r w:rsidRPr="002B3F36">
        <w:t xml:space="preserve">Specifically, Akimats will be requested to provide parcel-level cadastral maps, ownership titles, lease contracts, land classification records, and details on formal and informal land users, including customary rights holders. These data are foundational for preparing a </w:t>
      </w:r>
      <w:r w:rsidRPr="002B3F36">
        <w:lastRenderedPageBreak/>
        <w:t xml:space="preserve">Compensation Matrix compliant with </w:t>
      </w:r>
      <w:r w:rsidR="00163238" w:rsidRPr="002B3F36">
        <w:t>WB PS</w:t>
      </w:r>
      <w:r w:rsidRPr="002B3F36">
        <w:t>5 requirements on replacement cost valuation, eligibility criteria, livelihood restoration, and assistance for vulnerable groups. The matrix will categorize affected persons, define asset typologies, and establish entitlement provisions, ensuring that no affected household experiences uncompensated economic or physical displacement.</w:t>
      </w:r>
    </w:p>
    <w:p w14:paraId="617AE6EA" w14:textId="77777777" w:rsidR="000A7237" w:rsidRPr="002B3F36" w:rsidRDefault="000A7237" w:rsidP="000A7237">
      <w:pPr>
        <w:pStyle w:val="ReportBodyPar"/>
      </w:pPr>
    </w:p>
    <w:p w14:paraId="42F98F40" w14:textId="4BC3C052" w:rsidR="000A7237" w:rsidRPr="002B3F36" w:rsidRDefault="000A7237" w:rsidP="000A7237">
      <w:pPr>
        <w:pStyle w:val="ReportBodyPar"/>
      </w:pPr>
      <w:r w:rsidRPr="002B3F36">
        <w:t xml:space="preserve">Moreover, Akimats serve as key administrative liaisons for organizing public consultations in compliance with </w:t>
      </w:r>
      <w:r w:rsidR="00163238" w:rsidRPr="002B3F36">
        <w:t>WB PS</w:t>
      </w:r>
      <w:r w:rsidRPr="002B3F36">
        <w:t>1. They will issue official invitations to Project-Affected Persons (PAPs), coordinate with rural authorities, and provide venues and logistical support for engagement activities. The first round of public consultations for the Mointy–Kyzylzhar Railway Project is tentatively scheduled for September 2025, following the receipt of final alignment coordinates and screening results. These consultations will disclose project information, gather feedback from communities—including concerns on livestock crossings, seasonal stream bridges, and construction impacts—and document stakeholder inputs for integration into the Environmental and Social Impact Assessment (ESIA) and Environmental and Social Management Plan (ESMP).</w:t>
      </w:r>
    </w:p>
    <w:p w14:paraId="2C72CC78" w14:textId="77777777" w:rsidR="000A7237" w:rsidRPr="002B3F36" w:rsidRDefault="000A7237" w:rsidP="000A7237">
      <w:pPr>
        <w:pStyle w:val="ReportBodyPar"/>
      </w:pPr>
    </w:p>
    <w:p w14:paraId="462CBE62" w14:textId="58FF305A" w:rsidR="009E24D5" w:rsidRPr="002B3F36" w:rsidRDefault="000A7237" w:rsidP="000A7237">
      <w:pPr>
        <w:pStyle w:val="ReportBodyPar"/>
      </w:pPr>
      <w:r w:rsidRPr="002B3F36">
        <w:t>Finally, the engagement framework with Akimats will extend to construction site assessments, such as the visit to the GSK construction camp in Aktau, where local employment agreements, occupational health and safety (OHS) protocols, gender-sensitive worker accommodations, and access to utilities w</w:t>
      </w:r>
      <w:r w:rsidR="00995EB3" w:rsidRPr="002B3F36">
        <w:t xml:space="preserve">ill be </w:t>
      </w:r>
      <w:r w:rsidRPr="002B3F36">
        <w:t>verified.</w:t>
      </w:r>
    </w:p>
    <w:p w14:paraId="66CCBBE9" w14:textId="77777777" w:rsidR="00FE3320" w:rsidRPr="002B3F36" w:rsidRDefault="00FE3320" w:rsidP="000A7237">
      <w:pPr>
        <w:pStyle w:val="ReportBodyPar"/>
      </w:pPr>
    </w:p>
    <w:p w14:paraId="57BDC984" w14:textId="24F30C36" w:rsidR="00F61F8E" w:rsidRPr="002B3F36" w:rsidRDefault="000F264B">
      <w:pPr>
        <w:pStyle w:val="20"/>
      </w:pPr>
      <w:bookmarkStart w:id="1731" w:name="_Toc208973781"/>
      <w:bookmarkStart w:id="1732" w:name="_Toc208973981"/>
      <w:bookmarkStart w:id="1733" w:name="_Toc208974181"/>
      <w:bookmarkStart w:id="1734" w:name="_Toc208974383"/>
      <w:bookmarkStart w:id="1735" w:name="_Toc208974591"/>
      <w:bookmarkStart w:id="1736" w:name="_Toc210589437"/>
      <w:r w:rsidRPr="002B3F36">
        <w:t xml:space="preserve">Project </w:t>
      </w:r>
      <w:r w:rsidR="00666FB7" w:rsidRPr="002B3F36">
        <w:t xml:space="preserve">Level </w:t>
      </w:r>
      <w:r w:rsidRPr="002B3F36">
        <w:t>Grievance Redressal Mechanism (GRM)</w:t>
      </w:r>
      <w:bookmarkEnd w:id="1731"/>
      <w:bookmarkEnd w:id="1732"/>
      <w:bookmarkEnd w:id="1733"/>
      <w:bookmarkEnd w:id="1734"/>
      <w:bookmarkEnd w:id="1735"/>
      <w:bookmarkEnd w:id="1736"/>
      <w:r w:rsidR="0011695D" w:rsidRPr="002B3F36">
        <w:t xml:space="preserve"> </w:t>
      </w:r>
    </w:p>
    <w:p w14:paraId="26E8B03C" w14:textId="09FACA31" w:rsidR="00F61F8E" w:rsidRPr="002B3F36" w:rsidRDefault="00F61F8E">
      <w:pPr>
        <w:pStyle w:val="ReportParagraph"/>
      </w:pPr>
    </w:p>
    <w:p w14:paraId="752B6734" w14:textId="56BFCC33" w:rsidR="007E0403" w:rsidRPr="002B3F36" w:rsidRDefault="007E0403">
      <w:pPr>
        <w:pStyle w:val="ReportParagraph"/>
      </w:pPr>
      <w:r w:rsidRPr="002B3F36">
        <w:t xml:space="preserve">The Project Grievance Redressal Mechanism (GRM) for the </w:t>
      </w:r>
      <w:r w:rsidR="003650DB" w:rsidRPr="002B3F36">
        <w:t xml:space="preserve">Mointy – Kyzylzhar </w:t>
      </w:r>
      <w:r w:rsidRPr="002B3F36">
        <w:t>Railway Project ensures accessible, transparent, and timely resolution of complaints through multiple channels, including a hotline, mobile app, email, the E-Otinish portal, and local District Akimats. It allows workers, communities, and stakeholders to raise concerns on land, safety, or construction impacts, ensuring all grievances are recorded, addressed, and monitored throughout the project lifecycle.</w:t>
      </w:r>
    </w:p>
    <w:p w14:paraId="2138C8C1" w14:textId="77777777" w:rsidR="007E0403" w:rsidRPr="002B3F36" w:rsidRDefault="007E0403">
      <w:pPr>
        <w:pStyle w:val="ReportParagraph"/>
      </w:pPr>
    </w:p>
    <w:p w14:paraId="47BDBB1F" w14:textId="550A12F1" w:rsidR="00F61F8E" w:rsidRPr="002B3F36" w:rsidRDefault="000F264B">
      <w:pPr>
        <w:pStyle w:val="ReportParagraph"/>
      </w:pPr>
      <w:r w:rsidRPr="002B3F36">
        <w:t>KTZ</w:t>
      </w:r>
      <w:r w:rsidRPr="002B3F36">
        <w:rPr>
          <w:spacing w:val="-9"/>
        </w:rPr>
        <w:t xml:space="preserve"> </w:t>
      </w:r>
      <w:r w:rsidR="005B295B" w:rsidRPr="002B3F36">
        <w:t xml:space="preserve">shall have </w:t>
      </w:r>
      <w:r w:rsidRPr="002B3F36">
        <w:t>a</w:t>
      </w:r>
      <w:r w:rsidRPr="002B3F36">
        <w:rPr>
          <w:spacing w:val="-6"/>
        </w:rPr>
        <w:t xml:space="preserve"> </w:t>
      </w:r>
      <w:r w:rsidRPr="002B3F36">
        <w:t>formal</w:t>
      </w:r>
      <w:r w:rsidRPr="002B3F36">
        <w:rPr>
          <w:spacing w:val="-7"/>
        </w:rPr>
        <w:t xml:space="preserve"> </w:t>
      </w:r>
      <w:r w:rsidRPr="002B3F36">
        <w:t>grievance</w:t>
      </w:r>
      <w:r w:rsidRPr="002B3F36">
        <w:rPr>
          <w:spacing w:val="-8"/>
        </w:rPr>
        <w:t xml:space="preserve"> </w:t>
      </w:r>
      <w:r w:rsidRPr="002B3F36">
        <w:t>redressal</w:t>
      </w:r>
      <w:r w:rsidRPr="002B3F36">
        <w:rPr>
          <w:spacing w:val="-5"/>
        </w:rPr>
        <w:t xml:space="preserve"> </w:t>
      </w:r>
      <w:r w:rsidRPr="002B3F36">
        <w:t>mechanism</w:t>
      </w:r>
      <w:r w:rsidRPr="002B3F36">
        <w:rPr>
          <w:spacing w:val="-8"/>
        </w:rPr>
        <w:t xml:space="preserve"> </w:t>
      </w:r>
      <w:r w:rsidRPr="002B3F36">
        <w:t>at</w:t>
      </w:r>
      <w:r w:rsidRPr="002B3F36">
        <w:rPr>
          <w:spacing w:val="-8"/>
        </w:rPr>
        <w:t xml:space="preserve"> </w:t>
      </w:r>
      <w:r w:rsidRPr="002B3F36">
        <w:t>corporate</w:t>
      </w:r>
      <w:r w:rsidRPr="002B3F36">
        <w:rPr>
          <w:spacing w:val="-7"/>
        </w:rPr>
        <w:t xml:space="preserve"> </w:t>
      </w:r>
      <w:r w:rsidRPr="002B3F36">
        <w:t>level,</w:t>
      </w:r>
      <w:r w:rsidRPr="002B3F36">
        <w:rPr>
          <w:spacing w:val="-7"/>
        </w:rPr>
        <w:t xml:space="preserve"> </w:t>
      </w:r>
      <w:r w:rsidRPr="002B3F36">
        <w:t>which</w:t>
      </w:r>
      <w:r w:rsidRPr="002B3F36">
        <w:rPr>
          <w:spacing w:val="-8"/>
        </w:rPr>
        <w:t xml:space="preserve"> </w:t>
      </w:r>
      <w:r w:rsidRPr="002B3F36">
        <w:rPr>
          <w:spacing w:val="-2"/>
        </w:rPr>
        <w:t>includes:</w:t>
      </w:r>
    </w:p>
    <w:p w14:paraId="54C07F7C" w14:textId="77777777" w:rsidR="00F61F8E" w:rsidRPr="002B3F36" w:rsidRDefault="000F264B" w:rsidP="009B4CDB">
      <w:pPr>
        <w:pStyle w:val="a0"/>
        <w:numPr>
          <w:ilvl w:val="0"/>
          <w:numId w:val="62"/>
        </w:numPr>
      </w:pPr>
      <w:r w:rsidRPr="002B3F36">
        <w:t>Integrated external and internal stakeholder GRM which allows for reporting of any violations</w:t>
      </w:r>
      <w:r w:rsidRPr="002B3F36">
        <w:rPr>
          <w:spacing w:val="-3"/>
        </w:rPr>
        <w:t xml:space="preserve"> </w:t>
      </w:r>
      <w:r w:rsidRPr="002B3F36">
        <w:t>of</w:t>
      </w:r>
      <w:r w:rsidRPr="002B3F36">
        <w:rPr>
          <w:spacing w:val="-3"/>
        </w:rPr>
        <w:t xml:space="preserve"> </w:t>
      </w:r>
      <w:r w:rsidRPr="002B3F36">
        <w:t>the</w:t>
      </w:r>
      <w:r w:rsidRPr="002B3F36">
        <w:rPr>
          <w:spacing w:val="-6"/>
        </w:rPr>
        <w:t xml:space="preserve"> </w:t>
      </w:r>
      <w:r w:rsidRPr="002B3F36">
        <w:t>Code</w:t>
      </w:r>
      <w:r w:rsidRPr="002B3F36">
        <w:rPr>
          <w:spacing w:val="-4"/>
        </w:rPr>
        <w:t xml:space="preserve"> </w:t>
      </w:r>
      <w:r w:rsidRPr="002B3F36">
        <w:t>of</w:t>
      </w:r>
      <w:r w:rsidRPr="002B3F36">
        <w:rPr>
          <w:spacing w:val="-3"/>
        </w:rPr>
        <w:t xml:space="preserve"> </w:t>
      </w:r>
      <w:r w:rsidRPr="002B3F36">
        <w:t>conduct,</w:t>
      </w:r>
      <w:r w:rsidRPr="002B3F36">
        <w:rPr>
          <w:spacing w:val="-3"/>
        </w:rPr>
        <w:t xml:space="preserve"> </w:t>
      </w:r>
      <w:r w:rsidRPr="002B3F36">
        <w:t>including</w:t>
      </w:r>
      <w:r w:rsidRPr="002B3F36">
        <w:rPr>
          <w:spacing w:val="-4"/>
        </w:rPr>
        <w:t xml:space="preserve"> </w:t>
      </w:r>
      <w:r w:rsidRPr="002B3F36">
        <w:t>cases</w:t>
      </w:r>
      <w:r w:rsidRPr="002B3F36">
        <w:rPr>
          <w:spacing w:val="-6"/>
        </w:rPr>
        <w:t xml:space="preserve"> </w:t>
      </w:r>
      <w:r w:rsidRPr="002B3F36">
        <w:t>of</w:t>
      </w:r>
      <w:r w:rsidRPr="002B3F36">
        <w:rPr>
          <w:spacing w:val="-6"/>
        </w:rPr>
        <w:t xml:space="preserve"> </w:t>
      </w:r>
      <w:r w:rsidRPr="002B3F36">
        <w:t>corruption,</w:t>
      </w:r>
      <w:r w:rsidRPr="002B3F36">
        <w:rPr>
          <w:spacing w:val="-6"/>
        </w:rPr>
        <w:t xml:space="preserve"> </w:t>
      </w:r>
      <w:r w:rsidRPr="002B3F36">
        <w:t>discrimination,</w:t>
      </w:r>
      <w:r w:rsidRPr="002B3F36">
        <w:rPr>
          <w:spacing w:val="-6"/>
        </w:rPr>
        <w:t xml:space="preserve"> </w:t>
      </w:r>
      <w:r w:rsidRPr="002B3F36">
        <w:t>unethical behaviour and other violations:</w:t>
      </w:r>
    </w:p>
    <w:p w14:paraId="77E78F1C" w14:textId="3FC2C881" w:rsidR="00F61F8E" w:rsidRPr="002B3F36" w:rsidRDefault="000F264B" w:rsidP="008C64F9">
      <w:pPr>
        <w:pStyle w:val="a5"/>
        <w:numPr>
          <w:ilvl w:val="0"/>
          <w:numId w:val="229"/>
        </w:numPr>
        <w:tabs>
          <w:tab w:val="left" w:pos="940"/>
        </w:tabs>
        <w:spacing w:before="61"/>
        <w:jc w:val="both"/>
        <w:rPr>
          <w:rFonts w:ascii="Arial" w:hAnsi="Arial" w:cs="Arial"/>
          <w:sz w:val="24"/>
          <w:szCs w:val="24"/>
        </w:rPr>
      </w:pPr>
      <w:r w:rsidRPr="002B3F36">
        <w:rPr>
          <w:rFonts w:ascii="Arial" w:hAnsi="Arial" w:cs="Arial"/>
          <w:sz w:val="24"/>
          <w:szCs w:val="24"/>
        </w:rPr>
        <w:t>Toll</w:t>
      </w:r>
      <w:r w:rsidRPr="002B3F36">
        <w:rPr>
          <w:rFonts w:ascii="Arial" w:hAnsi="Arial" w:cs="Arial"/>
          <w:spacing w:val="-16"/>
          <w:sz w:val="24"/>
          <w:szCs w:val="24"/>
        </w:rPr>
        <w:t xml:space="preserve"> </w:t>
      </w:r>
      <w:r w:rsidRPr="002B3F36">
        <w:rPr>
          <w:rFonts w:ascii="Arial" w:hAnsi="Arial" w:cs="Arial"/>
          <w:sz w:val="24"/>
          <w:szCs w:val="24"/>
        </w:rPr>
        <w:t>free</w:t>
      </w:r>
      <w:r w:rsidRPr="002B3F36">
        <w:rPr>
          <w:rFonts w:ascii="Arial" w:hAnsi="Arial" w:cs="Arial"/>
          <w:spacing w:val="-17"/>
          <w:sz w:val="24"/>
          <w:szCs w:val="24"/>
        </w:rPr>
        <w:t xml:space="preserve"> </w:t>
      </w:r>
      <w:r w:rsidRPr="002B3F36">
        <w:rPr>
          <w:rFonts w:ascii="Arial" w:hAnsi="Arial" w:cs="Arial"/>
          <w:spacing w:val="-2"/>
          <w:sz w:val="24"/>
          <w:szCs w:val="24"/>
        </w:rPr>
        <w:t>hotline</w:t>
      </w:r>
    </w:p>
    <w:p w14:paraId="096A27ED" w14:textId="510A3729" w:rsidR="00F61F8E" w:rsidRPr="002B3F36" w:rsidRDefault="000F264B" w:rsidP="008C64F9">
      <w:pPr>
        <w:pStyle w:val="a5"/>
        <w:numPr>
          <w:ilvl w:val="0"/>
          <w:numId w:val="229"/>
        </w:numPr>
        <w:tabs>
          <w:tab w:val="left" w:pos="940"/>
        </w:tabs>
        <w:spacing w:before="70"/>
        <w:jc w:val="both"/>
        <w:rPr>
          <w:rFonts w:ascii="Arial" w:hAnsi="Arial" w:cs="Arial"/>
          <w:sz w:val="24"/>
          <w:szCs w:val="24"/>
        </w:rPr>
      </w:pPr>
      <w:r w:rsidRPr="002B3F36">
        <w:rPr>
          <w:rFonts w:ascii="Arial" w:hAnsi="Arial" w:cs="Arial"/>
          <w:sz w:val="24"/>
          <w:szCs w:val="24"/>
        </w:rPr>
        <w:t>WhatsApp</w:t>
      </w:r>
      <w:r w:rsidRPr="002B3F36">
        <w:rPr>
          <w:rFonts w:ascii="Arial" w:hAnsi="Arial" w:cs="Arial"/>
          <w:spacing w:val="-11"/>
          <w:sz w:val="24"/>
          <w:szCs w:val="24"/>
        </w:rPr>
        <w:t xml:space="preserve"> </w:t>
      </w:r>
      <w:r w:rsidRPr="002B3F36">
        <w:rPr>
          <w:rFonts w:ascii="Arial" w:hAnsi="Arial" w:cs="Arial"/>
          <w:spacing w:val="-2"/>
          <w:sz w:val="24"/>
          <w:szCs w:val="24"/>
        </w:rPr>
        <w:t>number</w:t>
      </w:r>
    </w:p>
    <w:p w14:paraId="488A6139" w14:textId="77777777" w:rsidR="00F61F8E" w:rsidRPr="002B3F36" w:rsidRDefault="000F264B" w:rsidP="009B4CDB">
      <w:pPr>
        <w:pStyle w:val="a0"/>
        <w:numPr>
          <w:ilvl w:val="0"/>
          <w:numId w:val="62"/>
        </w:numPr>
        <w:rPr>
          <w:position w:val="7"/>
        </w:rPr>
      </w:pPr>
      <w:r w:rsidRPr="002B3F36">
        <w:t>Internet</w:t>
      </w:r>
      <w:r w:rsidRPr="002B3F36">
        <w:rPr>
          <w:spacing w:val="-10"/>
        </w:rPr>
        <w:t xml:space="preserve"> </w:t>
      </w:r>
      <w:r w:rsidRPr="002B3F36">
        <w:t>portal</w:t>
      </w:r>
      <w:r w:rsidRPr="002B3F36">
        <w:rPr>
          <w:spacing w:val="-9"/>
        </w:rPr>
        <w:t xml:space="preserve"> </w:t>
      </w:r>
      <w:r w:rsidRPr="002B3F36">
        <w:t>managed</w:t>
      </w:r>
      <w:r w:rsidRPr="002B3F36">
        <w:rPr>
          <w:spacing w:val="-9"/>
        </w:rPr>
        <w:t xml:space="preserve"> </w:t>
      </w:r>
      <w:r w:rsidRPr="002B3F36">
        <w:t>by</w:t>
      </w:r>
      <w:r w:rsidRPr="002B3F36">
        <w:rPr>
          <w:spacing w:val="-11"/>
        </w:rPr>
        <w:t xml:space="preserve"> </w:t>
      </w:r>
      <w:r w:rsidRPr="002B3F36">
        <w:t>KTZ’s</w:t>
      </w:r>
      <w:r w:rsidRPr="002B3F36">
        <w:rPr>
          <w:spacing w:val="-12"/>
        </w:rPr>
        <w:t xml:space="preserve"> </w:t>
      </w:r>
      <w:r w:rsidRPr="002B3F36">
        <w:t>parent</w:t>
      </w:r>
      <w:r w:rsidRPr="002B3F36">
        <w:rPr>
          <w:spacing w:val="-10"/>
        </w:rPr>
        <w:t xml:space="preserve"> </w:t>
      </w:r>
      <w:r w:rsidRPr="002B3F36">
        <w:t>company,</w:t>
      </w:r>
      <w:r w:rsidRPr="002B3F36">
        <w:rPr>
          <w:spacing w:val="-11"/>
        </w:rPr>
        <w:t xml:space="preserve"> </w:t>
      </w:r>
      <w:r w:rsidRPr="002B3F36">
        <w:t>Samruk</w:t>
      </w:r>
      <w:r w:rsidRPr="002B3F36">
        <w:rPr>
          <w:spacing w:val="-11"/>
        </w:rPr>
        <w:t xml:space="preserve"> </w:t>
      </w:r>
      <w:r w:rsidRPr="002B3F36">
        <w:rPr>
          <w:spacing w:val="-2"/>
        </w:rPr>
        <w:t>Kazyna</w:t>
      </w:r>
    </w:p>
    <w:p w14:paraId="7FC0B566" w14:textId="2E70CA21" w:rsidR="00F61F8E" w:rsidRPr="002B3F36" w:rsidRDefault="000F264B" w:rsidP="009B4CDB">
      <w:pPr>
        <w:pStyle w:val="a0"/>
        <w:numPr>
          <w:ilvl w:val="0"/>
          <w:numId w:val="62"/>
        </w:numPr>
      </w:pPr>
      <w:r w:rsidRPr="002B3F36">
        <w:t>Email address</w:t>
      </w:r>
    </w:p>
    <w:p w14:paraId="1EFC0743" w14:textId="77777777" w:rsidR="00F61F8E" w:rsidRPr="002B3F36" w:rsidRDefault="000F264B" w:rsidP="009B4CDB">
      <w:pPr>
        <w:pStyle w:val="a0"/>
        <w:numPr>
          <w:ilvl w:val="0"/>
          <w:numId w:val="62"/>
        </w:numPr>
      </w:pPr>
      <w:r w:rsidRPr="002B3F36">
        <w:t>Mobile application called “KTZ HSE”, which provides an avenue for all workers (including contractor and subcontractor level) to raise grievances, where necessary. The KTZ HSE ISPB is also designed to enhance safety and operational efficiency within the workplace, and as such enables users to prevent potential hazards associated with daily work activities by reporting incidents and near misses. Workers interviewed noted that the app contains the hotlines mentioned in the KTZ website, and as such, is integrated with the overall corporate level GRM with the app providing an alternative option for workers to raise grievances.</w:t>
      </w:r>
    </w:p>
    <w:p w14:paraId="45AF5CE5" w14:textId="77777777" w:rsidR="00F61F8E" w:rsidRPr="002B3F36" w:rsidRDefault="00F61F8E">
      <w:pPr>
        <w:pStyle w:val="ReportParagraph"/>
      </w:pPr>
    </w:p>
    <w:p w14:paraId="738BA8EF" w14:textId="77777777" w:rsidR="00F61F8E" w:rsidRPr="002B3F36" w:rsidRDefault="000F264B">
      <w:pPr>
        <w:pStyle w:val="ReportParagraph"/>
      </w:pPr>
      <w:r w:rsidRPr="002B3F36">
        <w:t xml:space="preserve">Information on the available channels for submitting grievances is accessible through the Company’s official website. The KTZ website also provides a direct link to E-Otinish, the </w:t>
      </w:r>
      <w:r w:rsidRPr="002B3F36">
        <w:lastRenderedPageBreak/>
        <w:t>Government of Kazakhstan’s single-window portal for receiving and processing inquiries and grievances from both individuals and legal entities. During semi-structured interviews (SSIs), project-affected entities (PAEs) confirmed that E-Otinish has been used to register grievances, particularly with regard to the land acquisition process.</w:t>
      </w:r>
    </w:p>
    <w:p w14:paraId="4FDCE0AB" w14:textId="77777777" w:rsidR="00F61F8E" w:rsidRPr="002B3F36" w:rsidRDefault="00F61F8E">
      <w:pPr>
        <w:pStyle w:val="ReportParagraph"/>
      </w:pPr>
    </w:p>
    <w:p w14:paraId="67A3E619" w14:textId="232BB6B7" w:rsidR="00F61F8E" w:rsidRPr="002B3F36" w:rsidRDefault="000F264B">
      <w:pPr>
        <w:pStyle w:val="ReportParagraph"/>
      </w:pPr>
      <w:r w:rsidRPr="002B3F36">
        <w:t xml:space="preserve">Findings from focus group discussions (FGDs) and broader community consultations further indicate that local communities primarily rely on the District Akimats as their principal point of contact for lodging complaints or grievances. The main issues raised during these consultations can be summarized </w:t>
      </w:r>
      <w:r w:rsidR="0080772D" w:rsidRPr="002B3F36">
        <w:t>as follows</w:t>
      </w:r>
      <w:r w:rsidRPr="002B3F36">
        <w:t>:</w:t>
      </w:r>
    </w:p>
    <w:p w14:paraId="15BF2F17" w14:textId="77777777" w:rsidR="00F61F8E" w:rsidRPr="002B3F36" w:rsidRDefault="00F61F8E">
      <w:pPr>
        <w:pStyle w:val="ReportParagraph"/>
      </w:pPr>
    </w:p>
    <w:p w14:paraId="627E4F4F" w14:textId="77777777" w:rsidR="00F61F8E" w:rsidRPr="002B3F36" w:rsidRDefault="000F264B" w:rsidP="009B4CDB">
      <w:pPr>
        <w:pStyle w:val="a0"/>
        <w:numPr>
          <w:ilvl w:val="0"/>
          <w:numId w:val="62"/>
        </w:numPr>
      </w:pPr>
      <w:r w:rsidRPr="002B3F36">
        <w:rPr>
          <w:b/>
        </w:rPr>
        <w:t>Protection</w:t>
      </w:r>
      <w:r w:rsidRPr="002B3F36">
        <w:rPr>
          <w:b/>
          <w:spacing w:val="-8"/>
        </w:rPr>
        <w:t xml:space="preserve"> </w:t>
      </w:r>
      <w:r w:rsidRPr="002B3F36">
        <w:rPr>
          <w:b/>
        </w:rPr>
        <w:t>of</w:t>
      </w:r>
      <w:r w:rsidRPr="002B3F36">
        <w:rPr>
          <w:b/>
          <w:spacing w:val="-8"/>
        </w:rPr>
        <w:t xml:space="preserve"> </w:t>
      </w:r>
      <w:r w:rsidRPr="002B3F36">
        <w:rPr>
          <w:b/>
        </w:rPr>
        <w:t>livestock</w:t>
      </w:r>
      <w:r w:rsidRPr="002B3F36">
        <w:rPr>
          <w:b/>
          <w:spacing w:val="-4"/>
        </w:rPr>
        <w:t xml:space="preserve"> </w:t>
      </w:r>
      <w:r w:rsidRPr="002B3F36">
        <w:t>from</w:t>
      </w:r>
      <w:r w:rsidRPr="002B3F36">
        <w:rPr>
          <w:spacing w:val="-9"/>
        </w:rPr>
        <w:t xml:space="preserve"> </w:t>
      </w:r>
      <w:r w:rsidRPr="002B3F36">
        <w:t>the</w:t>
      </w:r>
      <w:r w:rsidRPr="002B3F36">
        <w:rPr>
          <w:spacing w:val="-8"/>
        </w:rPr>
        <w:t xml:space="preserve"> </w:t>
      </w:r>
      <w:r w:rsidRPr="002B3F36">
        <w:t>Projects</w:t>
      </w:r>
      <w:r w:rsidRPr="002B3F36">
        <w:rPr>
          <w:spacing w:val="-7"/>
        </w:rPr>
        <w:t xml:space="preserve"> </w:t>
      </w:r>
      <w:r w:rsidRPr="002B3F36">
        <w:t>construction</w:t>
      </w:r>
      <w:r w:rsidRPr="002B3F36">
        <w:rPr>
          <w:spacing w:val="-8"/>
        </w:rPr>
        <w:t xml:space="preserve"> </w:t>
      </w:r>
      <w:r w:rsidRPr="002B3F36">
        <w:rPr>
          <w:spacing w:val="-2"/>
        </w:rPr>
        <w:t>activities.</w:t>
      </w:r>
    </w:p>
    <w:p w14:paraId="22B56E41" w14:textId="77777777" w:rsidR="00F61F8E" w:rsidRPr="002B3F36" w:rsidRDefault="000F264B" w:rsidP="009B4CDB">
      <w:pPr>
        <w:pStyle w:val="a0"/>
        <w:numPr>
          <w:ilvl w:val="0"/>
          <w:numId w:val="62"/>
        </w:numPr>
      </w:pPr>
      <w:r w:rsidRPr="002B3F36">
        <w:rPr>
          <w:b/>
        </w:rPr>
        <w:t>Nuisance</w:t>
      </w:r>
      <w:r w:rsidRPr="002B3F36">
        <w:rPr>
          <w:b/>
          <w:spacing w:val="-5"/>
        </w:rPr>
        <w:t xml:space="preserve"> </w:t>
      </w:r>
      <w:r w:rsidRPr="002B3F36">
        <w:rPr>
          <w:b/>
        </w:rPr>
        <w:t>impacts</w:t>
      </w:r>
      <w:r w:rsidRPr="002B3F36">
        <w:rPr>
          <w:b/>
          <w:spacing w:val="-6"/>
        </w:rPr>
        <w:t xml:space="preserve"> </w:t>
      </w:r>
      <w:r w:rsidRPr="002B3F36">
        <w:t>during</w:t>
      </w:r>
      <w:r w:rsidRPr="002B3F36">
        <w:rPr>
          <w:spacing w:val="-5"/>
        </w:rPr>
        <w:t xml:space="preserve"> </w:t>
      </w:r>
      <w:r w:rsidRPr="002B3F36">
        <w:t>construction</w:t>
      </w:r>
      <w:r w:rsidRPr="002B3F36">
        <w:rPr>
          <w:spacing w:val="-5"/>
        </w:rPr>
        <w:t xml:space="preserve"> </w:t>
      </w:r>
      <w:r w:rsidRPr="002B3F36">
        <w:t>and</w:t>
      </w:r>
      <w:r w:rsidRPr="002B3F36">
        <w:rPr>
          <w:spacing w:val="-4"/>
        </w:rPr>
        <w:t xml:space="preserve"> </w:t>
      </w:r>
      <w:r w:rsidRPr="002B3F36">
        <w:t>operation</w:t>
      </w:r>
      <w:r w:rsidRPr="002B3F36">
        <w:rPr>
          <w:spacing w:val="-5"/>
        </w:rPr>
        <w:t xml:space="preserve"> </w:t>
      </w:r>
      <w:r w:rsidRPr="002B3F36">
        <w:t>of</w:t>
      </w:r>
      <w:r w:rsidRPr="002B3F36">
        <w:rPr>
          <w:spacing w:val="-4"/>
        </w:rPr>
        <w:t xml:space="preserve"> </w:t>
      </w:r>
      <w:r w:rsidRPr="002B3F36">
        <w:t>the</w:t>
      </w:r>
      <w:r w:rsidRPr="002B3F36">
        <w:rPr>
          <w:spacing w:val="-7"/>
        </w:rPr>
        <w:t xml:space="preserve"> </w:t>
      </w:r>
      <w:r w:rsidRPr="002B3F36">
        <w:t>railway and</w:t>
      </w:r>
      <w:r w:rsidRPr="002B3F36">
        <w:rPr>
          <w:spacing w:val="-5"/>
        </w:rPr>
        <w:t xml:space="preserve"> </w:t>
      </w:r>
      <w:r w:rsidRPr="002B3F36">
        <w:t>the</w:t>
      </w:r>
      <w:r w:rsidRPr="002B3F36">
        <w:rPr>
          <w:spacing w:val="-7"/>
        </w:rPr>
        <w:t xml:space="preserve"> </w:t>
      </w:r>
      <w:r w:rsidRPr="002B3F36">
        <w:t>need</w:t>
      </w:r>
      <w:r w:rsidRPr="002B3F36">
        <w:rPr>
          <w:spacing w:val="-5"/>
        </w:rPr>
        <w:t xml:space="preserve"> </w:t>
      </w:r>
      <w:r w:rsidRPr="002B3F36">
        <w:t>for measures such as noise barriers.</w:t>
      </w:r>
    </w:p>
    <w:p w14:paraId="25538450" w14:textId="77777777" w:rsidR="00F61F8E" w:rsidRPr="002B3F36" w:rsidRDefault="000F264B" w:rsidP="009B4CDB">
      <w:pPr>
        <w:pStyle w:val="a0"/>
        <w:numPr>
          <w:ilvl w:val="0"/>
          <w:numId w:val="62"/>
        </w:numPr>
      </w:pPr>
      <w:r w:rsidRPr="002B3F36">
        <w:rPr>
          <w:b/>
        </w:rPr>
        <w:t>Loss</w:t>
      </w:r>
      <w:r w:rsidRPr="002B3F36">
        <w:rPr>
          <w:b/>
          <w:spacing w:val="-5"/>
        </w:rPr>
        <w:t xml:space="preserve"> </w:t>
      </w:r>
      <w:r w:rsidRPr="002B3F36">
        <w:rPr>
          <w:b/>
        </w:rPr>
        <w:t>of</w:t>
      </w:r>
      <w:r w:rsidRPr="002B3F36">
        <w:rPr>
          <w:b/>
          <w:spacing w:val="-4"/>
        </w:rPr>
        <w:t xml:space="preserve"> </w:t>
      </w:r>
      <w:r w:rsidRPr="002B3F36">
        <w:rPr>
          <w:b/>
        </w:rPr>
        <w:t>access</w:t>
      </w:r>
      <w:r w:rsidRPr="002B3F36">
        <w:rPr>
          <w:b/>
          <w:spacing w:val="-7"/>
        </w:rPr>
        <w:t xml:space="preserve"> </w:t>
      </w:r>
      <w:r w:rsidRPr="002B3F36">
        <w:rPr>
          <w:b/>
        </w:rPr>
        <w:t>to</w:t>
      </w:r>
      <w:r w:rsidRPr="002B3F36">
        <w:rPr>
          <w:b/>
          <w:spacing w:val="-3"/>
        </w:rPr>
        <w:t xml:space="preserve"> </w:t>
      </w:r>
      <w:r w:rsidRPr="002B3F36">
        <w:rPr>
          <w:b/>
        </w:rPr>
        <w:t xml:space="preserve">land </w:t>
      </w:r>
      <w:r w:rsidRPr="002B3F36">
        <w:t>due</w:t>
      </w:r>
      <w:r w:rsidRPr="002B3F36">
        <w:rPr>
          <w:spacing w:val="-7"/>
        </w:rPr>
        <w:t xml:space="preserve"> </w:t>
      </w:r>
      <w:r w:rsidRPr="002B3F36">
        <w:t>to</w:t>
      </w:r>
      <w:r w:rsidRPr="002B3F36">
        <w:rPr>
          <w:spacing w:val="-3"/>
        </w:rPr>
        <w:t xml:space="preserve"> </w:t>
      </w:r>
      <w:r w:rsidRPr="002B3F36">
        <w:t>the</w:t>
      </w:r>
      <w:r w:rsidRPr="002B3F36">
        <w:rPr>
          <w:spacing w:val="-7"/>
        </w:rPr>
        <w:t xml:space="preserve"> </w:t>
      </w:r>
      <w:r w:rsidRPr="002B3F36">
        <w:t>fragmentation</w:t>
      </w:r>
      <w:r w:rsidRPr="002B3F36">
        <w:rPr>
          <w:spacing w:val="-4"/>
        </w:rPr>
        <w:t xml:space="preserve"> </w:t>
      </w:r>
      <w:r w:rsidRPr="002B3F36">
        <w:t>of</w:t>
      </w:r>
      <w:r w:rsidRPr="002B3F36">
        <w:rPr>
          <w:spacing w:val="-7"/>
        </w:rPr>
        <w:t xml:space="preserve"> </w:t>
      </w:r>
      <w:r w:rsidRPr="002B3F36">
        <w:t>the</w:t>
      </w:r>
      <w:r w:rsidRPr="002B3F36">
        <w:rPr>
          <w:spacing w:val="-6"/>
        </w:rPr>
        <w:t xml:space="preserve"> </w:t>
      </w:r>
      <w:r w:rsidRPr="002B3F36">
        <w:t>land</w:t>
      </w:r>
      <w:r w:rsidRPr="002B3F36">
        <w:rPr>
          <w:spacing w:val="-5"/>
        </w:rPr>
        <w:t xml:space="preserve"> </w:t>
      </w:r>
      <w:r w:rsidRPr="002B3F36">
        <w:rPr>
          <w:spacing w:val="-2"/>
        </w:rPr>
        <w:t>plots.</w:t>
      </w:r>
    </w:p>
    <w:p w14:paraId="1007BC98" w14:textId="77777777" w:rsidR="00F61F8E" w:rsidRPr="002B3F36" w:rsidRDefault="00F61F8E">
      <w:pPr>
        <w:pStyle w:val="ReportBodyPar"/>
      </w:pPr>
      <w:bookmarkStart w:id="1737" w:name="_bookmark90"/>
      <w:bookmarkStart w:id="1738" w:name="_bookmark92"/>
      <w:bookmarkEnd w:id="1737"/>
      <w:bookmarkEnd w:id="1738"/>
    </w:p>
    <w:p w14:paraId="13DACA4B" w14:textId="77777777" w:rsidR="00F61F8E" w:rsidRPr="002B3F36" w:rsidRDefault="000F264B">
      <w:pPr>
        <w:pStyle w:val="20"/>
      </w:pPr>
      <w:bookmarkStart w:id="1739" w:name="_bookmark95"/>
      <w:bookmarkStart w:id="1740" w:name="_Toc208973782"/>
      <w:bookmarkStart w:id="1741" w:name="_Toc208973982"/>
      <w:bookmarkStart w:id="1742" w:name="_Toc208974182"/>
      <w:bookmarkStart w:id="1743" w:name="_Toc208974384"/>
      <w:bookmarkStart w:id="1744" w:name="_Toc208974592"/>
      <w:bookmarkStart w:id="1745" w:name="_Toc210589438"/>
      <w:bookmarkEnd w:id="1739"/>
      <w:r w:rsidRPr="002B3F36">
        <w:t>Stakeholder</w:t>
      </w:r>
      <w:r w:rsidRPr="002B3F36">
        <w:rPr>
          <w:spacing w:val="23"/>
        </w:rPr>
        <w:t xml:space="preserve"> </w:t>
      </w:r>
      <w:r w:rsidRPr="002B3F36">
        <w:t>Identification</w:t>
      </w:r>
      <w:r w:rsidRPr="002B3F36">
        <w:rPr>
          <w:spacing w:val="28"/>
        </w:rPr>
        <w:t xml:space="preserve"> </w:t>
      </w:r>
      <w:r w:rsidRPr="002B3F36">
        <w:t>and</w:t>
      </w:r>
      <w:r w:rsidRPr="002B3F36">
        <w:rPr>
          <w:spacing w:val="25"/>
        </w:rPr>
        <w:t xml:space="preserve"> </w:t>
      </w:r>
      <w:r w:rsidRPr="002B3F36">
        <w:rPr>
          <w:spacing w:val="-2"/>
        </w:rPr>
        <w:t>Categorisation</w:t>
      </w:r>
      <w:bookmarkEnd w:id="1740"/>
      <w:bookmarkEnd w:id="1741"/>
      <w:bookmarkEnd w:id="1742"/>
      <w:bookmarkEnd w:id="1743"/>
      <w:bookmarkEnd w:id="1744"/>
      <w:bookmarkEnd w:id="1745"/>
    </w:p>
    <w:p w14:paraId="4B8F6621" w14:textId="77777777" w:rsidR="00F61F8E" w:rsidRPr="002B3F36" w:rsidRDefault="000F264B">
      <w:pPr>
        <w:pStyle w:val="a5"/>
        <w:spacing w:before="92"/>
        <w:ind w:left="145"/>
        <w:jc w:val="both"/>
        <w:rPr>
          <w:rFonts w:ascii="Arial" w:hAnsi="Arial" w:cs="Arial"/>
          <w:sz w:val="24"/>
          <w:szCs w:val="24"/>
        </w:rPr>
      </w:pPr>
      <w:r w:rsidRPr="002B3F36">
        <w:rPr>
          <w:rFonts w:ascii="Arial" w:hAnsi="Arial" w:cs="Arial"/>
          <w:sz w:val="24"/>
          <w:szCs w:val="24"/>
        </w:rPr>
        <w:t>Stakeholders</w:t>
      </w:r>
      <w:r w:rsidRPr="002B3F36">
        <w:rPr>
          <w:rFonts w:ascii="Arial" w:hAnsi="Arial" w:cs="Arial"/>
          <w:spacing w:val="-10"/>
          <w:sz w:val="24"/>
          <w:szCs w:val="24"/>
        </w:rPr>
        <w:t xml:space="preserve"> </w:t>
      </w:r>
      <w:r w:rsidRPr="002B3F36">
        <w:rPr>
          <w:rFonts w:ascii="Arial" w:hAnsi="Arial" w:cs="Arial"/>
          <w:sz w:val="24"/>
          <w:szCs w:val="24"/>
        </w:rPr>
        <w:t>are</w:t>
      </w:r>
      <w:r w:rsidRPr="002B3F36">
        <w:rPr>
          <w:rFonts w:ascii="Arial" w:hAnsi="Arial" w:cs="Arial"/>
          <w:spacing w:val="-7"/>
          <w:sz w:val="24"/>
          <w:szCs w:val="24"/>
        </w:rPr>
        <w:t xml:space="preserve"> </w:t>
      </w:r>
      <w:r w:rsidRPr="002B3F36">
        <w:rPr>
          <w:rFonts w:ascii="Arial" w:hAnsi="Arial" w:cs="Arial"/>
          <w:sz w:val="24"/>
          <w:szCs w:val="24"/>
        </w:rPr>
        <w:t>divided</w:t>
      </w:r>
      <w:r w:rsidRPr="002B3F36">
        <w:rPr>
          <w:rFonts w:ascii="Arial" w:hAnsi="Arial" w:cs="Arial"/>
          <w:spacing w:val="-7"/>
          <w:sz w:val="24"/>
          <w:szCs w:val="24"/>
        </w:rPr>
        <w:t xml:space="preserve"> </w:t>
      </w:r>
      <w:r w:rsidRPr="002B3F36">
        <w:rPr>
          <w:rFonts w:ascii="Arial" w:hAnsi="Arial" w:cs="Arial"/>
          <w:sz w:val="24"/>
          <w:szCs w:val="24"/>
        </w:rPr>
        <w:t>into</w:t>
      </w:r>
      <w:r w:rsidRPr="002B3F36">
        <w:rPr>
          <w:rFonts w:ascii="Arial" w:hAnsi="Arial" w:cs="Arial"/>
          <w:spacing w:val="-9"/>
          <w:sz w:val="24"/>
          <w:szCs w:val="24"/>
        </w:rPr>
        <w:t xml:space="preserve"> </w:t>
      </w:r>
      <w:r w:rsidRPr="002B3F36">
        <w:rPr>
          <w:rFonts w:ascii="Arial" w:hAnsi="Arial" w:cs="Arial"/>
          <w:sz w:val="24"/>
          <w:szCs w:val="24"/>
        </w:rPr>
        <w:t>those</w:t>
      </w:r>
      <w:r w:rsidRPr="002B3F36">
        <w:rPr>
          <w:rFonts w:ascii="Arial" w:hAnsi="Arial" w:cs="Arial"/>
          <w:spacing w:val="-9"/>
          <w:sz w:val="24"/>
          <w:szCs w:val="24"/>
        </w:rPr>
        <w:t xml:space="preserve"> </w:t>
      </w:r>
      <w:r w:rsidRPr="002B3F36">
        <w:rPr>
          <w:rFonts w:ascii="Arial" w:hAnsi="Arial" w:cs="Arial"/>
          <w:spacing w:val="-4"/>
          <w:sz w:val="24"/>
          <w:szCs w:val="24"/>
        </w:rPr>
        <w:t>who:</w:t>
      </w:r>
    </w:p>
    <w:p w14:paraId="574DD362" w14:textId="77777777" w:rsidR="00F61F8E" w:rsidRPr="002B3F36" w:rsidRDefault="000F264B" w:rsidP="009B4CDB">
      <w:pPr>
        <w:pStyle w:val="a0"/>
        <w:numPr>
          <w:ilvl w:val="0"/>
          <w:numId w:val="61"/>
        </w:numPr>
      </w:pPr>
      <w:r w:rsidRPr="002B3F36">
        <w:t>Are</w:t>
      </w:r>
      <w:r w:rsidRPr="002B3F36">
        <w:rPr>
          <w:spacing w:val="-4"/>
        </w:rPr>
        <w:t xml:space="preserve"> </w:t>
      </w:r>
      <w:r w:rsidRPr="002B3F36">
        <w:t>most</w:t>
      </w:r>
      <w:r w:rsidRPr="002B3F36">
        <w:rPr>
          <w:spacing w:val="-4"/>
        </w:rPr>
        <w:t xml:space="preserve"> </w:t>
      </w:r>
      <w:r w:rsidRPr="002B3F36">
        <w:t>likely</w:t>
      </w:r>
      <w:r w:rsidRPr="002B3F36">
        <w:rPr>
          <w:spacing w:val="-4"/>
        </w:rPr>
        <w:t xml:space="preserve"> </w:t>
      </w:r>
      <w:r w:rsidRPr="002B3F36">
        <w:t>to</w:t>
      </w:r>
      <w:r w:rsidRPr="002B3F36">
        <w:rPr>
          <w:spacing w:val="-2"/>
        </w:rPr>
        <w:t xml:space="preserve"> </w:t>
      </w:r>
      <w:r w:rsidRPr="002B3F36">
        <w:t>experience,</w:t>
      </w:r>
      <w:r w:rsidRPr="002B3F36">
        <w:rPr>
          <w:spacing w:val="-5"/>
        </w:rPr>
        <w:t xml:space="preserve"> </w:t>
      </w:r>
      <w:r w:rsidRPr="002B3F36">
        <w:t>potential</w:t>
      </w:r>
      <w:r w:rsidRPr="002B3F36">
        <w:rPr>
          <w:spacing w:val="-3"/>
        </w:rPr>
        <w:t xml:space="preserve"> </w:t>
      </w:r>
      <w:r w:rsidRPr="002B3F36">
        <w:t>negative</w:t>
      </w:r>
      <w:r w:rsidRPr="002B3F36">
        <w:rPr>
          <w:spacing w:val="-5"/>
        </w:rPr>
        <w:t xml:space="preserve"> </w:t>
      </w:r>
      <w:r w:rsidRPr="002B3F36">
        <w:t>and/or</w:t>
      </w:r>
      <w:r w:rsidRPr="002B3F36">
        <w:rPr>
          <w:spacing w:val="-5"/>
        </w:rPr>
        <w:t xml:space="preserve"> </w:t>
      </w:r>
      <w:r w:rsidRPr="002B3F36">
        <w:t>positive</w:t>
      </w:r>
      <w:r w:rsidRPr="002B3F36">
        <w:rPr>
          <w:spacing w:val="-5"/>
        </w:rPr>
        <w:t xml:space="preserve"> </w:t>
      </w:r>
      <w:r w:rsidRPr="002B3F36">
        <w:t>impacts</w:t>
      </w:r>
      <w:r w:rsidRPr="002B3F36">
        <w:rPr>
          <w:spacing w:val="-5"/>
        </w:rPr>
        <w:t xml:space="preserve"> </w:t>
      </w:r>
      <w:r w:rsidRPr="002B3F36">
        <w:t>resulting</w:t>
      </w:r>
      <w:r w:rsidRPr="002B3F36">
        <w:rPr>
          <w:spacing w:val="-3"/>
        </w:rPr>
        <w:t xml:space="preserve"> </w:t>
      </w:r>
      <w:r w:rsidRPr="002B3F36">
        <w:t>from</w:t>
      </w:r>
      <w:r w:rsidRPr="002B3F36">
        <w:rPr>
          <w:spacing w:val="-4"/>
        </w:rPr>
        <w:t xml:space="preserve"> </w:t>
      </w:r>
      <w:r w:rsidRPr="002B3F36">
        <w:t xml:space="preserve">the </w:t>
      </w:r>
      <w:r w:rsidRPr="002B3F36">
        <w:rPr>
          <w:spacing w:val="-2"/>
        </w:rPr>
        <w:t>Project;</w:t>
      </w:r>
    </w:p>
    <w:p w14:paraId="5FB336CF" w14:textId="77777777" w:rsidR="00F61F8E" w:rsidRPr="002B3F36" w:rsidRDefault="000F264B" w:rsidP="009B4CDB">
      <w:pPr>
        <w:pStyle w:val="a0"/>
        <w:numPr>
          <w:ilvl w:val="0"/>
          <w:numId w:val="61"/>
        </w:numPr>
      </w:pPr>
      <w:r w:rsidRPr="002B3F36">
        <w:t>Have</w:t>
      </w:r>
      <w:r w:rsidRPr="002B3F36">
        <w:rPr>
          <w:spacing w:val="-4"/>
        </w:rPr>
        <w:t xml:space="preserve"> </w:t>
      </w:r>
      <w:r w:rsidRPr="002B3F36">
        <w:t>an</w:t>
      </w:r>
      <w:r w:rsidRPr="002B3F36">
        <w:rPr>
          <w:spacing w:val="-4"/>
        </w:rPr>
        <w:t xml:space="preserve"> </w:t>
      </w:r>
      <w:r w:rsidRPr="002B3F36">
        <w:t>interest</w:t>
      </w:r>
      <w:r w:rsidRPr="002B3F36">
        <w:rPr>
          <w:spacing w:val="-2"/>
        </w:rPr>
        <w:t xml:space="preserve"> </w:t>
      </w:r>
      <w:r w:rsidRPr="002B3F36">
        <w:t>for</w:t>
      </w:r>
      <w:r w:rsidRPr="002B3F36">
        <w:rPr>
          <w:spacing w:val="-6"/>
        </w:rPr>
        <w:t xml:space="preserve"> </w:t>
      </w:r>
      <w:r w:rsidRPr="002B3F36">
        <w:t>the</w:t>
      </w:r>
      <w:r w:rsidRPr="002B3F36">
        <w:rPr>
          <w:spacing w:val="-4"/>
        </w:rPr>
        <w:t xml:space="preserve"> </w:t>
      </w:r>
      <w:r w:rsidRPr="002B3F36">
        <w:t>various</w:t>
      </w:r>
      <w:r w:rsidRPr="002B3F36">
        <w:rPr>
          <w:spacing w:val="-3"/>
        </w:rPr>
        <w:t xml:space="preserve"> </w:t>
      </w:r>
      <w:r w:rsidRPr="002B3F36">
        <w:t>elements</w:t>
      </w:r>
      <w:r w:rsidRPr="002B3F36">
        <w:rPr>
          <w:spacing w:val="-3"/>
        </w:rPr>
        <w:t xml:space="preserve"> </w:t>
      </w:r>
      <w:r w:rsidRPr="002B3F36">
        <w:t>of</w:t>
      </w:r>
      <w:r w:rsidRPr="002B3F36">
        <w:rPr>
          <w:spacing w:val="-6"/>
        </w:rPr>
        <w:t xml:space="preserve"> </w:t>
      </w:r>
      <w:r w:rsidRPr="002B3F36">
        <w:t>the</w:t>
      </w:r>
      <w:r w:rsidRPr="002B3F36">
        <w:rPr>
          <w:spacing w:val="-4"/>
        </w:rPr>
        <w:t xml:space="preserve"> </w:t>
      </w:r>
      <w:r w:rsidRPr="002B3F36">
        <w:t>Project’s</w:t>
      </w:r>
      <w:r w:rsidRPr="002B3F36">
        <w:rPr>
          <w:spacing w:val="-6"/>
        </w:rPr>
        <w:t xml:space="preserve"> </w:t>
      </w:r>
      <w:r w:rsidRPr="002B3F36">
        <w:t>activities</w:t>
      </w:r>
      <w:r w:rsidRPr="002B3F36">
        <w:rPr>
          <w:spacing w:val="-6"/>
        </w:rPr>
        <w:t xml:space="preserve"> </w:t>
      </w:r>
      <w:r w:rsidRPr="002B3F36">
        <w:t>(such</w:t>
      </w:r>
      <w:r w:rsidRPr="002B3F36">
        <w:rPr>
          <w:spacing w:val="-4"/>
        </w:rPr>
        <w:t xml:space="preserve"> </w:t>
      </w:r>
      <w:r w:rsidRPr="002B3F36">
        <w:t>as</w:t>
      </w:r>
      <w:r w:rsidRPr="002B3F36">
        <w:rPr>
          <w:spacing w:val="-5"/>
        </w:rPr>
        <w:t xml:space="preserve"> </w:t>
      </w:r>
      <w:r w:rsidRPr="002B3F36">
        <w:t>national</w:t>
      </w:r>
      <w:r w:rsidRPr="002B3F36">
        <w:rPr>
          <w:spacing w:val="-4"/>
        </w:rPr>
        <w:t xml:space="preserve"> </w:t>
      </w:r>
      <w:r w:rsidRPr="002B3F36">
        <w:t>or local</w:t>
      </w:r>
      <w:r w:rsidRPr="002B3F36">
        <w:rPr>
          <w:spacing w:val="-2"/>
        </w:rPr>
        <w:t xml:space="preserve"> </w:t>
      </w:r>
      <w:r w:rsidRPr="002B3F36">
        <w:t>government</w:t>
      </w:r>
      <w:r w:rsidRPr="002B3F36">
        <w:rPr>
          <w:spacing w:val="-1"/>
        </w:rPr>
        <w:t xml:space="preserve"> </w:t>
      </w:r>
      <w:r w:rsidRPr="002B3F36">
        <w:t>authorities,</w:t>
      </w:r>
      <w:r w:rsidRPr="002B3F36">
        <w:rPr>
          <w:spacing w:val="-3"/>
        </w:rPr>
        <w:t xml:space="preserve"> </w:t>
      </w:r>
      <w:r w:rsidRPr="002B3F36">
        <w:t>civil society organisations,</w:t>
      </w:r>
      <w:r w:rsidRPr="002B3F36">
        <w:rPr>
          <w:spacing w:val="-1"/>
        </w:rPr>
        <w:t xml:space="preserve"> </w:t>
      </w:r>
      <w:r w:rsidRPr="002B3F36">
        <w:t>NGOs and</w:t>
      </w:r>
      <w:r w:rsidRPr="002B3F36">
        <w:rPr>
          <w:spacing w:val="-1"/>
        </w:rPr>
        <w:t xml:space="preserve"> </w:t>
      </w:r>
      <w:r w:rsidRPr="002B3F36">
        <w:t>groups</w:t>
      </w:r>
      <w:r w:rsidRPr="002B3F36">
        <w:rPr>
          <w:spacing w:val="-3"/>
        </w:rPr>
        <w:t xml:space="preserve"> </w:t>
      </w:r>
      <w:r w:rsidRPr="002B3F36">
        <w:t>with</w:t>
      </w:r>
      <w:r w:rsidRPr="002B3F36">
        <w:rPr>
          <w:spacing w:val="-1"/>
        </w:rPr>
        <w:t xml:space="preserve"> </w:t>
      </w:r>
      <w:r w:rsidRPr="002B3F36">
        <w:t>special interests, the academic community, or other businesses, etc.); and</w:t>
      </w:r>
    </w:p>
    <w:p w14:paraId="794A85BA" w14:textId="77777777" w:rsidR="00F61F8E" w:rsidRPr="002B3F36" w:rsidRDefault="000F264B" w:rsidP="009B4CDB">
      <w:pPr>
        <w:pStyle w:val="a0"/>
        <w:numPr>
          <w:ilvl w:val="0"/>
          <w:numId w:val="61"/>
        </w:numPr>
      </w:pPr>
      <w:r w:rsidRPr="002B3F36">
        <w:t>Are</w:t>
      </w:r>
      <w:r w:rsidRPr="002B3F36">
        <w:rPr>
          <w:spacing w:val="-9"/>
        </w:rPr>
        <w:t xml:space="preserve"> </w:t>
      </w:r>
      <w:r w:rsidRPr="002B3F36">
        <w:t>considered</w:t>
      </w:r>
      <w:r w:rsidRPr="002B3F36">
        <w:rPr>
          <w:spacing w:val="-5"/>
        </w:rPr>
        <w:t xml:space="preserve"> </w:t>
      </w:r>
      <w:r w:rsidRPr="002B3F36">
        <w:t>vulnerable</w:t>
      </w:r>
      <w:r w:rsidRPr="002B3F36">
        <w:rPr>
          <w:spacing w:val="-9"/>
        </w:rPr>
        <w:t xml:space="preserve"> </w:t>
      </w:r>
      <w:r w:rsidRPr="002B3F36">
        <w:t>members</w:t>
      </w:r>
      <w:r w:rsidRPr="002B3F36">
        <w:rPr>
          <w:spacing w:val="-7"/>
        </w:rPr>
        <w:t xml:space="preserve"> </w:t>
      </w:r>
      <w:r w:rsidRPr="002B3F36">
        <w:t>of</w:t>
      </w:r>
      <w:r w:rsidRPr="002B3F36">
        <w:rPr>
          <w:spacing w:val="-6"/>
        </w:rPr>
        <w:t xml:space="preserve"> </w:t>
      </w:r>
      <w:r w:rsidRPr="002B3F36">
        <w:t>the</w:t>
      </w:r>
      <w:r w:rsidRPr="002B3F36">
        <w:rPr>
          <w:spacing w:val="-8"/>
        </w:rPr>
        <w:t xml:space="preserve"> </w:t>
      </w:r>
      <w:r w:rsidRPr="002B3F36">
        <w:t>community</w:t>
      </w:r>
      <w:r w:rsidRPr="002B3F36">
        <w:rPr>
          <w:spacing w:val="-8"/>
        </w:rPr>
        <w:t xml:space="preserve"> </w:t>
      </w:r>
      <w:r w:rsidRPr="002B3F36">
        <w:t>within</w:t>
      </w:r>
      <w:r w:rsidRPr="002B3F36">
        <w:rPr>
          <w:spacing w:val="-7"/>
        </w:rPr>
        <w:t xml:space="preserve"> </w:t>
      </w:r>
      <w:r w:rsidRPr="002B3F36">
        <w:t>the</w:t>
      </w:r>
      <w:r w:rsidRPr="002B3F36">
        <w:rPr>
          <w:spacing w:val="-10"/>
        </w:rPr>
        <w:t xml:space="preserve"> </w:t>
      </w:r>
      <w:r w:rsidRPr="002B3F36">
        <w:t>proposed</w:t>
      </w:r>
      <w:r w:rsidRPr="002B3F36">
        <w:rPr>
          <w:spacing w:val="-6"/>
        </w:rPr>
        <w:t xml:space="preserve"> </w:t>
      </w:r>
      <w:r w:rsidRPr="002B3F36">
        <w:t>Project</w:t>
      </w:r>
      <w:r w:rsidRPr="002B3F36">
        <w:rPr>
          <w:spacing w:val="-6"/>
        </w:rPr>
        <w:t xml:space="preserve"> </w:t>
      </w:r>
      <w:r w:rsidRPr="002B3F36">
        <w:rPr>
          <w:spacing w:val="-2"/>
        </w:rPr>
        <w:t>area.</w:t>
      </w:r>
    </w:p>
    <w:p w14:paraId="3AF92B4E" w14:textId="77777777" w:rsidR="00F61F8E" w:rsidRPr="002B3F36" w:rsidRDefault="000F264B">
      <w:pPr>
        <w:pStyle w:val="a5"/>
        <w:spacing w:before="119" w:line="300" w:lineRule="auto"/>
        <w:ind w:left="145" w:right="57"/>
        <w:jc w:val="both"/>
        <w:rPr>
          <w:rFonts w:ascii="Arial" w:hAnsi="Arial" w:cs="Arial"/>
          <w:sz w:val="24"/>
          <w:szCs w:val="24"/>
        </w:rPr>
      </w:pPr>
      <w:r w:rsidRPr="002B3F36">
        <w:rPr>
          <w:rFonts w:ascii="Arial" w:hAnsi="Arial" w:cs="Arial"/>
          <w:sz w:val="24"/>
          <w:szCs w:val="24"/>
        </w:rPr>
        <w:t>With</w:t>
      </w:r>
      <w:r w:rsidRPr="002B3F36">
        <w:rPr>
          <w:rFonts w:ascii="Arial" w:hAnsi="Arial" w:cs="Arial"/>
          <w:spacing w:val="-5"/>
          <w:sz w:val="24"/>
          <w:szCs w:val="24"/>
        </w:rPr>
        <w:t xml:space="preserve"> </w:t>
      </w:r>
      <w:r w:rsidRPr="002B3F36">
        <w:rPr>
          <w:rFonts w:ascii="Arial" w:hAnsi="Arial" w:cs="Arial"/>
          <w:sz w:val="24"/>
          <w:szCs w:val="24"/>
        </w:rPr>
        <w:t>these</w:t>
      </w:r>
      <w:r w:rsidRPr="002B3F36">
        <w:rPr>
          <w:rFonts w:ascii="Arial" w:hAnsi="Arial" w:cs="Arial"/>
          <w:spacing w:val="-5"/>
          <w:sz w:val="24"/>
          <w:szCs w:val="24"/>
        </w:rPr>
        <w:t xml:space="preserve"> </w:t>
      </w:r>
      <w:r w:rsidRPr="002B3F36">
        <w:rPr>
          <w:rFonts w:ascii="Arial" w:hAnsi="Arial" w:cs="Arial"/>
          <w:sz w:val="24"/>
          <w:szCs w:val="24"/>
        </w:rPr>
        <w:t>considerations,</w:t>
      </w:r>
      <w:r w:rsidRPr="002B3F36">
        <w:rPr>
          <w:rFonts w:ascii="Arial" w:hAnsi="Arial" w:cs="Arial"/>
          <w:spacing w:val="-6"/>
          <w:sz w:val="24"/>
          <w:szCs w:val="24"/>
        </w:rPr>
        <w:t xml:space="preserve"> </w:t>
      </w:r>
      <w:r w:rsidRPr="002B3F36">
        <w:rPr>
          <w:rFonts w:ascii="Arial" w:hAnsi="Arial" w:cs="Arial"/>
          <w:sz w:val="24"/>
          <w:szCs w:val="24"/>
        </w:rPr>
        <w:t>two</w:t>
      </w:r>
      <w:r w:rsidRPr="002B3F36">
        <w:rPr>
          <w:rFonts w:ascii="Arial" w:hAnsi="Arial" w:cs="Arial"/>
          <w:spacing w:val="-4"/>
          <w:sz w:val="24"/>
          <w:szCs w:val="24"/>
        </w:rPr>
        <w:t xml:space="preserve"> </w:t>
      </w:r>
      <w:r w:rsidRPr="002B3F36">
        <w:rPr>
          <w:rFonts w:ascii="Arial" w:hAnsi="Arial" w:cs="Arial"/>
          <w:sz w:val="24"/>
          <w:szCs w:val="24"/>
        </w:rPr>
        <w:t>(2)</w:t>
      </w:r>
      <w:r w:rsidRPr="002B3F36">
        <w:rPr>
          <w:rFonts w:ascii="Arial" w:hAnsi="Arial" w:cs="Arial"/>
          <w:spacing w:val="-5"/>
          <w:sz w:val="24"/>
          <w:szCs w:val="24"/>
        </w:rPr>
        <w:t xml:space="preserve"> </w:t>
      </w:r>
      <w:r w:rsidRPr="002B3F36">
        <w:rPr>
          <w:rFonts w:ascii="Arial" w:hAnsi="Arial" w:cs="Arial"/>
          <w:sz w:val="24"/>
          <w:szCs w:val="24"/>
        </w:rPr>
        <w:t>principal</w:t>
      </w:r>
      <w:r w:rsidRPr="002B3F36">
        <w:rPr>
          <w:rFonts w:ascii="Arial" w:hAnsi="Arial" w:cs="Arial"/>
          <w:spacing w:val="-3"/>
          <w:sz w:val="24"/>
          <w:szCs w:val="24"/>
        </w:rPr>
        <w:t xml:space="preserve"> </w:t>
      </w:r>
      <w:r w:rsidRPr="002B3F36">
        <w:rPr>
          <w:rFonts w:ascii="Arial" w:hAnsi="Arial" w:cs="Arial"/>
          <w:sz w:val="24"/>
          <w:szCs w:val="24"/>
        </w:rPr>
        <w:t>categories</w:t>
      </w:r>
      <w:r w:rsidRPr="002B3F36">
        <w:rPr>
          <w:rFonts w:ascii="Arial" w:hAnsi="Arial" w:cs="Arial"/>
          <w:spacing w:val="-4"/>
          <w:sz w:val="24"/>
          <w:szCs w:val="24"/>
        </w:rPr>
        <w:t xml:space="preserve"> </w:t>
      </w:r>
      <w:r w:rsidRPr="002B3F36">
        <w:rPr>
          <w:rFonts w:ascii="Arial" w:hAnsi="Arial" w:cs="Arial"/>
          <w:sz w:val="24"/>
          <w:szCs w:val="24"/>
        </w:rPr>
        <w:t>of</w:t>
      </w:r>
      <w:r w:rsidRPr="002B3F36">
        <w:rPr>
          <w:rFonts w:ascii="Arial" w:hAnsi="Arial" w:cs="Arial"/>
          <w:spacing w:val="-4"/>
          <w:sz w:val="24"/>
          <w:szCs w:val="24"/>
        </w:rPr>
        <w:t xml:space="preserve"> </w:t>
      </w:r>
      <w:r w:rsidRPr="002B3F36">
        <w:rPr>
          <w:rFonts w:ascii="Arial" w:hAnsi="Arial" w:cs="Arial"/>
          <w:sz w:val="24"/>
          <w:szCs w:val="24"/>
        </w:rPr>
        <w:t>stakeholders</w:t>
      </w:r>
      <w:r w:rsidRPr="002B3F36">
        <w:rPr>
          <w:rFonts w:ascii="Arial" w:hAnsi="Arial" w:cs="Arial"/>
          <w:spacing w:val="-2"/>
          <w:sz w:val="24"/>
          <w:szCs w:val="24"/>
        </w:rPr>
        <w:t xml:space="preserve"> </w:t>
      </w:r>
      <w:r w:rsidRPr="002B3F36">
        <w:rPr>
          <w:rFonts w:ascii="Arial" w:hAnsi="Arial" w:cs="Arial"/>
          <w:sz w:val="24"/>
          <w:szCs w:val="24"/>
        </w:rPr>
        <w:t>are</w:t>
      </w:r>
      <w:r w:rsidRPr="002B3F36">
        <w:rPr>
          <w:rFonts w:ascii="Arial" w:hAnsi="Arial" w:cs="Arial"/>
          <w:spacing w:val="-5"/>
          <w:sz w:val="24"/>
          <w:szCs w:val="24"/>
        </w:rPr>
        <w:t xml:space="preserve"> </w:t>
      </w:r>
      <w:r w:rsidRPr="002B3F36">
        <w:rPr>
          <w:rFonts w:ascii="Arial" w:hAnsi="Arial" w:cs="Arial"/>
          <w:sz w:val="24"/>
          <w:szCs w:val="24"/>
        </w:rPr>
        <w:t>initially</w:t>
      </w:r>
      <w:r w:rsidRPr="002B3F36">
        <w:rPr>
          <w:rFonts w:ascii="Arial" w:hAnsi="Arial" w:cs="Arial"/>
          <w:spacing w:val="-5"/>
          <w:sz w:val="24"/>
          <w:szCs w:val="24"/>
        </w:rPr>
        <w:t xml:space="preserve"> </w:t>
      </w:r>
      <w:r w:rsidRPr="002B3F36">
        <w:rPr>
          <w:rFonts w:ascii="Arial" w:hAnsi="Arial" w:cs="Arial"/>
          <w:sz w:val="24"/>
          <w:szCs w:val="24"/>
        </w:rPr>
        <w:t>identified</w:t>
      </w:r>
      <w:r w:rsidRPr="002B3F36">
        <w:rPr>
          <w:rFonts w:ascii="Arial" w:hAnsi="Arial" w:cs="Arial"/>
          <w:spacing w:val="-5"/>
          <w:sz w:val="24"/>
          <w:szCs w:val="24"/>
        </w:rPr>
        <w:t xml:space="preserve"> </w:t>
      </w:r>
      <w:r w:rsidRPr="002B3F36">
        <w:rPr>
          <w:rFonts w:ascii="Arial" w:hAnsi="Arial" w:cs="Arial"/>
          <w:sz w:val="24"/>
          <w:szCs w:val="24"/>
        </w:rPr>
        <w:t xml:space="preserve">as </w:t>
      </w:r>
      <w:r w:rsidRPr="002B3F36">
        <w:rPr>
          <w:rFonts w:ascii="Arial" w:hAnsi="Arial" w:cs="Arial"/>
          <w:spacing w:val="-2"/>
          <w:sz w:val="24"/>
          <w:szCs w:val="24"/>
        </w:rPr>
        <w:t>follows:</w:t>
      </w:r>
    </w:p>
    <w:p w14:paraId="03FF1732" w14:textId="77777777" w:rsidR="00F61F8E" w:rsidRPr="002B3F36" w:rsidRDefault="000F264B" w:rsidP="009B4CDB">
      <w:pPr>
        <w:pStyle w:val="a0"/>
        <w:numPr>
          <w:ilvl w:val="0"/>
          <w:numId w:val="61"/>
        </w:numPr>
      </w:pPr>
      <w:r w:rsidRPr="002B3F36">
        <w:t>Affected Parties: people/entities directly affected by the Project and/or have been identified</w:t>
      </w:r>
      <w:r w:rsidRPr="002B3F36">
        <w:rPr>
          <w:spacing w:val="-4"/>
        </w:rPr>
        <w:t xml:space="preserve"> </w:t>
      </w:r>
      <w:r w:rsidRPr="002B3F36">
        <w:t>as</w:t>
      </w:r>
      <w:r w:rsidRPr="002B3F36">
        <w:rPr>
          <w:spacing w:val="-3"/>
        </w:rPr>
        <w:t xml:space="preserve"> </w:t>
      </w:r>
      <w:r w:rsidRPr="002B3F36">
        <w:t>most</w:t>
      </w:r>
      <w:r w:rsidRPr="002B3F36">
        <w:rPr>
          <w:spacing w:val="-5"/>
        </w:rPr>
        <w:t xml:space="preserve"> </w:t>
      </w:r>
      <w:r w:rsidRPr="002B3F36">
        <w:t>vulnerable</w:t>
      </w:r>
      <w:r w:rsidRPr="002B3F36">
        <w:rPr>
          <w:spacing w:val="-6"/>
        </w:rPr>
        <w:t xml:space="preserve"> </w:t>
      </w:r>
      <w:r w:rsidRPr="002B3F36">
        <w:t>to</w:t>
      </w:r>
      <w:r w:rsidRPr="002B3F36">
        <w:rPr>
          <w:spacing w:val="-3"/>
        </w:rPr>
        <w:t xml:space="preserve"> </w:t>
      </w:r>
      <w:r w:rsidRPr="002B3F36">
        <w:t>change</w:t>
      </w:r>
      <w:r w:rsidRPr="002B3F36">
        <w:rPr>
          <w:spacing w:val="-6"/>
        </w:rPr>
        <w:t xml:space="preserve"> </w:t>
      </w:r>
      <w:r w:rsidRPr="002B3F36">
        <w:t>and</w:t>
      </w:r>
      <w:r w:rsidRPr="002B3F36">
        <w:rPr>
          <w:spacing w:val="-3"/>
        </w:rPr>
        <w:t xml:space="preserve"> </w:t>
      </w:r>
      <w:r w:rsidRPr="002B3F36">
        <w:t>who</w:t>
      </w:r>
      <w:r w:rsidRPr="002B3F36">
        <w:rPr>
          <w:spacing w:val="-6"/>
        </w:rPr>
        <w:t xml:space="preserve"> </w:t>
      </w:r>
      <w:r w:rsidRPr="002B3F36">
        <w:t>need</w:t>
      </w:r>
      <w:r w:rsidRPr="002B3F36">
        <w:rPr>
          <w:spacing w:val="-4"/>
        </w:rPr>
        <w:t xml:space="preserve"> </w:t>
      </w:r>
      <w:r w:rsidRPr="002B3F36">
        <w:t>to</w:t>
      </w:r>
      <w:r w:rsidRPr="002B3F36">
        <w:rPr>
          <w:spacing w:val="-6"/>
        </w:rPr>
        <w:t xml:space="preserve"> </w:t>
      </w:r>
      <w:r w:rsidRPr="002B3F36">
        <w:t>be</w:t>
      </w:r>
      <w:r w:rsidRPr="002B3F36">
        <w:rPr>
          <w:spacing w:val="-3"/>
        </w:rPr>
        <w:t xml:space="preserve"> </w:t>
      </w:r>
      <w:r w:rsidRPr="002B3F36">
        <w:t>engaged</w:t>
      </w:r>
      <w:r w:rsidRPr="002B3F36">
        <w:rPr>
          <w:spacing w:val="-4"/>
        </w:rPr>
        <w:t xml:space="preserve"> </w:t>
      </w:r>
      <w:r w:rsidRPr="002B3F36">
        <w:t>in</w:t>
      </w:r>
      <w:r w:rsidRPr="002B3F36">
        <w:rPr>
          <w:spacing w:val="-3"/>
        </w:rPr>
        <w:t xml:space="preserve"> </w:t>
      </w:r>
      <w:r w:rsidRPr="002B3F36">
        <w:t>identifying</w:t>
      </w:r>
      <w:r w:rsidRPr="002B3F36">
        <w:rPr>
          <w:spacing w:val="-4"/>
        </w:rPr>
        <w:t xml:space="preserve"> </w:t>
      </w:r>
      <w:r w:rsidRPr="002B3F36">
        <w:t>impacts and their significance, as well as in decision-making on mitigation and management measures. Local communities from the district Akimats, farmers, vulnerable peoples, commercial agriculture companies, and workers in the area etc. are considered for this group; and</w:t>
      </w:r>
    </w:p>
    <w:p w14:paraId="6C29940E" w14:textId="77777777" w:rsidR="00F61F8E" w:rsidRPr="002B3F36" w:rsidRDefault="000F264B" w:rsidP="009B4CDB">
      <w:pPr>
        <w:pStyle w:val="a0"/>
        <w:numPr>
          <w:ilvl w:val="0"/>
          <w:numId w:val="61"/>
        </w:numPr>
      </w:pPr>
      <w:r w:rsidRPr="002B3F36">
        <w:t>Other</w:t>
      </w:r>
      <w:r w:rsidRPr="002B3F36">
        <w:rPr>
          <w:spacing w:val="-3"/>
        </w:rPr>
        <w:t xml:space="preserve"> </w:t>
      </w:r>
      <w:r w:rsidRPr="002B3F36">
        <w:t>Interested</w:t>
      </w:r>
      <w:r w:rsidRPr="002B3F36">
        <w:rPr>
          <w:spacing w:val="-3"/>
        </w:rPr>
        <w:t xml:space="preserve"> </w:t>
      </w:r>
      <w:r w:rsidRPr="002B3F36">
        <w:t>Parties:</w:t>
      </w:r>
      <w:r w:rsidRPr="002B3F36">
        <w:rPr>
          <w:spacing w:val="-4"/>
        </w:rPr>
        <w:t xml:space="preserve"> </w:t>
      </w:r>
      <w:r w:rsidRPr="002B3F36">
        <w:t>this</w:t>
      </w:r>
      <w:r w:rsidRPr="002B3F36">
        <w:rPr>
          <w:spacing w:val="-6"/>
        </w:rPr>
        <w:t xml:space="preserve"> </w:t>
      </w:r>
      <w:r w:rsidRPr="002B3F36">
        <w:t>stakeholder</w:t>
      </w:r>
      <w:r w:rsidRPr="002B3F36">
        <w:rPr>
          <w:spacing w:val="-6"/>
        </w:rPr>
        <w:t xml:space="preserve"> </w:t>
      </w:r>
      <w:r w:rsidRPr="002B3F36">
        <w:t>group</w:t>
      </w:r>
      <w:r w:rsidRPr="002B3F36">
        <w:rPr>
          <w:spacing w:val="-2"/>
        </w:rPr>
        <w:t xml:space="preserve"> </w:t>
      </w:r>
      <w:r w:rsidRPr="002B3F36">
        <w:t>consists</w:t>
      </w:r>
      <w:r w:rsidRPr="002B3F36">
        <w:rPr>
          <w:spacing w:val="-3"/>
        </w:rPr>
        <w:t xml:space="preserve"> </w:t>
      </w:r>
      <w:r w:rsidRPr="002B3F36">
        <w:t>of</w:t>
      </w:r>
      <w:r w:rsidRPr="002B3F36">
        <w:rPr>
          <w:spacing w:val="-6"/>
        </w:rPr>
        <w:t xml:space="preserve"> </w:t>
      </w:r>
      <w:r w:rsidRPr="002B3F36">
        <w:t>people/entities</w:t>
      </w:r>
      <w:r w:rsidRPr="002B3F36">
        <w:rPr>
          <w:spacing w:val="-6"/>
        </w:rPr>
        <w:t xml:space="preserve"> </w:t>
      </w:r>
      <w:r w:rsidRPr="002B3F36">
        <w:t>whose</w:t>
      </w:r>
      <w:r w:rsidRPr="002B3F36">
        <w:rPr>
          <w:spacing w:val="-6"/>
        </w:rPr>
        <w:t xml:space="preserve"> </w:t>
      </w:r>
      <w:r w:rsidRPr="002B3F36">
        <w:t>interest is to ensure the Project operates in accordance with applicable laws and mitigate all adverse impacts. If their demands are not met, they may report a negative aspect of the Project</w:t>
      </w:r>
      <w:r w:rsidRPr="002B3F36">
        <w:rPr>
          <w:spacing w:val="-5"/>
        </w:rPr>
        <w:t xml:space="preserve"> </w:t>
      </w:r>
      <w:r w:rsidRPr="002B3F36">
        <w:t>activities,</w:t>
      </w:r>
      <w:r w:rsidRPr="002B3F36">
        <w:rPr>
          <w:spacing w:val="-6"/>
        </w:rPr>
        <w:t xml:space="preserve"> </w:t>
      </w:r>
      <w:r w:rsidRPr="002B3F36">
        <w:t>which</w:t>
      </w:r>
      <w:r w:rsidRPr="002B3F36">
        <w:rPr>
          <w:spacing w:val="-2"/>
        </w:rPr>
        <w:t xml:space="preserve"> </w:t>
      </w:r>
      <w:r w:rsidRPr="002B3F36">
        <w:t>in</w:t>
      </w:r>
      <w:r w:rsidRPr="002B3F36">
        <w:rPr>
          <w:spacing w:val="-4"/>
        </w:rPr>
        <w:t xml:space="preserve"> </w:t>
      </w:r>
      <w:r w:rsidRPr="002B3F36">
        <w:t>turn</w:t>
      </w:r>
      <w:r w:rsidRPr="002B3F36">
        <w:rPr>
          <w:spacing w:val="-4"/>
        </w:rPr>
        <w:t xml:space="preserve"> </w:t>
      </w:r>
      <w:r w:rsidRPr="002B3F36">
        <w:t>could</w:t>
      </w:r>
      <w:r w:rsidRPr="002B3F36">
        <w:rPr>
          <w:spacing w:val="-4"/>
        </w:rPr>
        <w:t xml:space="preserve"> </w:t>
      </w:r>
      <w:r w:rsidRPr="002B3F36">
        <w:t>have</w:t>
      </w:r>
      <w:r w:rsidRPr="002B3F36">
        <w:rPr>
          <w:spacing w:val="-4"/>
        </w:rPr>
        <w:t xml:space="preserve"> </w:t>
      </w:r>
      <w:r w:rsidRPr="002B3F36">
        <w:t>a</w:t>
      </w:r>
      <w:r w:rsidRPr="002B3F36">
        <w:rPr>
          <w:spacing w:val="-5"/>
        </w:rPr>
        <w:t xml:space="preserve"> </w:t>
      </w:r>
      <w:r w:rsidRPr="002B3F36">
        <w:t>negative</w:t>
      </w:r>
      <w:r w:rsidRPr="002B3F36">
        <w:rPr>
          <w:spacing w:val="-4"/>
        </w:rPr>
        <w:t xml:space="preserve"> </w:t>
      </w:r>
      <w:r w:rsidRPr="002B3F36">
        <w:t>effect</w:t>
      </w:r>
      <w:r w:rsidRPr="002B3F36">
        <w:rPr>
          <w:spacing w:val="-5"/>
        </w:rPr>
        <w:t xml:space="preserve"> </w:t>
      </w:r>
      <w:r w:rsidRPr="002B3F36">
        <w:t>on</w:t>
      </w:r>
      <w:r w:rsidRPr="002B3F36">
        <w:rPr>
          <w:spacing w:val="-4"/>
        </w:rPr>
        <w:t xml:space="preserve"> </w:t>
      </w:r>
      <w:r w:rsidRPr="002B3F36">
        <w:t>the</w:t>
      </w:r>
      <w:r w:rsidRPr="002B3F36">
        <w:rPr>
          <w:spacing w:val="-6"/>
        </w:rPr>
        <w:t xml:space="preserve"> </w:t>
      </w:r>
      <w:r w:rsidRPr="002B3F36">
        <w:t>Client’s reputation</w:t>
      </w:r>
      <w:r w:rsidRPr="002B3F36">
        <w:rPr>
          <w:spacing w:val="-4"/>
        </w:rPr>
        <w:t xml:space="preserve"> </w:t>
      </w:r>
      <w:r w:rsidRPr="002B3F36">
        <w:t>and potentially cause issues in the Project operation and activities. These stakeholder groups include government authorities, NGOs and others.</w:t>
      </w:r>
    </w:p>
    <w:p w14:paraId="1221D473" w14:textId="77777777" w:rsidR="00F61F8E" w:rsidRPr="002B3F36" w:rsidRDefault="00F61F8E">
      <w:pPr>
        <w:pStyle w:val="ReportParagraph"/>
      </w:pPr>
    </w:p>
    <w:p w14:paraId="713B34E4" w14:textId="60F45BC3" w:rsidR="00F61F8E" w:rsidRPr="002B3F36" w:rsidRDefault="0011695D" w:rsidP="005A68AD">
      <w:pPr>
        <w:pStyle w:val="31"/>
      </w:pPr>
      <w:bookmarkStart w:id="1746" w:name="_bookmark100"/>
      <w:bookmarkStart w:id="1747" w:name="_bookmark103"/>
      <w:bookmarkStart w:id="1748" w:name="_Toc208973784"/>
      <w:bookmarkStart w:id="1749" w:name="_Toc208973984"/>
      <w:bookmarkStart w:id="1750" w:name="_Toc208974184"/>
      <w:bookmarkStart w:id="1751" w:name="_Toc208974386"/>
      <w:bookmarkStart w:id="1752" w:name="_Toc208974594"/>
      <w:bookmarkStart w:id="1753" w:name="_Toc210589439"/>
      <w:bookmarkEnd w:id="1746"/>
      <w:bookmarkEnd w:id="1747"/>
      <w:r w:rsidRPr="002B3F36">
        <w:t xml:space="preserve">Identification </w:t>
      </w:r>
      <w:r w:rsidR="00852A4C" w:rsidRPr="002B3F36">
        <w:t>o</w:t>
      </w:r>
      <w:r w:rsidRPr="002B3F36">
        <w:t>f Vulnerable Groups</w:t>
      </w:r>
      <w:bookmarkEnd w:id="1748"/>
      <w:bookmarkEnd w:id="1749"/>
      <w:bookmarkEnd w:id="1750"/>
      <w:bookmarkEnd w:id="1751"/>
      <w:bookmarkEnd w:id="1752"/>
      <w:bookmarkEnd w:id="1753"/>
    </w:p>
    <w:p w14:paraId="156C06B0" w14:textId="77777777" w:rsidR="00FE3320" w:rsidRPr="002B3F36" w:rsidRDefault="00FE3320">
      <w:pPr>
        <w:pStyle w:val="ReportParagraph"/>
        <w:ind w:left="90"/>
      </w:pPr>
    </w:p>
    <w:p w14:paraId="0769097D" w14:textId="02F1E85E" w:rsidR="00F61F8E" w:rsidRPr="002B3F36" w:rsidRDefault="000F264B">
      <w:pPr>
        <w:pStyle w:val="ReportParagraph"/>
        <w:ind w:left="90"/>
      </w:pPr>
      <w:r w:rsidRPr="002B3F36">
        <w:t xml:space="preserve">Stakeholder identification and engagement activities also aim to recognize potentially vulnerable or disadvantaged individuals and groups within the Project’s area of influence. In accordance with the World Health Organization (WHO, 2018), vulnerable groups include populations such as children, pregnant women, the elderly, the malnourished, prisoners, migrants and refugees, persons who use drugs, and individuals with illnesses or compromised immune systems. These groups, due to circumstances often beyond their </w:t>
      </w:r>
      <w:r w:rsidRPr="002B3F36">
        <w:lastRenderedPageBreak/>
        <w:t>control, may have reduced access to opportunities and resources compared to the wider population.</w:t>
      </w:r>
    </w:p>
    <w:p w14:paraId="639DC139" w14:textId="77777777" w:rsidR="00F61F8E" w:rsidRPr="002B3F36" w:rsidRDefault="00F61F8E">
      <w:pPr>
        <w:pStyle w:val="ReportParagraph"/>
      </w:pPr>
    </w:p>
    <w:p w14:paraId="360A861E" w14:textId="20C64D83" w:rsidR="00F61F8E" w:rsidRDefault="000F264B">
      <w:pPr>
        <w:pStyle w:val="ReportParagraph"/>
        <w:rPr>
          <w:i/>
        </w:rPr>
      </w:pPr>
      <w:r w:rsidRPr="002B3F36">
        <w:t xml:space="preserve">Within the context of the Project, vulnerable groups are considered those who may experience different or disproportionate impacts, or whose circumstances require tailored approaches to ensure their effective participation in consultation and information-sharing processes. The </w:t>
      </w:r>
      <w:r w:rsidR="00823BB3" w:rsidRPr="002B3F36">
        <w:t>WB</w:t>
      </w:r>
      <w:r w:rsidRPr="002B3F36">
        <w:t xml:space="preserve"> Performance Standards (PS1, Guidance Note) further defines vulnerable groups as: “</w:t>
      </w:r>
      <w:r w:rsidRPr="002B3F36">
        <w:rPr>
          <w:i/>
        </w:rPr>
        <w:t>Disadvantaged or vulnerable status may stem from an individual’s or group’s race, colour, sex, language, religion, political or other opinion, national or social origin, property, birth, or other status. The client should also consider factors such as gender, age, ethnicity, culture,</w:t>
      </w:r>
      <w:r w:rsidRPr="002B3F36">
        <w:rPr>
          <w:i/>
          <w:spacing w:val="-6"/>
        </w:rPr>
        <w:t xml:space="preserve"> </w:t>
      </w:r>
      <w:r w:rsidRPr="002B3F36">
        <w:rPr>
          <w:i/>
        </w:rPr>
        <w:t>literacy,</w:t>
      </w:r>
      <w:r w:rsidRPr="002B3F36">
        <w:rPr>
          <w:i/>
          <w:spacing w:val="-3"/>
        </w:rPr>
        <w:t xml:space="preserve"> </w:t>
      </w:r>
      <w:r w:rsidRPr="002B3F36">
        <w:rPr>
          <w:i/>
        </w:rPr>
        <w:t>sickness,</w:t>
      </w:r>
      <w:r w:rsidRPr="002B3F36">
        <w:rPr>
          <w:i/>
          <w:spacing w:val="-6"/>
        </w:rPr>
        <w:t xml:space="preserve"> </w:t>
      </w:r>
      <w:r w:rsidRPr="002B3F36">
        <w:rPr>
          <w:i/>
        </w:rPr>
        <w:t>physical</w:t>
      </w:r>
      <w:r w:rsidRPr="002B3F36">
        <w:rPr>
          <w:i/>
          <w:spacing w:val="-5"/>
        </w:rPr>
        <w:t xml:space="preserve"> </w:t>
      </w:r>
      <w:r w:rsidRPr="002B3F36">
        <w:rPr>
          <w:i/>
        </w:rPr>
        <w:t>or</w:t>
      </w:r>
      <w:r w:rsidRPr="002B3F36">
        <w:rPr>
          <w:i/>
          <w:spacing w:val="-6"/>
        </w:rPr>
        <w:t xml:space="preserve"> </w:t>
      </w:r>
      <w:r w:rsidRPr="002B3F36">
        <w:rPr>
          <w:i/>
        </w:rPr>
        <w:t>mental</w:t>
      </w:r>
      <w:r w:rsidRPr="002B3F36">
        <w:rPr>
          <w:i/>
          <w:spacing w:val="-4"/>
        </w:rPr>
        <w:t xml:space="preserve"> </w:t>
      </w:r>
      <w:r w:rsidRPr="002B3F36">
        <w:rPr>
          <w:i/>
        </w:rPr>
        <w:t>disability,</w:t>
      </w:r>
      <w:r w:rsidRPr="002B3F36">
        <w:rPr>
          <w:i/>
          <w:spacing w:val="-5"/>
        </w:rPr>
        <w:t xml:space="preserve"> </w:t>
      </w:r>
      <w:r w:rsidRPr="002B3F36">
        <w:rPr>
          <w:i/>
        </w:rPr>
        <w:t>poverty</w:t>
      </w:r>
      <w:r w:rsidRPr="002B3F36">
        <w:rPr>
          <w:i/>
          <w:spacing w:val="-3"/>
        </w:rPr>
        <w:t xml:space="preserve"> </w:t>
      </w:r>
      <w:r w:rsidRPr="002B3F36">
        <w:rPr>
          <w:i/>
        </w:rPr>
        <w:t>or</w:t>
      </w:r>
      <w:r w:rsidRPr="002B3F36">
        <w:rPr>
          <w:i/>
          <w:spacing w:val="-4"/>
        </w:rPr>
        <w:t xml:space="preserve"> </w:t>
      </w:r>
      <w:r w:rsidRPr="002B3F36">
        <w:rPr>
          <w:i/>
        </w:rPr>
        <w:t>economic</w:t>
      </w:r>
      <w:r w:rsidRPr="002B3F36">
        <w:rPr>
          <w:i/>
          <w:spacing w:val="-6"/>
        </w:rPr>
        <w:t xml:space="preserve"> </w:t>
      </w:r>
      <w:r w:rsidRPr="002B3F36">
        <w:rPr>
          <w:i/>
        </w:rPr>
        <w:t>disadvantage,</w:t>
      </w:r>
      <w:r w:rsidRPr="002B3F36">
        <w:rPr>
          <w:i/>
          <w:spacing w:val="-6"/>
        </w:rPr>
        <w:t xml:space="preserve"> </w:t>
      </w:r>
      <w:r w:rsidRPr="002B3F36">
        <w:rPr>
          <w:i/>
        </w:rPr>
        <w:t>and dependence on unique natural resources”.</w:t>
      </w:r>
    </w:p>
    <w:p w14:paraId="72985F09" w14:textId="77777777" w:rsidR="00F72D72" w:rsidRPr="002B3F36" w:rsidRDefault="00F72D72">
      <w:pPr>
        <w:pStyle w:val="ReportParagraph"/>
        <w:rPr>
          <w:i/>
        </w:rPr>
      </w:pPr>
    </w:p>
    <w:p w14:paraId="4CC801A4" w14:textId="77777777" w:rsidR="00F61F8E" w:rsidRPr="002B3F36" w:rsidRDefault="000F264B">
      <w:pPr>
        <w:pStyle w:val="ReportParagraph"/>
      </w:pPr>
      <w:r w:rsidRPr="002B3F36">
        <w:t>This Project proposes to categorise vulnerable groups using the following criteria. While any one</w:t>
      </w:r>
      <w:r w:rsidRPr="002B3F36">
        <w:rPr>
          <w:spacing w:val="-3"/>
        </w:rPr>
        <w:t xml:space="preserve"> </w:t>
      </w:r>
      <w:r w:rsidRPr="002B3F36">
        <w:t>of</w:t>
      </w:r>
      <w:r w:rsidRPr="002B3F36">
        <w:rPr>
          <w:spacing w:val="-5"/>
        </w:rPr>
        <w:t xml:space="preserve"> </w:t>
      </w:r>
      <w:r w:rsidRPr="002B3F36">
        <w:t>the</w:t>
      </w:r>
      <w:r w:rsidRPr="002B3F36">
        <w:rPr>
          <w:spacing w:val="-5"/>
        </w:rPr>
        <w:t xml:space="preserve"> </w:t>
      </w:r>
      <w:r w:rsidRPr="002B3F36">
        <w:t>below</w:t>
      </w:r>
      <w:r w:rsidRPr="002B3F36">
        <w:rPr>
          <w:spacing w:val="-2"/>
        </w:rPr>
        <w:t xml:space="preserve"> </w:t>
      </w:r>
      <w:r w:rsidRPr="002B3F36">
        <w:t>would</w:t>
      </w:r>
      <w:r w:rsidRPr="002B3F36">
        <w:rPr>
          <w:spacing w:val="-2"/>
        </w:rPr>
        <w:t xml:space="preserve"> </w:t>
      </w:r>
      <w:r w:rsidRPr="002B3F36">
        <w:t>qualify</w:t>
      </w:r>
      <w:r w:rsidRPr="002B3F36">
        <w:rPr>
          <w:spacing w:val="-4"/>
        </w:rPr>
        <w:t xml:space="preserve"> </w:t>
      </w:r>
      <w:r w:rsidRPr="002B3F36">
        <w:t>the</w:t>
      </w:r>
      <w:r w:rsidRPr="002B3F36">
        <w:rPr>
          <w:spacing w:val="-5"/>
        </w:rPr>
        <w:t xml:space="preserve"> </w:t>
      </w:r>
      <w:r w:rsidRPr="002B3F36">
        <w:t>person</w:t>
      </w:r>
      <w:r w:rsidRPr="002B3F36">
        <w:rPr>
          <w:spacing w:val="-3"/>
        </w:rPr>
        <w:t xml:space="preserve"> </w:t>
      </w:r>
      <w:r w:rsidRPr="002B3F36">
        <w:t>or</w:t>
      </w:r>
      <w:r w:rsidRPr="002B3F36">
        <w:rPr>
          <w:spacing w:val="-5"/>
        </w:rPr>
        <w:t xml:space="preserve"> </w:t>
      </w:r>
      <w:r w:rsidRPr="002B3F36">
        <w:t>households</w:t>
      </w:r>
      <w:r w:rsidRPr="002B3F36">
        <w:rPr>
          <w:spacing w:val="-2"/>
        </w:rPr>
        <w:t xml:space="preserve"> </w:t>
      </w:r>
      <w:r w:rsidRPr="002B3F36">
        <w:t>as</w:t>
      </w:r>
      <w:r w:rsidRPr="002B3F36">
        <w:rPr>
          <w:spacing w:val="-3"/>
        </w:rPr>
        <w:t xml:space="preserve"> </w:t>
      </w:r>
      <w:r w:rsidRPr="002B3F36">
        <w:t>vulnerable,</w:t>
      </w:r>
      <w:r w:rsidRPr="002B3F36">
        <w:rPr>
          <w:spacing w:val="-2"/>
        </w:rPr>
        <w:t xml:space="preserve"> </w:t>
      </w:r>
      <w:r w:rsidRPr="002B3F36">
        <w:t>if</w:t>
      </w:r>
      <w:r w:rsidRPr="002B3F36">
        <w:rPr>
          <w:spacing w:val="-5"/>
        </w:rPr>
        <w:t xml:space="preserve"> </w:t>
      </w:r>
      <w:r w:rsidRPr="002B3F36">
        <w:t>more</w:t>
      </w:r>
      <w:r w:rsidRPr="002B3F36">
        <w:rPr>
          <w:spacing w:val="-3"/>
        </w:rPr>
        <w:t xml:space="preserve"> </w:t>
      </w:r>
      <w:r w:rsidRPr="002B3F36">
        <w:t>than</w:t>
      </w:r>
      <w:r w:rsidRPr="002B3F36">
        <w:rPr>
          <w:spacing w:val="-2"/>
        </w:rPr>
        <w:t xml:space="preserve"> </w:t>
      </w:r>
      <w:r w:rsidRPr="002B3F36">
        <w:t>one</w:t>
      </w:r>
      <w:r w:rsidRPr="002B3F36">
        <w:rPr>
          <w:spacing w:val="-3"/>
        </w:rPr>
        <w:t xml:space="preserve"> </w:t>
      </w:r>
      <w:r w:rsidRPr="002B3F36">
        <w:t>of</w:t>
      </w:r>
      <w:r w:rsidRPr="002B3F36">
        <w:rPr>
          <w:spacing w:val="-2"/>
        </w:rPr>
        <w:t xml:space="preserve"> </w:t>
      </w:r>
      <w:r w:rsidRPr="002B3F36">
        <w:t>the below applied, the household would be considered very vulnerable:</w:t>
      </w:r>
    </w:p>
    <w:p w14:paraId="2FF3DB21" w14:textId="34CA8B1F" w:rsidR="00F61F8E" w:rsidRPr="002B3F36" w:rsidRDefault="000F264B" w:rsidP="009B4CDB">
      <w:pPr>
        <w:pStyle w:val="a0"/>
        <w:numPr>
          <w:ilvl w:val="0"/>
          <w:numId w:val="60"/>
        </w:numPr>
      </w:pPr>
      <w:r w:rsidRPr="002B3F36">
        <w:rPr>
          <w:b/>
        </w:rPr>
        <w:t>Economically vulnerable groups</w:t>
      </w:r>
      <w:r w:rsidRPr="002B3F36">
        <w:t>: The minimum wage in Kazakhstan is 85,000 tenge (USD$160)</w:t>
      </w:r>
      <w:r w:rsidRPr="002B3F36">
        <w:rPr>
          <w:spacing w:val="-5"/>
        </w:rPr>
        <w:t xml:space="preserve"> </w:t>
      </w:r>
      <w:r w:rsidRPr="002B3F36">
        <w:t>per</w:t>
      </w:r>
      <w:r w:rsidRPr="002B3F36">
        <w:rPr>
          <w:spacing w:val="-4"/>
        </w:rPr>
        <w:t xml:space="preserve"> </w:t>
      </w:r>
      <w:r w:rsidRPr="002B3F36">
        <w:t>month,</w:t>
      </w:r>
      <w:r w:rsidRPr="002B3F36">
        <w:rPr>
          <w:spacing w:val="-4"/>
        </w:rPr>
        <w:t xml:space="preserve"> </w:t>
      </w:r>
      <w:r w:rsidRPr="002B3F36">
        <w:t>as</w:t>
      </w:r>
      <w:r w:rsidRPr="002B3F36">
        <w:rPr>
          <w:spacing w:val="-6"/>
        </w:rPr>
        <w:t xml:space="preserve"> </w:t>
      </w:r>
      <w:r w:rsidRPr="002B3F36">
        <w:t>of</w:t>
      </w:r>
      <w:r w:rsidRPr="002B3F36">
        <w:rPr>
          <w:spacing w:val="-6"/>
        </w:rPr>
        <w:t xml:space="preserve"> </w:t>
      </w:r>
      <w:r w:rsidRPr="002B3F36">
        <w:t>January</w:t>
      </w:r>
      <w:r w:rsidRPr="002B3F36">
        <w:rPr>
          <w:spacing w:val="-4"/>
        </w:rPr>
        <w:t xml:space="preserve"> </w:t>
      </w:r>
      <w:r w:rsidRPr="002B3F36">
        <w:t>2024.</w:t>
      </w:r>
      <w:r w:rsidRPr="002B3F36">
        <w:rPr>
          <w:spacing w:val="-4"/>
        </w:rPr>
        <w:t xml:space="preserve"> </w:t>
      </w:r>
      <w:r w:rsidRPr="002B3F36">
        <w:t>Economically</w:t>
      </w:r>
      <w:r w:rsidRPr="002B3F36">
        <w:rPr>
          <w:spacing w:val="-6"/>
        </w:rPr>
        <w:t xml:space="preserve"> </w:t>
      </w:r>
      <w:r w:rsidRPr="002B3F36">
        <w:t>vulnerable</w:t>
      </w:r>
      <w:r w:rsidRPr="002B3F36">
        <w:rPr>
          <w:spacing w:val="-6"/>
        </w:rPr>
        <w:t xml:space="preserve"> </w:t>
      </w:r>
      <w:r w:rsidRPr="002B3F36">
        <w:t>group</w:t>
      </w:r>
      <w:r w:rsidRPr="002B3F36">
        <w:rPr>
          <w:spacing w:val="-5"/>
        </w:rPr>
        <w:t xml:space="preserve"> </w:t>
      </w:r>
      <w:r w:rsidRPr="002B3F36">
        <w:t>are</w:t>
      </w:r>
      <w:r w:rsidRPr="002B3F36">
        <w:rPr>
          <w:spacing w:val="-5"/>
        </w:rPr>
        <w:t xml:space="preserve"> </w:t>
      </w:r>
      <w:r w:rsidRPr="002B3F36">
        <w:t>considered those under low-income households, those making between 1 to 2 million tenge (USD$1,935 to USD$3,794) per annum;</w:t>
      </w:r>
    </w:p>
    <w:p w14:paraId="392A3FB4" w14:textId="77777777" w:rsidR="00F61F8E" w:rsidRPr="002B3F36" w:rsidRDefault="000F264B" w:rsidP="009B4CDB">
      <w:pPr>
        <w:pStyle w:val="a0"/>
        <w:numPr>
          <w:ilvl w:val="0"/>
          <w:numId w:val="60"/>
        </w:numPr>
      </w:pPr>
      <w:r w:rsidRPr="002B3F36">
        <w:rPr>
          <w:b/>
        </w:rPr>
        <w:t>Elderly people and / or households with only elderly members (over 63 years of age</w:t>
      </w:r>
      <w:r w:rsidRPr="002B3F36">
        <w:rPr>
          <w:b/>
          <w:spacing w:val="-3"/>
        </w:rPr>
        <w:t xml:space="preserve"> </w:t>
      </w:r>
      <w:r w:rsidRPr="002B3F36">
        <w:rPr>
          <w:b/>
        </w:rPr>
        <w:t>for</w:t>
      </w:r>
      <w:r w:rsidRPr="002B3F36">
        <w:rPr>
          <w:b/>
          <w:spacing w:val="-5"/>
        </w:rPr>
        <w:t xml:space="preserve"> </w:t>
      </w:r>
      <w:r w:rsidRPr="002B3F36">
        <w:rPr>
          <w:b/>
        </w:rPr>
        <w:t>men</w:t>
      </w:r>
      <w:r w:rsidRPr="002B3F36">
        <w:rPr>
          <w:b/>
          <w:spacing w:val="-3"/>
        </w:rPr>
        <w:t xml:space="preserve"> </w:t>
      </w:r>
      <w:r w:rsidRPr="002B3F36">
        <w:rPr>
          <w:b/>
        </w:rPr>
        <w:t>and</w:t>
      </w:r>
      <w:r w:rsidRPr="002B3F36">
        <w:rPr>
          <w:b/>
          <w:spacing w:val="-3"/>
        </w:rPr>
        <w:t xml:space="preserve"> </w:t>
      </w:r>
      <w:r w:rsidRPr="002B3F36">
        <w:rPr>
          <w:b/>
        </w:rPr>
        <w:t>58</w:t>
      </w:r>
      <w:r w:rsidRPr="002B3F36">
        <w:rPr>
          <w:b/>
          <w:spacing w:val="-3"/>
        </w:rPr>
        <w:t xml:space="preserve"> </w:t>
      </w:r>
      <w:r w:rsidRPr="002B3F36">
        <w:rPr>
          <w:b/>
        </w:rPr>
        <w:t>years</w:t>
      </w:r>
      <w:r w:rsidRPr="002B3F36">
        <w:rPr>
          <w:b/>
          <w:spacing w:val="-3"/>
        </w:rPr>
        <w:t xml:space="preserve"> </w:t>
      </w:r>
      <w:r w:rsidRPr="002B3F36">
        <w:rPr>
          <w:b/>
        </w:rPr>
        <w:t>for</w:t>
      </w:r>
      <w:r w:rsidRPr="002B3F36">
        <w:rPr>
          <w:b/>
          <w:spacing w:val="-3"/>
        </w:rPr>
        <w:t xml:space="preserve"> </w:t>
      </w:r>
      <w:r w:rsidRPr="002B3F36">
        <w:rPr>
          <w:b/>
        </w:rPr>
        <w:t>women)</w:t>
      </w:r>
      <w:r w:rsidRPr="002B3F36">
        <w:t>:</w:t>
      </w:r>
      <w:r w:rsidRPr="002B3F36">
        <w:rPr>
          <w:spacing w:val="-3"/>
        </w:rPr>
        <w:t xml:space="preserve"> </w:t>
      </w:r>
      <w:r w:rsidRPr="002B3F36">
        <w:t>This</w:t>
      </w:r>
      <w:r w:rsidRPr="002B3F36">
        <w:rPr>
          <w:spacing w:val="-2"/>
        </w:rPr>
        <w:t xml:space="preserve"> </w:t>
      </w:r>
      <w:r w:rsidRPr="002B3F36">
        <w:t>vulnerable</w:t>
      </w:r>
      <w:r w:rsidRPr="002B3F36">
        <w:rPr>
          <w:spacing w:val="-3"/>
        </w:rPr>
        <w:t xml:space="preserve"> </w:t>
      </w:r>
      <w:r w:rsidRPr="002B3F36">
        <w:t>group</w:t>
      </w:r>
      <w:r w:rsidRPr="002B3F36">
        <w:rPr>
          <w:spacing w:val="-3"/>
        </w:rPr>
        <w:t xml:space="preserve"> </w:t>
      </w:r>
      <w:r w:rsidRPr="002B3F36">
        <w:t>includes</w:t>
      </w:r>
      <w:r w:rsidRPr="002B3F36">
        <w:rPr>
          <w:spacing w:val="-2"/>
        </w:rPr>
        <w:t xml:space="preserve"> </w:t>
      </w:r>
      <w:r w:rsidRPr="002B3F36">
        <w:t>those</w:t>
      </w:r>
      <w:r w:rsidRPr="002B3F36">
        <w:rPr>
          <w:spacing w:val="-5"/>
        </w:rPr>
        <w:t xml:space="preserve"> </w:t>
      </w:r>
      <w:r w:rsidRPr="002B3F36">
        <w:t>older</w:t>
      </w:r>
      <w:r w:rsidRPr="002B3F36">
        <w:rPr>
          <w:spacing w:val="-2"/>
        </w:rPr>
        <w:t xml:space="preserve"> </w:t>
      </w:r>
      <w:r w:rsidRPr="002B3F36">
        <w:t>than retirement age (see ages for men and women above), with no young working-age members in the household;</w:t>
      </w:r>
    </w:p>
    <w:p w14:paraId="24DAB781" w14:textId="77777777" w:rsidR="00F61F8E" w:rsidRPr="002B3F36" w:rsidRDefault="000F264B" w:rsidP="009B4CDB">
      <w:pPr>
        <w:pStyle w:val="a0"/>
        <w:numPr>
          <w:ilvl w:val="0"/>
          <w:numId w:val="60"/>
        </w:numPr>
      </w:pPr>
      <w:r w:rsidRPr="002B3F36">
        <w:rPr>
          <w:b/>
        </w:rPr>
        <w:t xml:space="preserve">People with mental or physical disabilities </w:t>
      </w:r>
      <w:r w:rsidRPr="002B3F36">
        <w:t>(e.g., albinism or mentally disabled people):</w:t>
      </w:r>
      <w:r w:rsidRPr="002B3F36">
        <w:rPr>
          <w:spacing w:val="-4"/>
        </w:rPr>
        <w:t xml:space="preserve"> </w:t>
      </w:r>
      <w:r w:rsidRPr="002B3F36">
        <w:t>This</w:t>
      </w:r>
      <w:r w:rsidRPr="002B3F36">
        <w:rPr>
          <w:spacing w:val="-3"/>
        </w:rPr>
        <w:t xml:space="preserve"> </w:t>
      </w:r>
      <w:r w:rsidRPr="002B3F36">
        <w:t>vulnerable</w:t>
      </w:r>
      <w:r w:rsidRPr="002B3F36">
        <w:rPr>
          <w:spacing w:val="-4"/>
        </w:rPr>
        <w:t xml:space="preserve"> </w:t>
      </w:r>
      <w:r w:rsidRPr="002B3F36">
        <w:t>group</w:t>
      </w:r>
      <w:r w:rsidRPr="002B3F36">
        <w:rPr>
          <w:spacing w:val="-4"/>
        </w:rPr>
        <w:t xml:space="preserve"> </w:t>
      </w:r>
      <w:r w:rsidRPr="002B3F36">
        <w:t>includes</w:t>
      </w:r>
      <w:r w:rsidRPr="002B3F36">
        <w:rPr>
          <w:spacing w:val="-6"/>
        </w:rPr>
        <w:t xml:space="preserve"> </w:t>
      </w:r>
      <w:r w:rsidRPr="002B3F36">
        <w:t>those</w:t>
      </w:r>
      <w:r w:rsidRPr="002B3F36">
        <w:rPr>
          <w:spacing w:val="-4"/>
        </w:rPr>
        <w:t xml:space="preserve"> </w:t>
      </w:r>
      <w:r w:rsidRPr="002B3F36">
        <w:t>with</w:t>
      </w:r>
      <w:r w:rsidRPr="002B3F36">
        <w:rPr>
          <w:spacing w:val="-4"/>
        </w:rPr>
        <w:t xml:space="preserve"> </w:t>
      </w:r>
      <w:r w:rsidRPr="002B3F36">
        <w:t>disabilities</w:t>
      </w:r>
      <w:r w:rsidRPr="002B3F36">
        <w:rPr>
          <w:spacing w:val="-6"/>
        </w:rPr>
        <w:t xml:space="preserve"> </w:t>
      </w:r>
      <w:r w:rsidRPr="002B3F36">
        <w:t>that</w:t>
      </w:r>
      <w:r w:rsidRPr="002B3F36">
        <w:rPr>
          <w:spacing w:val="-4"/>
        </w:rPr>
        <w:t xml:space="preserve"> </w:t>
      </w:r>
      <w:r w:rsidRPr="002B3F36">
        <w:t>affects</w:t>
      </w:r>
      <w:r w:rsidRPr="002B3F36">
        <w:rPr>
          <w:spacing w:val="-6"/>
        </w:rPr>
        <w:t xml:space="preserve"> </w:t>
      </w:r>
      <w:r w:rsidRPr="002B3F36">
        <w:t>their</w:t>
      </w:r>
      <w:r w:rsidRPr="002B3F36">
        <w:rPr>
          <w:spacing w:val="-3"/>
        </w:rPr>
        <w:t xml:space="preserve"> </w:t>
      </w:r>
      <w:r w:rsidRPr="002B3F36">
        <w:t>ability</w:t>
      </w:r>
      <w:r w:rsidRPr="002B3F36">
        <w:rPr>
          <w:spacing w:val="-5"/>
        </w:rPr>
        <w:t xml:space="preserve"> </w:t>
      </w:r>
      <w:r w:rsidRPr="002B3F36">
        <w:t>to gain an income; and</w:t>
      </w:r>
    </w:p>
    <w:p w14:paraId="75BEA4E7" w14:textId="77777777" w:rsidR="00F61F8E" w:rsidRPr="002B3F36" w:rsidRDefault="000F264B" w:rsidP="009B4CDB">
      <w:pPr>
        <w:pStyle w:val="a0"/>
        <w:numPr>
          <w:ilvl w:val="0"/>
          <w:numId w:val="60"/>
        </w:numPr>
      </w:pPr>
      <w:r w:rsidRPr="002B3F36">
        <w:rPr>
          <w:b/>
        </w:rPr>
        <w:t>Female</w:t>
      </w:r>
      <w:r w:rsidRPr="002B3F36">
        <w:rPr>
          <w:b/>
          <w:spacing w:val="-5"/>
        </w:rPr>
        <w:t xml:space="preserve"> </w:t>
      </w:r>
      <w:r w:rsidRPr="002B3F36">
        <w:rPr>
          <w:b/>
        </w:rPr>
        <w:t>headed</w:t>
      </w:r>
      <w:r w:rsidRPr="002B3F36">
        <w:rPr>
          <w:b/>
          <w:spacing w:val="-5"/>
        </w:rPr>
        <w:t xml:space="preserve"> </w:t>
      </w:r>
      <w:r w:rsidRPr="002B3F36">
        <w:rPr>
          <w:b/>
        </w:rPr>
        <w:t>households</w:t>
      </w:r>
      <w:r w:rsidRPr="002B3F36">
        <w:t>:</w:t>
      </w:r>
      <w:r w:rsidRPr="002B3F36">
        <w:rPr>
          <w:spacing w:val="-5"/>
        </w:rPr>
        <w:t xml:space="preserve"> </w:t>
      </w:r>
      <w:r w:rsidRPr="002B3F36">
        <w:t>This</w:t>
      </w:r>
      <w:r w:rsidRPr="002B3F36">
        <w:rPr>
          <w:spacing w:val="-4"/>
        </w:rPr>
        <w:t xml:space="preserve"> </w:t>
      </w:r>
      <w:r w:rsidRPr="002B3F36">
        <w:t>vulnerable</w:t>
      </w:r>
      <w:r w:rsidRPr="002B3F36">
        <w:rPr>
          <w:spacing w:val="-5"/>
        </w:rPr>
        <w:t xml:space="preserve"> </w:t>
      </w:r>
      <w:r w:rsidRPr="002B3F36">
        <w:t>group</w:t>
      </w:r>
      <w:r w:rsidRPr="002B3F36">
        <w:rPr>
          <w:spacing w:val="-5"/>
        </w:rPr>
        <w:t xml:space="preserve"> </w:t>
      </w:r>
      <w:r w:rsidRPr="002B3F36">
        <w:t>includes</w:t>
      </w:r>
      <w:r w:rsidRPr="002B3F36">
        <w:rPr>
          <w:spacing w:val="-7"/>
        </w:rPr>
        <w:t xml:space="preserve"> </w:t>
      </w:r>
      <w:r w:rsidRPr="002B3F36">
        <w:t>female</w:t>
      </w:r>
      <w:r w:rsidRPr="002B3F36">
        <w:rPr>
          <w:spacing w:val="-7"/>
        </w:rPr>
        <w:t xml:space="preserve"> </w:t>
      </w:r>
      <w:r w:rsidRPr="002B3F36">
        <w:t>headed</w:t>
      </w:r>
      <w:r w:rsidRPr="002B3F36">
        <w:rPr>
          <w:spacing w:val="-5"/>
        </w:rPr>
        <w:t xml:space="preserve"> </w:t>
      </w:r>
      <w:r w:rsidRPr="002B3F36">
        <w:t>households or widows.</w:t>
      </w:r>
    </w:p>
    <w:p w14:paraId="2DC93857" w14:textId="77777777" w:rsidR="00F61F8E" w:rsidRPr="002B3F36" w:rsidRDefault="00F61F8E">
      <w:pPr>
        <w:pStyle w:val="a5"/>
        <w:jc w:val="both"/>
        <w:rPr>
          <w:rFonts w:ascii="Arial" w:hAnsi="Arial" w:cs="Arial"/>
        </w:rPr>
      </w:pPr>
    </w:p>
    <w:p w14:paraId="1B83365A" w14:textId="77777777" w:rsidR="00F61F8E" w:rsidRPr="002B3F36" w:rsidRDefault="000F264B">
      <w:pPr>
        <w:pStyle w:val="ReportParagraph"/>
      </w:pPr>
      <w:r w:rsidRPr="002B3F36">
        <w:t>Indigenous peoples (IPs) are generally considered part of the vulnerable people group. However, as noted in the National EIA and consultation with the District Akimats, there are no Indigenous Peoples located within the Projects AoI. Therefore, IPs are excluded from the Stakeholder Group Categorisation at this stage.</w:t>
      </w:r>
    </w:p>
    <w:p w14:paraId="13C8DEE2" w14:textId="77777777" w:rsidR="00F61F8E" w:rsidRPr="002B3F36" w:rsidRDefault="00F61F8E">
      <w:pPr>
        <w:pStyle w:val="ReportParagraph"/>
      </w:pPr>
    </w:p>
    <w:p w14:paraId="64137E85" w14:textId="5D5207FF" w:rsidR="00F61F8E" w:rsidRPr="002B3F36" w:rsidRDefault="0011695D">
      <w:pPr>
        <w:pStyle w:val="20"/>
      </w:pPr>
      <w:bookmarkStart w:id="1754" w:name="_Toc208973785"/>
      <w:bookmarkStart w:id="1755" w:name="_Toc208973985"/>
      <w:bookmarkStart w:id="1756" w:name="_Toc208974185"/>
      <w:bookmarkStart w:id="1757" w:name="_Toc208974387"/>
      <w:bookmarkStart w:id="1758" w:name="_Toc208974595"/>
      <w:bookmarkStart w:id="1759" w:name="_Toc210589440"/>
      <w:r w:rsidRPr="002B3F36">
        <w:t>Stakeholder Mapping</w:t>
      </w:r>
      <w:bookmarkEnd w:id="1754"/>
      <w:bookmarkEnd w:id="1755"/>
      <w:bookmarkEnd w:id="1756"/>
      <w:bookmarkEnd w:id="1757"/>
      <w:bookmarkEnd w:id="1758"/>
      <w:bookmarkEnd w:id="1759"/>
    </w:p>
    <w:p w14:paraId="5AE98F34" w14:textId="77777777" w:rsidR="00F61F8E" w:rsidRPr="002B3F36" w:rsidRDefault="00F61F8E">
      <w:pPr>
        <w:pStyle w:val="ReportBodyPar"/>
      </w:pPr>
    </w:p>
    <w:p w14:paraId="592AB8FE" w14:textId="3836DE5D" w:rsidR="0094383B" w:rsidRPr="002B3F36" w:rsidRDefault="00514D08" w:rsidP="0094383B">
      <w:pPr>
        <w:pStyle w:val="ReportParagraph"/>
      </w:pPr>
      <w:r w:rsidRPr="002B3F36">
        <w:t xml:space="preserve">The stakeholder mapping for the </w:t>
      </w:r>
      <w:r w:rsidR="003650DB" w:rsidRPr="002B3F36">
        <w:t xml:space="preserve">Mointy – Kyzylzhar </w:t>
      </w:r>
      <w:r w:rsidRPr="002B3F36">
        <w:t xml:space="preserve">Railway Project identifies all groups with potential influence, interest, or vulnerability in relation to project activities, in line with </w:t>
      </w:r>
      <w:r w:rsidR="00F95BD8" w:rsidRPr="002B3F36">
        <w:t>WB</w:t>
      </w:r>
      <w:r w:rsidRPr="002B3F36">
        <w:t xml:space="preserve"> Performance Standards and Kazakhstan’s stakeholder engagement requirements. It categorizes affected parties, government agencies, contractors, NGOs, academic institutions, and media based on their roles, interests, and concerns</w:t>
      </w:r>
      <w:r w:rsidR="00BB3A54" w:rsidRPr="002B3F36">
        <w:t xml:space="preserve"> - </w:t>
      </w:r>
      <w:r w:rsidRPr="002B3F36">
        <w:t>ranging from land acquisition and livelihood restoration to compliance, transparency, and public communication</w:t>
      </w:r>
      <w:r w:rsidR="00BB3A54" w:rsidRPr="002B3F36">
        <w:t xml:space="preserve"> - </w:t>
      </w:r>
      <w:r w:rsidRPr="002B3F36">
        <w:t>to ensure inclusive, timely, and equitable engagement throughout the project lifecycle.</w:t>
      </w:r>
      <w:r w:rsidR="00BB3A54" w:rsidRPr="002B3F36">
        <w:t xml:space="preserve"> The </w:t>
      </w:r>
      <w:r w:rsidR="0094383B" w:rsidRPr="002B3F36">
        <w:t xml:space="preserve">identified stakeholder groups are presented in the Table below. </w:t>
      </w:r>
    </w:p>
    <w:p w14:paraId="01550BDD" w14:textId="77777777" w:rsidR="0094383B" w:rsidRPr="002B3F36" w:rsidRDefault="0094383B" w:rsidP="0094383B">
      <w:pPr>
        <w:pStyle w:val="ReportParagraph"/>
      </w:pPr>
    </w:p>
    <w:p w14:paraId="36B4CE4A" w14:textId="7A9BB8DC" w:rsidR="0094383B" w:rsidRPr="002B3F36" w:rsidRDefault="0094383B" w:rsidP="0094383B">
      <w:pPr>
        <w:pStyle w:val="CaptionTable"/>
      </w:pPr>
      <w:bookmarkStart w:id="1760" w:name="_Toc210589558"/>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14</w:t>
      </w:r>
      <w:r w:rsidR="00CF113E" w:rsidRPr="002B3F36">
        <w:fldChar w:fldCharType="end"/>
      </w:r>
      <w:r w:rsidRPr="002B3F36">
        <w:t xml:space="preserve">: </w:t>
      </w:r>
      <w:r w:rsidR="00BB3A54" w:rsidRPr="002B3F36">
        <w:t>Stakeholder Groups, Interests and Engagement Approach</w:t>
      </w:r>
      <w:bookmarkEnd w:id="1760"/>
    </w:p>
    <w:tbl>
      <w:tblPr>
        <w:tblW w:w="9676" w:type="dxa"/>
        <w:tblInd w:w="-5" w:type="dxa"/>
        <w:tblLook w:val="04A0" w:firstRow="1" w:lastRow="0" w:firstColumn="1" w:lastColumn="0" w:noHBand="0" w:noVBand="1"/>
      </w:tblPr>
      <w:tblGrid>
        <w:gridCol w:w="1673"/>
        <w:gridCol w:w="2914"/>
        <w:gridCol w:w="2348"/>
        <w:gridCol w:w="2741"/>
      </w:tblGrid>
      <w:tr w:rsidR="00A921FF" w:rsidRPr="002B3F36" w14:paraId="7F50CD19" w14:textId="77777777" w:rsidTr="00BB3A54">
        <w:trPr>
          <w:trHeight w:val="624"/>
          <w:tblHeader/>
        </w:trPr>
        <w:tc>
          <w:tcPr>
            <w:tcW w:w="16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D6CB75" w14:textId="77777777" w:rsidR="00BB3A54" w:rsidRPr="002B3F36" w:rsidRDefault="00BB3A54" w:rsidP="00BB3A54">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Stakeholder Group</w:t>
            </w:r>
          </w:p>
        </w:tc>
        <w:tc>
          <w:tcPr>
            <w:tcW w:w="29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47F01D" w14:textId="77777777" w:rsidR="00BB3A54" w:rsidRPr="002B3F36" w:rsidRDefault="00BB3A54" w:rsidP="00BB3A54">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Interest and Role in the Project</w:t>
            </w:r>
          </w:p>
        </w:tc>
        <w:tc>
          <w:tcPr>
            <w:tcW w:w="234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D3739C" w14:textId="77777777" w:rsidR="00BB3A54" w:rsidRPr="002B3F36" w:rsidRDefault="00BB3A54" w:rsidP="00BB3A54">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Description of Stakeholders</w:t>
            </w:r>
          </w:p>
        </w:tc>
        <w:tc>
          <w:tcPr>
            <w:tcW w:w="274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206F0CE" w14:textId="77777777" w:rsidR="00BB3A54" w:rsidRPr="002B3F36" w:rsidRDefault="00BB3A54" w:rsidP="00BB3A54">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Preferred Engagement Methods</w:t>
            </w:r>
          </w:p>
        </w:tc>
      </w:tr>
      <w:tr w:rsidR="00BB3A54" w:rsidRPr="002B3F36" w14:paraId="7CFDBE17" w14:textId="77777777" w:rsidTr="00BB3A54">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59D9361C" w14:textId="77777777" w:rsidR="00BB3A54" w:rsidRPr="002B3F36" w:rsidRDefault="00BB3A54" w:rsidP="00BB3A54">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Project-Affected Parties (PAPs)</w:t>
            </w:r>
          </w:p>
        </w:tc>
      </w:tr>
      <w:tr w:rsidR="00BB3A54" w:rsidRPr="002B3F36" w14:paraId="7FBD391C" w14:textId="77777777" w:rsidTr="00BB3A54">
        <w:trPr>
          <w:trHeight w:val="1763"/>
        </w:trPr>
        <w:tc>
          <w:tcPr>
            <w:tcW w:w="1673" w:type="dxa"/>
            <w:tcBorders>
              <w:top w:val="nil"/>
              <w:left w:val="single" w:sz="4" w:space="0" w:color="auto"/>
              <w:bottom w:val="single" w:sz="4" w:space="0" w:color="auto"/>
              <w:right w:val="single" w:sz="4" w:space="0" w:color="auto"/>
            </w:tcBorders>
            <w:vAlign w:val="center"/>
            <w:hideMark/>
          </w:tcPr>
          <w:p w14:paraId="2D72641B"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lastRenderedPageBreak/>
              <w:t>Local residents and landowners</w:t>
            </w:r>
          </w:p>
        </w:tc>
        <w:tc>
          <w:tcPr>
            <w:tcW w:w="2914" w:type="dxa"/>
            <w:tcBorders>
              <w:top w:val="nil"/>
              <w:left w:val="nil"/>
              <w:bottom w:val="single" w:sz="4" w:space="0" w:color="auto"/>
              <w:right w:val="single" w:sz="4" w:space="0" w:color="auto"/>
            </w:tcBorders>
            <w:vAlign w:val="center"/>
            <w:hideMark/>
          </w:tcPr>
          <w:p w14:paraId="18771B14"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Land acquisition, compensation, livelihood restoration; temporary disturbances (dust, noise, vibration, safety risks); potential property damage; interest in jobs and improved connectivity.</w:t>
            </w:r>
          </w:p>
        </w:tc>
        <w:tc>
          <w:tcPr>
            <w:tcW w:w="2348" w:type="dxa"/>
            <w:tcBorders>
              <w:top w:val="nil"/>
              <w:left w:val="nil"/>
              <w:bottom w:val="single" w:sz="4" w:space="0" w:color="auto"/>
              <w:right w:val="single" w:sz="4" w:space="0" w:color="auto"/>
            </w:tcBorders>
            <w:vAlign w:val="center"/>
            <w:hideMark/>
          </w:tcPr>
          <w:p w14:paraId="2C569BBE" w14:textId="7091EEB4" w:rsidR="00BB3A54" w:rsidRPr="002B3F36" w:rsidRDefault="00BB3A54" w:rsidP="00BB3A54">
            <w:pPr>
              <w:widowControl/>
              <w:autoSpaceDE/>
              <w:autoSpaceDN/>
              <w:rPr>
                <w:rFonts w:ascii="Arial" w:eastAsia="Times New Roman" w:hAnsi="Arial" w:cs="Arial"/>
                <w:color w:val="000000"/>
                <w:sz w:val="20"/>
                <w:szCs w:val="20"/>
                <w:lang w:val="sv-SE" w:eastAsia="en-PH"/>
              </w:rPr>
            </w:pPr>
            <w:r w:rsidRPr="002B3F36">
              <w:rPr>
                <w:rFonts w:ascii="Arial" w:eastAsia="Times New Roman" w:hAnsi="Arial" w:cs="Arial"/>
                <w:color w:val="000000"/>
                <w:sz w:val="20"/>
                <w:szCs w:val="20"/>
                <w:lang w:val="sv-SE" w:eastAsia="en-PH"/>
              </w:rPr>
              <w:t xml:space="preserve">Residents in </w:t>
            </w:r>
            <w:r w:rsidR="007E279F" w:rsidRPr="002B3F36">
              <w:rPr>
                <w:rFonts w:ascii="Arial" w:eastAsia="Times New Roman" w:hAnsi="Arial" w:cs="Arial"/>
                <w:color w:val="000000"/>
                <w:sz w:val="20"/>
                <w:szCs w:val="20"/>
                <w:lang w:val="sv-SE" w:eastAsia="en-PH"/>
              </w:rPr>
              <w:t>Mointy</w:t>
            </w:r>
            <w:r w:rsidRPr="002B3F36">
              <w:rPr>
                <w:rFonts w:ascii="Arial" w:eastAsia="Times New Roman" w:hAnsi="Arial" w:cs="Arial"/>
                <w:color w:val="000000"/>
                <w:sz w:val="20"/>
                <w:szCs w:val="20"/>
                <w:lang w:val="sv-SE" w:eastAsia="en-PH"/>
              </w:rPr>
              <w:t>, Kyzylzhar, Kiikty, Annabulak, Karazhal, Zhayrem, Togusken, Aktau.</w:t>
            </w:r>
          </w:p>
        </w:tc>
        <w:tc>
          <w:tcPr>
            <w:tcW w:w="2741" w:type="dxa"/>
            <w:tcBorders>
              <w:top w:val="nil"/>
              <w:left w:val="nil"/>
              <w:bottom w:val="single" w:sz="4" w:space="0" w:color="auto"/>
              <w:right w:val="single" w:sz="4" w:space="0" w:color="auto"/>
            </w:tcBorders>
            <w:vAlign w:val="center"/>
            <w:hideMark/>
          </w:tcPr>
          <w:p w14:paraId="11A19AD3"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Village-level consultations, household interviews, disclosure leaflets, information boards in akimats, use of CLO, GRM access.</w:t>
            </w:r>
          </w:p>
        </w:tc>
      </w:tr>
      <w:tr w:rsidR="00BB3A54" w:rsidRPr="002B3F36" w14:paraId="3D9E2883" w14:textId="77777777" w:rsidTr="00BB3A54">
        <w:trPr>
          <w:trHeight w:val="998"/>
        </w:trPr>
        <w:tc>
          <w:tcPr>
            <w:tcW w:w="1673" w:type="dxa"/>
            <w:tcBorders>
              <w:top w:val="nil"/>
              <w:left w:val="single" w:sz="4" w:space="0" w:color="auto"/>
              <w:bottom w:val="single" w:sz="4" w:space="0" w:color="auto"/>
              <w:right w:val="single" w:sz="4" w:space="0" w:color="auto"/>
            </w:tcBorders>
            <w:vAlign w:val="center"/>
            <w:hideMark/>
          </w:tcPr>
          <w:p w14:paraId="1944EAAC"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Farmers and herders</w:t>
            </w:r>
          </w:p>
        </w:tc>
        <w:tc>
          <w:tcPr>
            <w:tcW w:w="2914" w:type="dxa"/>
            <w:tcBorders>
              <w:top w:val="nil"/>
              <w:left w:val="nil"/>
              <w:bottom w:val="single" w:sz="4" w:space="0" w:color="auto"/>
              <w:right w:val="single" w:sz="4" w:space="0" w:color="auto"/>
            </w:tcBorders>
            <w:vAlign w:val="center"/>
            <w:hideMark/>
          </w:tcPr>
          <w:p w14:paraId="03EB99EF"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Loss of pastureland; restricted seasonal grazing; livestock accidents; need for safe crossings; interest in fencing, compensation, business opportunities.</w:t>
            </w:r>
          </w:p>
        </w:tc>
        <w:tc>
          <w:tcPr>
            <w:tcW w:w="2348" w:type="dxa"/>
            <w:tcBorders>
              <w:top w:val="nil"/>
              <w:left w:val="nil"/>
              <w:bottom w:val="single" w:sz="4" w:space="0" w:color="auto"/>
              <w:right w:val="single" w:sz="4" w:space="0" w:color="auto"/>
            </w:tcBorders>
            <w:vAlign w:val="center"/>
            <w:hideMark/>
          </w:tcPr>
          <w:p w14:paraId="007D2A50" w14:textId="2BFD57A6"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 xml:space="preserve">Farmers, private leaseholders, seasonal herders in </w:t>
            </w:r>
            <w:r w:rsidR="003A184C">
              <w:rPr>
                <w:rFonts w:ascii="Arial" w:eastAsia="Times New Roman" w:hAnsi="Arial" w:cs="Arial"/>
                <w:color w:val="000000"/>
                <w:sz w:val="20"/>
                <w:szCs w:val="20"/>
                <w:lang w:val="en-PH" w:eastAsia="en-PH"/>
              </w:rPr>
              <w:t>Karagandy</w:t>
            </w:r>
            <w:r w:rsidRPr="002B3F36">
              <w:rPr>
                <w:rFonts w:ascii="Arial" w:eastAsia="Times New Roman" w:hAnsi="Arial" w:cs="Arial"/>
                <w:color w:val="000000"/>
                <w:sz w:val="20"/>
                <w:szCs w:val="20"/>
                <w:lang w:val="en-PH" w:eastAsia="en-PH"/>
              </w:rPr>
              <w:t xml:space="preserve"> and Ulytau regions.</w:t>
            </w:r>
          </w:p>
        </w:tc>
        <w:tc>
          <w:tcPr>
            <w:tcW w:w="2741" w:type="dxa"/>
            <w:tcBorders>
              <w:top w:val="nil"/>
              <w:left w:val="nil"/>
              <w:bottom w:val="single" w:sz="4" w:space="0" w:color="auto"/>
              <w:right w:val="single" w:sz="4" w:space="0" w:color="auto"/>
            </w:tcBorders>
            <w:vAlign w:val="center"/>
            <w:hideMark/>
          </w:tcPr>
          <w:p w14:paraId="5CCCF349"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Targeted focus groups, participatory mapping of pastures, regular meetings with akimats, CLO engagement.</w:t>
            </w:r>
          </w:p>
        </w:tc>
      </w:tr>
      <w:tr w:rsidR="00BB3A54" w:rsidRPr="002B3F36" w14:paraId="6DCF7A9C" w14:textId="77777777" w:rsidTr="00BB3A54">
        <w:trPr>
          <w:trHeight w:val="1248"/>
        </w:trPr>
        <w:tc>
          <w:tcPr>
            <w:tcW w:w="1673" w:type="dxa"/>
            <w:tcBorders>
              <w:top w:val="nil"/>
              <w:left w:val="single" w:sz="4" w:space="0" w:color="auto"/>
              <w:bottom w:val="single" w:sz="4" w:space="0" w:color="auto"/>
              <w:right w:val="single" w:sz="4" w:space="0" w:color="auto"/>
            </w:tcBorders>
            <w:vAlign w:val="center"/>
            <w:hideMark/>
          </w:tcPr>
          <w:p w14:paraId="77850B9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Local businesses and SMEs</w:t>
            </w:r>
          </w:p>
        </w:tc>
        <w:tc>
          <w:tcPr>
            <w:tcW w:w="2914" w:type="dxa"/>
            <w:tcBorders>
              <w:top w:val="nil"/>
              <w:left w:val="nil"/>
              <w:bottom w:val="single" w:sz="4" w:space="0" w:color="auto"/>
              <w:right w:val="single" w:sz="4" w:space="0" w:color="auto"/>
            </w:tcBorders>
            <w:vAlign w:val="center"/>
            <w:hideMark/>
          </w:tcPr>
          <w:p w14:paraId="461AB689"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Potential disruption of services/utilities; opportunities for supply contracts; increased demand for goods/services.</w:t>
            </w:r>
          </w:p>
        </w:tc>
        <w:tc>
          <w:tcPr>
            <w:tcW w:w="2348" w:type="dxa"/>
            <w:tcBorders>
              <w:top w:val="nil"/>
              <w:left w:val="nil"/>
              <w:bottom w:val="single" w:sz="4" w:space="0" w:color="auto"/>
              <w:right w:val="single" w:sz="4" w:space="0" w:color="auto"/>
            </w:tcBorders>
            <w:vAlign w:val="center"/>
            <w:hideMark/>
          </w:tcPr>
          <w:p w14:paraId="09D98A67" w14:textId="150098F9"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Shops, cafés, quarries, construction SMEs in Karazhal, Mo</w:t>
            </w:r>
            <w:r w:rsidR="007E279F" w:rsidRPr="002B3F36">
              <w:rPr>
                <w:rFonts w:ascii="Arial" w:eastAsia="Times New Roman" w:hAnsi="Arial" w:cs="Arial"/>
                <w:color w:val="000000"/>
                <w:sz w:val="20"/>
                <w:szCs w:val="20"/>
                <w:lang w:val="en-PH" w:eastAsia="en-PH"/>
              </w:rPr>
              <w:t>i</w:t>
            </w:r>
            <w:r w:rsidRPr="002B3F36">
              <w:rPr>
                <w:rFonts w:ascii="Arial" w:eastAsia="Times New Roman" w:hAnsi="Arial" w:cs="Arial"/>
                <w:color w:val="000000"/>
                <w:sz w:val="20"/>
                <w:szCs w:val="20"/>
                <w:lang w:val="en-PH" w:eastAsia="en-PH"/>
              </w:rPr>
              <w:t>nty, Zhayrem.</w:t>
            </w:r>
          </w:p>
        </w:tc>
        <w:tc>
          <w:tcPr>
            <w:tcW w:w="2741" w:type="dxa"/>
            <w:tcBorders>
              <w:top w:val="nil"/>
              <w:left w:val="nil"/>
              <w:bottom w:val="single" w:sz="4" w:space="0" w:color="auto"/>
              <w:right w:val="single" w:sz="4" w:space="0" w:color="auto"/>
            </w:tcBorders>
            <w:vAlign w:val="center"/>
            <w:hideMark/>
          </w:tcPr>
          <w:p w14:paraId="799F42B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Business roundtables, official notices of tenders, meetings via chambers of entrepreneurs.</w:t>
            </w:r>
          </w:p>
        </w:tc>
      </w:tr>
      <w:tr w:rsidR="00BB3A54" w:rsidRPr="002B3F36" w14:paraId="53E735B3" w14:textId="77777777" w:rsidTr="00BB3A54">
        <w:trPr>
          <w:trHeight w:val="1560"/>
        </w:trPr>
        <w:tc>
          <w:tcPr>
            <w:tcW w:w="1673" w:type="dxa"/>
            <w:tcBorders>
              <w:top w:val="nil"/>
              <w:left w:val="single" w:sz="4" w:space="0" w:color="auto"/>
              <w:bottom w:val="single" w:sz="4" w:space="0" w:color="auto"/>
              <w:right w:val="single" w:sz="4" w:space="0" w:color="auto"/>
            </w:tcBorders>
            <w:vAlign w:val="center"/>
            <w:hideMark/>
          </w:tcPr>
          <w:p w14:paraId="4B9FB6EC"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Workers employed under the Project</w:t>
            </w:r>
          </w:p>
        </w:tc>
        <w:tc>
          <w:tcPr>
            <w:tcW w:w="2914" w:type="dxa"/>
            <w:tcBorders>
              <w:top w:val="nil"/>
              <w:left w:val="nil"/>
              <w:bottom w:val="single" w:sz="4" w:space="0" w:color="auto"/>
              <w:right w:val="single" w:sz="4" w:space="0" w:color="auto"/>
            </w:tcBorders>
            <w:vAlign w:val="center"/>
            <w:hideMark/>
          </w:tcPr>
          <w:p w14:paraId="49394623"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Safe working conditions, wages, OHS standards, risk of community tension; SEA/SH and communicable diseases (HIV, STDs, COVID-19).</w:t>
            </w:r>
          </w:p>
        </w:tc>
        <w:tc>
          <w:tcPr>
            <w:tcW w:w="2348" w:type="dxa"/>
            <w:tcBorders>
              <w:top w:val="nil"/>
              <w:left w:val="nil"/>
              <w:bottom w:val="single" w:sz="4" w:space="0" w:color="auto"/>
              <w:right w:val="single" w:sz="4" w:space="0" w:color="auto"/>
            </w:tcBorders>
            <w:vAlign w:val="center"/>
            <w:hideMark/>
          </w:tcPr>
          <w:p w14:paraId="354494B7"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Local and migrant workforce under EPC/subcontractors.</w:t>
            </w:r>
          </w:p>
        </w:tc>
        <w:tc>
          <w:tcPr>
            <w:tcW w:w="2741" w:type="dxa"/>
            <w:tcBorders>
              <w:top w:val="nil"/>
              <w:left w:val="nil"/>
              <w:bottom w:val="single" w:sz="4" w:space="0" w:color="auto"/>
              <w:right w:val="single" w:sz="4" w:space="0" w:color="auto"/>
            </w:tcBorders>
            <w:vAlign w:val="center"/>
            <w:hideMark/>
          </w:tcPr>
          <w:p w14:paraId="230A0ED1"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Worker induction sessions, toolbox talks, OHS training, anonymous grievance channels, worker surveys.</w:t>
            </w:r>
          </w:p>
        </w:tc>
      </w:tr>
      <w:tr w:rsidR="00BB3A54" w:rsidRPr="002B3F36" w14:paraId="7CE84B5D" w14:textId="77777777" w:rsidTr="00BB3A54">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680402B2" w14:textId="77777777" w:rsidR="00BB3A54" w:rsidRPr="002B3F36" w:rsidRDefault="00BB3A54" w:rsidP="00BB3A54">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Vulnerable Groups</w:t>
            </w:r>
          </w:p>
        </w:tc>
      </w:tr>
      <w:tr w:rsidR="00BB3A54" w:rsidRPr="002B3F36" w14:paraId="1BEDE7D5" w14:textId="77777777" w:rsidTr="00BB3A54">
        <w:trPr>
          <w:trHeight w:val="476"/>
        </w:trPr>
        <w:tc>
          <w:tcPr>
            <w:tcW w:w="1673" w:type="dxa"/>
            <w:tcBorders>
              <w:top w:val="nil"/>
              <w:left w:val="single" w:sz="4" w:space="0" w:color="auto"/>
              <w:bottom w:val="single" w:sz="4" w:space="0" w:color="auto"/>
              <w:right w:val="single" w:sz="4" w:space="0" w:color="auto"/>
            </w:tcBorders>
            <w:vAlign w:val="center"/>
            <w:hideMark/>
          </w:tcPr>
          <w:p w14:paraId="76A033C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Women-headed households, low-income families, elderly, disabled, large households, seasonal herders without land rights</w:t>
            </w:r>
          </w:p>
        </w:tc>
        <w:tc>
          <w:tcPr>
            <w:tcW w:w="2914" w:type="dxa"/>
            <w:tcBorders>
              <w:top w:val="nil"/>
              <w:left w:val="nil"/>
              <w:bottom w:val="single" w:sz="4" w:space="0" w:color="auto"/>
              <w:right w:val="single" w:sz="4" w:space="0" w:color="auto"/>
            </w:tcBorders>
            <w:vAlign w:val="center"/>
            <w:hideMark/>
          </w:tcPr>
          <w:p w14:paraId="7AEF696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Risk of exclusion; greater vulnerability to displacement; limited ability to negotiate compensation; health risks from dust/noise.</w:t>
            </w:r>
          </w:p>
        </w:tc>
        <w:tc>
          <w:tcPr>
            <w:tcW w:w="2348" w:type="dxa"/>
            <w:tcBorders>
              <w:top w:val="nil"/>
              <w:left w:val="nil"/>
              <w:bottom w:val="single" w:sz="4" w:space="0" w:color="auto"/>
              <w:right w:val="single" w:sz="4" w:space="0" w:color="auto"/>
            </w:tcBorders>
            <w:vAlign w:val="center"/>
            <w:hideMark/>
          </w:tcPr>
          <w:p w14:paraId="4DAA9377"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Vulnerable households identified via socio-economic survey.</w:t>
            </w:r>
          </w:p>
        </w:tc>
        <w:tc>
          <w:tcPr>
            <w:tcW w:w="2741" w:type="dxa"/>
            <w:tcBorders>
              <w:top w:val="nil"/>
              <w:left w:val="nil"/>
              <w:bottom w:val="single" w:sz="4" w:space="0" w:color="auto"/>
              <w:right w:val="single" w:sz="4" w:space="0" w:color="auto"/>
            </w:tcBorders>
            <w:vAlign w:val="center"/>
            <w:hideMark/>
          </w:tcPr>
          <w:p w14:paraId="23E8255B"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Home visits, gender-sensitive consultations, smaller focus groups, visual/discussion aids, outreach via social services.</w:t>
            </w:r>
          </w:p>
        </w:tc>
      </w:tr>
      <w:tr w:rsidR="00BB3A54" w:rsidRPr="002B3F36" w14:paraId="0499A352" w14:textId="77777777" w:rsidTr="00BB3A54">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10E38CB5" w14:textId="77777777" w:rsidR="00BB3A54" w:rsidRPr="002B3F36" w:rsidRDefault="00BB3A54" w:rsidP="00BB3A54">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Government Agencies and Related Organisations</w:t>
            </w:r>
          </w:p>
        </w:tc>
      </w:tr>
      <w:tr w:rsidR="00BB3A54" w:rsidRPr="002B3F36" w14:paraId="19E8F481" w14:textId="77777777" w:rsidTr="00BB3A54">
        <w:trPr>
          <w:trHeight w:val="936"/>
        </w:trPr>
        <w:tc>
          <w:tcPr>
            <w:tcW w:w="1673" w:type="dxa"/>
            <w:tcBorders>
              <w:top w:val="nil"/>
              <w:left w:val="single" w:sz="4" w:space="0" w:color="auto"/>
              <w:bottom w:val="single" w:sz="4" w:space="0" w:color="auto"/>
              <w:right w:val="single" w:sz="4" w:space="0" w:color="auto"/>
            </w:tcBorders>
            <w:vAlign w:val="center"/>
            <w:hideMark/>
          </w:tcPr>
          <w:p w14:paraId="151B30AC"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Ministry of Transport</w:t>
            </w:r>
          </w:p>
        </w:tc>
        <w:tc>
          <w:tcPr>
            <w:tcW w:w="2914" w:type="dxa"/>
            <w:tcBorders>
              <w:top w:val="nil"/>
              <w:left w:val="nil"/>
              <w:bottom w:val="single" w:sz="4" w:space="0" w:color="auto"/>
              <w:right w:val="single" w:sz="4" w:space="0" w:color="auto"/>
            </w:tcBorders>
            <w:vAlign w:val="center"/>
            <w:hideMark/>
          </w:tcPr>
          <w:p w14:paraId="4F26EC95"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Oversight of national transport strategy, compliance with policy goals.</w:t>
            </w:r>
          </w:p>
        </w:tc>
        <w:tc>
          <w:tcPr>
            <w:tcW w:w="2348" w:type="dxa"/>
            <w:tcBorders>
              <w:top w:val="nil"/>
              <w:left w:val="nil"/>
              <w:bottom w:val="single" w:sz="4" w:space="0" w:color="auto"/>
              <w:right w:val="single" w:sz="4" w:space="0" w:color="auto"/>
            </w:tcBorders>
            <w:vAlign w:val="center"/>
            <w:hideMark/>
          </w:tcPr>
          <w:p w14:paraId="234EEF84"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Budget Program Administrator.</w:t>
            </w:r>
          </w:p>
        </w:tc>
        <w:tc>
          <w:tcPr>
            <w:tcW w:w="2741" w:type="dxa"/>
            <w:tcBorders>
              <w:top w:val="nil"/>
              <w:left w:val="nil"/>
              <w:bottom w:val="single" w:sz="4" w:space="0" w:color="auto"/>
              <w:right w:val="single" w:sz="4" w:space="0" w:color="auto"/>
            </w:tcBorders>
            <w:vAlign w:val="center"/>
            <w:hideMark/>
          </w:tcPr>
          <w:p w14:paraId="26475733"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Formal reporting, inter-agency coordination meetings, official correspondence.</w:t>
            </w:r>
          </w:p>
        </w:tc>
      </w:tr>
      <w:tr w:rsidR="00BB3A54" w:rsidRPr="002B3F36" w14:paraId="0024E323" w14:textId="77777777" w:rsidTr="00BB3A54">
        <w:trPr>
          <w:trHeight w:val="624"/>
        </w:trPr>
        <w:tc>
          <w:tcPr>
            <w:tcW w:w="1673" w:type="dxa"/>
            <w:tcBorders>
              <w:top w:val="nil"/>
              <w:left w:val="single" w:sz="4" w:space="0" w:color="auto"/>
              <w:bottom w:val="single" w:sz="4" w:space="0" w:color="auto"/>
              <w:right w:val="single" w:sz="4" w:space="0" w:color="auto"/>
            </w:tcBorders>
            <w:vAlign w:val="center"/>
            <w:hideMark/>
          </w:tcPr>
          <w:p w14:paraId="18F8BC74"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Samruk-Kazyna JSC</w:t>
            </w:r>
          </w:p>
        </w:tc>
        <w:tc>
          <w:tcPr>
            <w:tcW w:w="2914" w:type="dxa"/>
            <w:tcBorders>
              <w:top w:val="nil"/>
              <w:left w:val="nil"/>
              <w:bottom w:val="single" w:sz="4" w:space="0" w:color="auto"/>
              <w:right w:val="single" w:sz="4" w:space="0" w:color="auto"/>
            </w:tcBorders>
            <w:vAlign w:val="center"/>
            <w:hideMark/>
          </w:tcPr>
          <w:p w14:paraId="19625B7A"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Oversight of project objectives, financial monitoring.</w:t>
            </w:r>
          </w:p>
        </w:tc>
        <w:tc>
          <w:tcPr>
            <w:tcW w:w="2348" w:type="dxa"/>
            <w:tcBorders>
              <w:top w:val="nil"/>
              <w:left w:val="nil"/>
              <w:bottom w:val="single" w:sz="4" w:space="0" w:color="auto"/>
              <w:right w:val="single" w:sz="4" w:space="0" w:color="auto"/>
            </w:tcBorders>
            <w:vAlign w:val="center"/>
            <w:hideMark/>
          </w:tcPr>
          <w:p w14:paraId="6D5C06AC"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Project Coordinator.</w:t>
            </w:r>
          </w:p>
        </w:tc>
        <w:tc>
          <w:tcPr>
            <w:tcW w:w="2741" w:type="dxa"/>
            <w:tcBorders>
              <w:top w:val="nil"/>
              <w:left w:val="nil"/>
              <w:bottom w:val="single" w:sz="4" w:space="0" w:color="auto"/>
              <w:right w:val="single" w:sz="4" w:space="0" w:color="auto"/>
            </w:tcBorders>
            <w:vAlign w:val="center"/>
            <w:hideMark/>
          </w:tcPr>
          <w:p w14:paraId="7E78ECE4"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Periodic progress reporting, high-level briefings.</w:t>
            </w:r>
          </w:p>
        </w:tc>
      </w:tr>
      <w:tr w:rsidR="00BB3A54" w:rsidRPr="002B3F36" w14:paraId="2F4A62A7" w14:textId="77777777" w:rsidTr="00BB3A54">
        <w:trPr>
          <w:trHeight w:val="936"/>
        </w:trPr>
        <w:tc>
          <w:tcPr>
            <w:tcW w:w="1673" w:type="dxa"/>
            <w:tcBorders>
              <w:top w:val="nil"/>
              <w:left w:val="single" w:sz="4" w:space="0" w:color="auto"/>
              <w:bottom w:val="single" w:sz="4" w:space="0" w:color="auto"/>
              <w:right w:val="single" w:sz="4" w:space="0" w:color="auto"/>
            </w:tcBorders>
            <w:vAlign w:val="center"/>
            <w:hideMark/>
          </w:tcPr>
          <w:p w14:paraId="222A7661"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NC Kazakhstan Temir Zholy JSC</w:t>
            </w:r>
          </w:p>
        </w:tc>
        <w:tc>
          <w:tcPr>
            <w:tcW w:w="2914" w:type="dxa"/>
            <w:tcBorders>
              <w:top w:val="nil"/>
              <w:left w:val="nil"/>
              <w:bottom w:val="single" w:sz="4" w:space="0" w:color="auto"/>
              <w:right w:val="single" w:sz="4" w:space="0" w:color="auto"/>
            </w:tcBorders>
            <w:vAlign w:val="center"/>
            <w:hideMark/>
          </w:tcPr>
          <w:p w14:paraId="520C37B6"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Project Applicant/Operator; responsible for implementation, land acquisition, future O&amp;M.</w:t>
            </w:r>
          </w:p>
        </w:tc>
        <w:tc>
          <w:tcPr>
            <w:tcW w:w="2348" w:type="dxa"/>
            <w:tcBorders>
              <w:top w:val="nil"/>
              <w:left w:val="nil"/>
              <w:bottom w:val="single" w:sz="4" w:space="0" w:color="auto"/>
              <w:right w:val="single" w:sz="4" w:space="0" w:color="auto"/>
            </w:tcBorders>
            <w:vAlign w:val="center"/>
            <w:hideMark/>
          </w:tcPr>
          <w:p w14:paraId="39C22C7D"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Asset Holder and Operator.</w:t>
            </w:r>
          </w:p>
        </w:tc>
        <w:tc>
          <w:tcPr>
            <w:tcW w:w="2741" w:type="dxa"/>
            <w:tcBorders>
              <w:top w:val="nil"/>
              <w:left w:val="nil"/>
              <w:bottom w:val="single" w:sz="4" w:space="0" w:color="auto"/>
              <w:right w:val="single" w:sz="4" w:space="0" w:color="auto"/>
            </w:tcBorders>
            <w:vAlign w:val="center"/>
            <w:hideMark/>
          </w:tcPr>
          <w:p w14:paraId="69319C69"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Steering committee meetings, formal correspondence, joint site visits.</w:t>
            </w:r>
          </w:p>
        </w:tc>
      </w:tr>
      <w:tr w:rsidR="00BB3A54" w:rsidRPr="002B3F36" w14:paraId="51020E82" w14:textId="77777777" w:rsidTr="00BB3A54">
        <w:trPr>
          <w:trHeight w:val="936"/>
        </w:trPr>
        <w:tc>
          <w:tcPr>
            <w:tcW w:w="1673" w:type="dxa"/>
            <w:tcBorders>
              <w:top w:val="nil"/>
              <w:left w:val="single" w:sz="4" w:space="0" w:color="auto"/>
              <w:bottom w:val="single" w:sz="4" w:space="0" w:color="auto"/>
              <w:right w:val="single" w:sz="4" w:space="0" w:color="auto"/>
            </w:tcBorders>
            <w:vAlign w:val="center"/>
            <w:hideMark/>
          </w:tcPr>
          <w:p w14:paraId="53B779D5"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Integra Construction KZ LLP</w:t>
            </w:r>
          </w:p>
        </w:tc>
        <w:tc>
          <w:tcPr>
            <w:tcW w:w="2914" w:type="dxa"/>
            <w:tcBorders>
              <w:top w:val="nil"/>
              <w:left w:val="nil"/>
              <w:bottom w:val="single" w:sz="4" w:space="0" w:color="auto"/>
              <w:right w:val="single" w:sz="4" w:space="0" w:color="auto"/>
            </w:tcBorders>
            <w:vAlign w:val="center"/>
            <w:hideMark/>
          </w:tcPr>
          <w:p w14:paraId="40C9C01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Responsible for EPC works, subcontractor management.</w:t>
            </w:r>
          </w:p>
        </w:tc>
        <w:tc>
          <w:tcPr>
            <w:tcW w:w="2348" w:type="dxa"/>
            <w:tcBorders>
              <w:top w:val="nil"/>
              <w:left w:val="nil"/>
              <w:bottom w:val="single" w:sz="4" w:space="0" w:color="auto"/>
              <w:right w:val="single" w:sz="4" w:space="0" w:color="auto"/>
            </w:tcBorders>
            <w:vAlign w:val="center"/>
            <w:hideMark/>
          </w:tcPr>
          <w:p w14:paraId="16D9FDEE"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EPC Contractor.</w:t>
            </w:r>
          </w:p>
        </w:tc>
        <w:tc>
          <w:tcPr>
            <w:tcW w:w="2741" w:type="dxa"/>
            <w:tcBorders>
              <w:top w:val="nil"/>
              <w:left w:val="nil"/>
              <w:bottom w:val="single" w:sz="4" w:space="0" w:color="auto"/>
              <w:right w:val="single" w:sz="4" w:space="0" w:color="auto"/>
            </w:tcBorders>
            <w:vAlign w:val="center"/>
            <w:hideMark/>
          </w:tcPr>
          <w:p w14:paraId="43EF5E5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Coordination meetings, technical reporting, HSE meetings with consultants.</w:t>
            </w:r>
          </w:p>
        </w:tc>
      </w:tr>
      <w:tr w:rsidR="00BB3A54" w:rsidRPr="002B3F36" w14:paraId="53CE25DF" w14:textId="77777777" w:rsidTr="00BB3A54">
        <w:trPr>
          <w:trHeight w:val="624"/>
        </w:trPr>
        <w:tc>
          <w:tcPr>
            <w:tcW w:w="1673" w:type="dxa"/>
            <w:tcBorders>
              <w:top w:val="nil"/>
              <w:left w:val="single" w:sz="4" w:space="0" w:color="auto"/>
              <w:bottom w:val="single" w:sz="4" w:space="0" w:color="auto"/>
              <w:right w:val="single" w:sz="4" w:space="0" w:color="auto"/>
            </w:tcBorders>
            <w:vAlign w:val="center"/>
            <w:hideMark/>
          </w:tcPr>
          <w:p w14:paraId="56F37D32"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Poligram LLP</w:t>
            </w:r>
          </w:p>
        </w:tc>
        <w:tc>
          <w:tcPr>
            <w:tcW w:w="2914" w:type="dxa"/>
            <w:tcBorders>
              <w:top w:val="nil"/>
              <w:left w:val="nil"/>
              <w:bottom w:val="single" w:sz="4" w:space="0" w:color="auto"/>
              <w:right w:val="single" w:sz="4" w:space="0" w:color="auto"/>
            </w:tcBorders>
            <w:vAlign w:val="center"/>
            <w:hideMark/>
          </w:tcPr>
          <w:p w14:paraId="5616DD8D"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Project documentation and design compliance.</w:t>
            </w:r>
          </w:p>
        </w:tc>
        <w:tc>
          <w:tcPr>
            <w:tcW w:w="2348" w:type="dxa"/>
            <w:tcBorders>
              <w:top w:val="nil"/>
              <w:left w:val="nil"/>
              <w:bottom w:val="single" w:sz="4" w:space="0" w:color="auto"/>
              <w:right w:val="single" w:sz="4" w:space="0" w:color="auto"/>
            </w:tcBorders>
            <w:vAlign w:val="center"/>
            <w:hideMark/>
          </w:tcPr>
          <w:p w14:paraId="463E43C3"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Engineering consultant.</w:t>
            </w:r>
          </w:p>
        </w:tc>
        <w:tc>
          <w:tcPr>
            <w:tcW w:w="2741" w:type="dxa"/>
            <w:tcBorders>
              <w:top w:val="nil"/>
              <w:left w:val="nil"/>
              <w:bottom w:val="single" w:sz="4" w:space="0" w:color="auto"/>
              <w:right w:val="single" w:sz="4" w:space="0" w:color="auto"/>
            </w:tcBorders>
            <w:vAlign w:val="center"/>
            <w:hideMark/>
          </w:tcPr>
          <w:p w14:paraId="5DBA6C0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Technical review meetings, workshops.</w:t>
            </w:r>
          </w:p>
        </w:tc>
      </w:tr>
      <w:tr w:rsidR="00BB3A54" w:rsidRPr="002B3F36" w14:paraId="3FD3BEC5" w14:textId="77777777" w:rsidTr="00BB3A54">
        <w:trPr>
          <w:trHeight w:val="936"/>
        </w:trPr>
        <w:tc>
          <w:tcPr>
            <w:tcW w:w="1673" w:type="dxa"/>
            <w:tcBorders>
              <w:top w:val="nil"/>
              <w:left w:val="single" w:sz="4" w:space="0" w:color="auto"/>
              <w:bottom w:val="single" w:sz="4" w:space="0" w:color="auto"/>
              <w:right w:val="single" w:sz="4" w:space="0" w:color="auto"/>
            </w:tcBorders>
            <w:vAlign w:val="center"/>
            <w:hideMark/>
          </w:tcPr>
          <w:p w14:paraId="268FCF1A"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lastRenderedPageBreak/>
              <w:t>CERC, Ministry of Ecology</w:t>
            </w:r>
          </w:p>
        </w:tc>
        <w:tc>
          <w:tcPr>
            <w:tcW w:w="2914" w:type="dxa"/>
            <w:tcBorders>
              <w:top w:val="nil"/>
              <w:left w:val="nil"/>
              <w:bottom w:val="single" w:sz="4" w:space="0" w:color="auto"/>
              <w:right w:val="single" w:sz="4" w:space="0" w:color="auto"/>
            </w:tcBorders>
            <w:vAlign w:val="center"/>
            <w:hideMark/>
          </w:tcPr>
          <w:p w14:paraId="7608F24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Approves EIA, enforces environmental standards.</w:t>
            </w:r>
          </w:p>
        </w:tc>
        <w:tc>
          <w:tcPr>
            <w:tcW w:w="2348" w:type="dxa"/>
            <w:tcBorders>
              <w:top w:val="nil"/>
              <w:left w:val="nil"/>
              <w:bottom w:val="single" w:sz="4" w:space="0" w:color="auto"/>
              <w:right w:val="single" w:sz="4" w:space="0" w:color="auto"/>
            </w:tcBorders>
            <w:vAlign w:val="center"/>
            <w:hideMark/>
          </w:tcPr>
          <w:p w14:paraId="5043AC31"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Environmental regulator.</w:t>
            </w:r>
          </w:p>
        </w:tc>
        <w:tc>
          <w:tcPr>
            <w:tcW w:w="2741" w:type="dxa"/>
            <w:tcBorders>
              <w:top w:val="nil"/>
              <w:left w:val="nil"/>
              <w:bottom w:val="single" w:sz="4" w:space="0" w:color="auto"/>
              <w:right w:val="single" w:sz="4" w:space="0" w:color="auto"/>
            </w:tcBorders>
            <w:vAlign w:val="center"/>
            <w:hideMark/>
          </w:tcPr>
          <w:p w14:paraId="4F31AD57"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Submission of reports, permit applications, compliance updates.</w:t>
            </w:r>
          </w:p>
        </w:tc>
      </w:tr>
      <w:tr w:rsidR="00BB3A54" w:rsidRPr="002B3F36" w14:paraId="3EA61C84" w14:textId="77777777" w:rsidTr="00BB3A54">
        <w:trPr>
          <w:trHeight w:val="936"/>
        </w:trPr>
        <w:tc>
          <w:tcPr>
            <w:tcW w:w="1673" w:type="dxa"/>
            <w:tcBorders>
              <w:top w:val="nil"/>
              <w:left w:val="single" w:sz="4" w:space="0" w:color="auto"/>
              <w:bottom w:val="single" w:sz="4" w:space="0" w:color="auto"/>
              <w:right w:val="single" w:sz="4" w:space="0" w:color="auto"/>
            </w:tcBorders>
            <w:vAlign w:val="center"/>
            <w:hideMark/>
          </w:tcPr>
          <w:p w14:paraId="394A4F14"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Balkhash-Alakol Basin Inspectorate</w:t>
            </w:r>
          </w:p>
        </w:tc>
        <w:tc>
          <w:tcPr>
            <w:tcW w:w="2914" w:type="dxa"/>
            <w:tcBorders>
              <w:top w:val="nil"/>
              <w:left w:val="nil"/>
              <w:bottom w:val="single" w:sz="4" w:space="0" w:color="auto"/>
              <w:right w:val="single" w:sz="4" w:space="0" w:color="auto"/>
            </w:tcBorders>
            <w:vAlign w:val="center"/>
            <w:hideMark/>
          </w:tcPr>
          <w:p w14:paraId="72C87EFD"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Approvals for works in/near water bodies, water protection zones.</w:t>
            </w:r>
          </w:p>
        </w:tc>
        <w:tc>
          <w:tcPr>
            <w:tcW w:w="2348" w:type="dxa"/>
            <w:tcBorders>
              <w:top w:val="nil"/>
              <w:left w:val="nil"/>
              <w:bottom w:val="single" w:sz="4" w:space="0" w:color="auto"/>
              <w:right w:val="single" w:sz="4" w:space="0" w:color="auto"/>
            </w:tcBorders>
            <w:vAlign w:val="center"/>
            <w:hideMark/>
          </w:tcPr>
          <w:p w14:paraId="10BCB01E"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Subdivision of Ministry of Ecology.</w:t>
            </w:r>
          </w:p>
        </w:tc>
        <w:tc>
          <w:tcPr>
            <w:tcW w:w="2741" w:type="dxa"/>
            <w:tcBorders>
              <w:top w:val="nil"/>
              <w:left w:val="nil"/>
              <w:bottom w:val="single" w:sz="4" w:space="0" w:color="auto"/>
              <w:right w:val="single" w:sz="4" w:space="0" w:color="auto"/>
            </w:tcBorders>
            <w:vAlign w:val="center"/>
            <w:hideMark/>
          </w:tcPr>
          <w:p w14:paraId="31BD1A4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Formal permit procedures, inspections.</w:t>
            </w:r>
          </w:p>
        </w:tc>
      </w:tr>
      <w:tr w:rsidR="00BB3A54" w:rsidRPr="002B3F36" w14:paraId="225869EF" w14:textId="77777777" w:rsidTr="00BB3A54">
        <w:trPr>
          <w:trHeight w:val="58"/>
        </w:trPr>
        <w:tc>
          <w:tcPr>
            <w:tcW w:w="1673" w:type="dxa"/>
            <w:tcBorders>
              <w:top w:val="nil"/>
              <w:left w:val="single" w:sz="4" w:space="0" w:color="auto"/>
              <w:bottom w:val="single" w:sz="4" w:space="0" w:color="auto"/>
              <w:right w:val="single" w:sz="4" w:space="0" w:color="auto"/>
            </w:tcBorders>
            <w:vAlign w:val="center"/>
            <w:hideMark/>
          </w:tcPr>
          <w:p w14:paraId="05A0BE1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RSE GOS Expertiza</w:t>
            </w:r>
          </w:p>
        </w:tc>
        <w:tc>
          <w:tcPr>
            <w:tcW w:w="2914" w:type="dxa"/>
            <w:tcBorders>
              <w:top w:val="nil"/>
              <w:left w:val="nil"/>
              <w:bottom w:val="single" w:sz="4" w:space="0" w:color="auto"/>
              <w:right w:val="single" w:sz="4" w:space="0" w:color="auto"/>
            </w:tcBorders>
            <w:vAlign w:val="center"/>
            <w:hideMark/>
          </w:tcPr>
          <w:p w14:paraId="02A81195"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Reviews compliance of design and construction.</w:t>
            </w:r>
          </w:p>
        </w:tc>
        <w:tc>
          <w:tcPr>
            <w:tcW w:w="2348" w:type="dxa"/>
            <w:tcBorders>
              <w:top w:val="nil"/>
              <w:left w:val="nil"/>
              <w:bottom w:val="single" w:sz="4" w:space="0" w:color="auto"/>
              <w:right w:val="single" w:sz="4" w:space="0" w:color="auto"/>
            </w:tcBorders>
            <w:vAlign w:val="center"/>
            <w:hideMark/>
          </w:tcPr>
          <w:p w14:paraId="04B7233A"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National expertise body.</w:t>
            </w:r>
          </w:p>
        </w:tc>
        <w:tc>
          <w:tcPr>
            <w:tcW w:w="2741" w:type="dxa"/>
            <w:tcBorders>
              <w:top w:val="nil"/>
              <w:left w:val="nil"/>
              <w:bottom w:val="single" w:sz="4" w:space="0" w:color="auto"/>
              <w:right w:val="single" w:sz="4" w:space="0" w:color="auto"/>
            </w:tcBorders>
            <w:vAlign w:val="center"/>
            <w:hideMark/>
          </w:tcPr>
          <w:p w14:paraId="00CF0DFE"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Submission of design documents, review meetings.</w:t>
            </w:r>
          </w:p>
        </w:tc>
      </w:tr>
      <w:tr w:rsidR="00BB3A54" w:rsidRPr="002B3F36" w14:paraId="14BE4218" w14:textId="77777777" w:rsidTr="00BB3A54">
        <w:trPr>
          <w:trHeight w:val="755"/>
        </w:trPr>
        <w:tc>
          <w:tcPr>
            <w:tcW w:w="1673" w:type="dxa"/>
            <w:tcBorders>
              <w:top w:val="nil"/>
              <w:left w:val="single" w:sz="4" w:space="0" w:color="auto"/>
              <w:bottom w:val="single" w:sz="4" w:space="0" w:color="auto"/>
              <w:right w:val="single" w:sz="4" w:space="0" w:color="auto"/>
            </w:tcBorders>
            <w:vAlign w:val="center"/>
            <w:hideMark/>
          </w:tcPr>
          <w:p w14:paraId="34E4C7E7" w14:textId="3118482F" w:rsidR="00BB3A54" w:rsidRPr="002B3F36" w:rsidRDefault="00BB3A54" w:rsidP="00BB3A54">
            <w:pPr>
              <w:widowControl/>
              <w:autoSpaceDE/>
              <w:autoSpaceDN/>
              <w:rPr>
                <w:rFonts w:ascii="Arial" w:eastAsia="Times New Roman" w:hAnsi="Arial" w:cs="Arial"/>
                <w:color w:val="000000"/>
                <w:sz w:val="20"/>
                <w:szCs w:val="20"/>
                <w:lang w:val="sv-SE" w:eastAsia="en-PH"/>
              </w:rPr>
            </w:pPr>
            <w:r w:rsidRPr="002B3F36">
              <w:rPr>
                <w:rFonts w:ascii="Arial" w:eastAsia="Times New Roman" w:hAnsi="Arial" w:cs="Arial"/>
                <w:color w:val="000000"/>
                <w:sz w:val="20"/>
                <w:szCs w:val="20"/>
                <w:lang w:val="sv-SE" w:eastAsia="en-PH"/>
              </w:rPr>
              <w:t>Regional/District Akimats (</w:t>
            </w:r>
            <w:r w:rsidR="003A184C">
              <w:rPr>
                <w:rFonts w:ascii="Arial" w:eastAsia="Times New Roman" w:hAnsi="Arial" w:cs="Arial"/>
                <w:color w:val="000000"/>
                <w:sz w:val="20"/>
                <w:szCs w:val="20"/>
                <w:lang w:val="sv-SE" w:eastAsia="en-PH"/>
              </w:rPr>
              <w:t>Karagandy</w:t>
            </w:r>
            <w:r w:rsidRPr="002B3F36">
              <w:rPr>
                <w:rFonts w:ascii="Arial" w:eastAsia="Times New Roman" w:hAnsi="Arial" w:cs="Arial"/>
                <w:color w:val="000000"/>
                <w:sz w:val="20"/>
                <w:szCs w:val="20"/>
                <w:lang w:val="sv-SE" w:eastAsia="en-PH"/>
              </w:rPr>
              <w:t>, Ulytau, Zhanaarka, Shet, Karazhal)</w:t>
            </w:r>
          </w:p>
        </w:tc>
        <w:tc>
          <w:tcPr>
            <w:tcW w:w="2914" w:type="dxa"/>
            <w:tcBorders>
              <w:top w:val="nil"/>
              <w:left w:val="nil"/>
              <w:bottom w:val="single" w:sz="4" w:space="0" w:color="auto"/>
              <w:right w:val="single" w:sz="4" w:space="0" w:color="auto"/>
            </w:tcBorders>
            <w:vAlign w:val="center"/>
            <w:hideMark/>
          </w:tcPr>
          <w:p w14:paraId="47D5AB57"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Coordinate land acquisition, support consultations, ensure social support.</w:t>
            </w:r>
          </w:p>
        </w:tc>
        <w:tc>
          <w:tcPr>
            <w:tcW w:w="2348" w:type="dxa"/>
            <w:tcBorders>
              <w:top w:val="nil"/>
              <w:left w:val="nil"/>
              <w:bottom w:val="single" w:sz="4" w:space="0" w:color="auto"/>
              <w:right w:val="single" w:sz="4" w:space="0" w:color="auto"/>
            </w:tcBorders>
            <w:vAlign w:val="center"/>
            <w:hideMark/>
          </w:tcPr>
          <w:p w14:paraId="6B1B168F"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Local executive authorities.</w:t>
            </w:r>
          </w:p>
        </w:tc>
        <w:tc>
          <w:tcPr>
            <w:tcW w:w="2741" w:type="dxa"/>
            <w:tcBorders>
              <w:top w:val="nil"/>
              <w:left w:val="nil"/>
              <w:bottom w:val="single" w:sz="4" w:space="0" w:color="auto"/>
              <w:right w:val="single" w:sz="4" w:space="0" w:color="auto"/>
            </w:tcBorders>
            <w:vAlign w:val="center"/>
            <w:hideMark/>
          </w:tcPr>
          <w:p w14:paraId="093D6E54"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Joint public meetings, coordination with CLO, official letters, working groups.</w:t>
            </w:r>
          </w:p>
        </w:tc>
      </w:tr>
      <w:tr w:rsidR="00BB3A54" w:rsidRPr="002B3F36" w14:paraId="304F0C89" w14:textId="77777777" w:rsidTr="00BB3A54">
        <w:trPr>
          <w:trHeight w:val="1560"/>
        </w:trPr>
        <w:tc>
          <w:tcPr>
            <w:tcW w:w="1673" w:type="dxa"/>
            <w:tcBorders>
              <w:top w:val="nil"/>
              <w:left w:val="single" w:sz="4" w:space="0" w:color="auto"/>
              <w:bottom w:val="single" w:sz="4" w:space="0" w:color="auto"/>
              <w:right w:val="single" w:sz="4" w:space="0" w:color="auto"/>
            </w:tcBorders>
            <w:vAlign w:val="center"/>
            <w:hideMark/>
          </w:tcPr>
          <w:p w14:paraId="61FA4153"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Departments of Construction, Architecture and Urban Planning</w:t>
            </w:r>
          </w:p>
        </w:tc>
        <w:tc>
          <w:tcPr>
            <w:tcW w:w="2914" w:type="dxa"/>
            <w:tcBorders>
              <w:top w:val="nil"/>
              <w:left w:val="nil"/>
              <w:bottom w:val="single" w:sz="4" w:space="0" w:color="auto"/>
              <w:right w:val="single" w:sz="4" w:space="0" w:color="auto"/>
            </w:tcBorders>
            <w:vAlign w:val="center"/>
            <w:hideMark/>
          </w:tcPr>
          <w:p w14:paraId="58A8E63E"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Approve design, ensure planning compliance.</w:t>
            </w:r>
          </w:p>
        </w:tc>
        <w:tc>
          <w:tcPr>
            <w:tcW w:w="2348" w:type="dxa"/>
            <w:tcBorders>
              <w:top w:val="nil"/>
              <w:left w:val="nil"/>
              <w:bottom w:val="single" w:sz="4" w:space="0" w:color="auto"/>
              <w:right w:val="single" w:sz="4" w:space="0" w:color="auto"/>
            </w:tcBorders>
            <w:vAlign w:val="center"/>
            <w:hideMark/>
          </w:tcPr>
          <w:p w14:paraId="6295B13D"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District-level departments.</w:t>
            </w:r>
          </w:p>
        </w:tc>
        <w:tc>
          <w:tcPr>
            <w:tcW w:w="2741" w:type="dxa"/>
            <w:tcBorders>
              <w:top w:val="nil"/>
              <w:left w:val="nil"/>
              <w:bottom w:val="single" w:sz="4" w:space="0" w:color="auto"/>
              <w:right w:val="single" w:sz="4" w:space="0" w:color="auto"/>
            </w:tcBorders>
            <w:vAlign w:val="center"/>
            <w:hideMark/>
          </w:tcPr>
          <w:p w14:paraId="23BD4D66"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Submission of design documentation, working meetings.</w:t>
            </w:r>
          </w:p>
        </w:tc>
      </w:tr>
      <w:tr w:rsidR="00BB3A54" w:rsidRPr="002B3F36" w14:paraId="2601B917" w14:textId="77777777" w:rsidTr="00BB3A54">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63A0AC60" w14:textId="77777777" w:rsidR="00BB3A54" w:rsidRPr="002B3F36" w:rsidRDefault="00BB3A54" w:rsidP="00BB3A54">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Civil Society and Other Stakeholders</w:t>
            </w:r>
          </w:p>
        </w:tc>
      </w:tr>
      <w:tr w:rsidR="00BB3A54" w:rsidRPr="002B3F36" w14:paraId="3DFE88D3" w14:textId="77777777" w:rsidTr="00BB3A54">
        <w:trPr>
          <w:trHeight w:val="58"/>
        </w:trPr>
        <w:tc>
          <w:tcPr>
            <w:tcW w:w="1673" w:type="dxa"/>
            <w:tcBorders>
              <w:top w:val="nil"/>
              <w:left w:val="single" w:sz="4" w:space="0" w:color="auto"/>
              <w:bottom w:val="single" w:sz="4" w:space="0" w:color="auto"/>
              <w:right w:val="single" w:sz="4" w:space="0" w:color="auto"/>
            </w:tcBorders>
            <w:vAlign w:val="center"/>
            <w:hideMark/>
          </w:tcPr>
          <w:p w14:paraId="2B267582"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NGOs and professional associations</w:t>
            </w:r>
          </w:p>
        </w:tc>
        <w:tc>
          <w:tcPr>
            <w:tcW w:w="2914" w:type="dxa"/>
            <w:tcBorders>
              <w:top w:val="nil"/>
              <w:left w:val="nil"/>
              <w:bottom w:val="single" w:sz="4" w:space="0" w:color="auto"/>
              <w:right w:val="single" w:sz="4" w:space="0" w:color="auto"/>
            </w:tcBorders>
            <w:vAlign w:val="center"/>
            <w:hideMark/>
          </w:tcPr>
          <w:p w14:paraId="7D76C102"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Monitoring of E&amp;S impacts, land rights, biodiversity, labor standards; advocate for transparency.</w:t>
            </w:r>
          </w:p>
        </w:tc>
        <w:tc>
          <w:tcPr>
            <w:tcW w:w="2348" w:type="dxa"/>
            <w:tcBorders>
              <w:top w:val="nil"/>
              <w:left w:val="nil"/>
              <w:bottom w:val="single" w:sz="4" w:space="0" w:color="auto"/>
              <w:right w:val="single" w:sz="4" w:space="0" w:color="auto"/>
            </w:tcBorders>
            <w:vAlign w:val="center"/>
            <w:hideMark/>
          </w:tcPr>
          <w:p w14:paraId="4FD7603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National/regional NGOs, social and professional groups.</w:t>
            </w:r>
          </w:p>
        </w:tc>
        <w:tc>
          <w:tcPr>
            <w:tcW w:w="2741" w:type="dxa"/>
            <w:tcBorders>
              <w:top w:val="nil"/>
              <w:left w:val="nil"/>
              <w:bottom w:val="single" w:sz="4" w:space="0" w:color="auto"/>
              <w:right w:val="single" w:sz="4" w:space="0" w:color="auto"/>
            </w:tcBorders>
            <w:vAlign w:val="center"/>
            <w:hideMark/>
          </w:tcPr>
          <w:p w14:paraId="1491F206"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Roundtables, disclosure of reports, thematic workshops, bilateral meetings.</w:t>
            </w:r>
          </w:p>
        </w:tc>
      </w:tr>
      <w:tr w:rsidR="00BB3A54" w:rsidRPr="002B3F36" w14:paraId="526B4014" w14:textId="77777777" w:rsidTr="00BB3A54">
        <w:trPr>
          <w:trHeight w:val="58"/>
        </w:trPr>
        <w:tc>
          <w:tcPr>
            <w:tcW w:w="1673" w:type="dxa"/>
            <w:tcBorders>
              <w:top w:val="nil"/>
              <w:left w:val="single" w:sz="4" w:space="0" w:color="auto"/>
              <w:bottom w:val="single" w:sz="4" w:space="0" w:color="auto"/>
              <w:right w:val="single" w:sz="4" w:space="0" w:color="auto"/>
            </w:tcBorders>
            <w:vAlign w:val="center"/>
            <w:hideMark/>
          </w:tcPr>
          <w:p w14:paraId="68D3ECC7"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Academic and research institutions</w:t>
            </w:r>
          </w:p>
        </w:tc>
        <w:tc>
          <w:tcPr>
            <w:tcW w:w="2914" w:type="dxa"/>
            <w:tcBorders>
              <w:top w:val="nil"/>
              <w:left w:val="nil"/>
              <w:bottom w:val="single" w:sz="4" w:space="0" w:color="auto"/>
              <w:right w:val="single" w:sz="4" w:space="0" w:color="auto"/>
            </w:tcBorders>
            <w:vAlign w:val="center"/>
            <w:hideMark/>
          </w:tcPr>
          <w:p w14:paraId="252F7E3D"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Expertise, training, independent review.</w:t>
            </w:r>
          </w:p>
        </w:tc>
        <w:tc>
          <w:tcPr>
            <w:tcW w:w="2348" w:type="dxa"/>
            <w:tcBorders>
              <w:top w:val="nil"/>
              <w:left w:val="nil"/>
              <w:bottom w:val="single" w:sz="4" w:space="0" w:color="auto"/>
              <w:right w:val="single" w:sz="4" w:space="0" w:color="auto"/>
            </w:tcBorders>
            <w:vAlign w:val="center"/>
            <w:hideMark/>
          </w:tcPr>
          <w:p w14:paraId="2A0AABE0" w14:textId="0B95F47D"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 xml:space="preserve">Universities, research centers in </w:t>
            </w:r>
            <w:r w:rsidR="003A184C">
              <w:rPr>
                <w:rFonts w:ascii="Arial" w:eastAsia="Times New Roman" w:hAnsi="Arial" w:cs="Arial"/>
                <w:color w:val="000000"/>
                <w:sz w:val="20"/>
                <w:szCs w:val="20"/>
                <w:lang w:val="en-PH" w:eastAsia="en-PH"/>
              </w:rPr>
              <w:t>Karagandy</w:t>
            </w:r>
            <w:r w:rsidRPr="002B3F36">
              <w:rPr>
                <w:rFonts w:ascii="Arial" w:eastAsia="Times New Roman" w:hAnsi="Arial" w:cs="Arial"/>
                <w:color w:val="000000"/>
                <w:sz w:val="20"/>
                <w:szCs w:val="20"/>
                <w:lang w:val="en-PH" w:eastAsia="en-PH"/>
              </w:rPr>
              <w:t xml:space="preserve"> and beyond.</w:t>
            </w:r>
          </w:p>
        </w:tc>
        <w:tc>
          <w:tcPr>
            <w:tcW w:w="2741" w:type="dxa"/>
            <w:tcBorders>
              <w:top w:val="nil"/>
              <w:left w:val="nil"/>
              <w:bottom w:val="single" w:sz="4" w:space="0" w:color="auto"/>
              <w:right w:val="single" w:sz="4" w:space="0" w:color="auto"/>
            </w:tcBorders>
            <w:vAlign w:val="center"/>
            <w:hideMark/>
          </w:tcPr>
          <w:p w14:paraId="76706F5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Joint research, seminars, expert panels.</w:t>
            </w:r>
          </w:p>
        </w:tc>
      </w:tr>
      <w:tr w:rsidR="00BB3A54" w:rsidRPr="002B3F36" w14:paraId="18C74B31" w14:textId="77777777" w:rsidTr="00BB3A54">
        <w:trPr>
          <w:trHeight w:val="58"/>
        </w:trPr>
        <w:tc>
          <w:tcPr>
            <w:tcW w:w="1673" w:type="dxa"/>
            <w:tcBorders>
              <w:top w:val="nil"/>
              <w:left w:val="single" w:sz="4" w:space="0" w:color="auto"/>
              <w:bottom w:val="single" w:sz="4" w:space="0" w:color="auto"/>
              <w:right w:val="single" w:sz="4" w:space="0" w:color="auto"/>
            </w:tcBorders>
            <w:vAlign w:val="center"/>
            <w:hideMark/>
          </w:tcPr>
          <w:p w14:paraId="77862E62"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Media</w:t>
            </w:r>
          </w:p>
        </w:tc>
        <w:tc>
          <w:tcPr>
            <w:tcW w:w="2914" w:type="dxa"/>
            <w:tcBorders>
              <w:top w:val="nil"/>
              <w:left w:val="nil"/>
              <w:bottom w:val="single" w:sz="4" w:space="0" w:color="auto"/>
              <w:right w:val="single" w:sz="4" w:space="0" w:color="auto"/>
            </w:tcBorders>
            <w:vAlign w:val="center"/>
            <w:hideMark/>
          </w:tcPr>
          <w:p w14:paraId="71AE4DC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Dissemination of information, shaping public perception.</w:t>
            </w:r>
          </w:p>
        </w:tc>
        <w:tc>
          <w:tcPr>
            <w:tcW w:w="2348" w:type="dxa"/>
            <w:tcBorders>
              <w:top w:val="nil"/>
              <w:left w:val="nil"/>
              <w:bottom w:val="single" w:sz="4" w:space="0" w:color="auto"/>
              <w:right w:val="single" w:sz="4" w:space="0" w:color="auto"/>
            </w:tcBorders>
            <w:vAlign w:val="center"/>
            <w:hideMark/>
          </w:tcPr>
          <w:p w14:paraId="46E9AB2C"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National, regional and local outlets.</w:t>
            </w:r>
          </w:p>
        </w:tc>
        <w:tc>
          <w:tcPr>
            <w:tcW w:w="2741" w:type="dxa"/>
            <w:tcBorders>
              <w:top w:val="nil"/>
              <w:left w:val="nil"/>
              <w:bottom w:val="single" w:sz="4" w:space="0" w:color="auto"/>
              <w:right w:val="single" w:sz="4" w:space="0" w:color="auto"/>
            </w:tcBorders>
            <w:vAlign w:val="center"/>
            <w:hideMark/>
          </w:tcPr>
          <w:p w14:paraId="0D588A8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Press releases, media briefings, site visits for journalists.</w:t>
            </w:r>
          </w:p>
        </w:tc>
      </w:tr>
      <w:tr w:rsidR="00BB3A54" w:rsidRPr="002B3F36" w14:paraId="6DF76FBF" w14:textId="77777777" w:rsidTr="00BB3A54">
        <w:trPr>
          <w:trHeight w:val="936"/>
        </w:trPr>
        <w:tc>
          <w:tcPr>
            <w:tcW w:w="1673" w:type="dxa"/>
            <w:tcBorders>
              <w:top w:val="nil"/>
              <w:left w:val="single" w:sz="4" w:space="0" w:color="auto"/>
              <w:bottom w:val="single" w:sz="4" w:space="0" w:color="auto"/>
              <w:right w:val="single" w:sz="4" w:space="0" w:color="auto"/>
            </w:tcBorders>
            <w:vAlign w:val="center"/>
            <w:hideMark/>
          </w:tcPr>
          <w:p w14:paraId="309C4ABA"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General public and interested citizens</w:t>
            </w:r>
          </w:p>
        </w:tc>
        <w:tc>
          <w:tcPr>
            <w:tcW w:w="2914" w:type="dxa"/>
            <w:tcBorders>
              <w:top w:val="nil"/>
              <w:left w:val="nil"/>
              <w:bottom w:val="single" w:sz="4" w:space="0" w:color="auto"/>
              <w:right w:val="single" w:sz="4" w:space="0" w:color="auto"/>
            </w:tcBorders>
            <w:vAlign w:val="center"/>
            <w:hideMark/>
          </w:tcPr>
          <w:p w14:paraId="76EB96B0"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Transparency, socio-economic benefits, jobs, improved connectivity.</w:t>
            </w:r>
          </w:p>
        </w:tc>
        <w:tc>
          <w:tcPr>
            <w:tcW w:w="2348" w:type="dxa"/>
            <w:tcBorders>
              <w:top w:val="nil"/>
              <w:left w:val="nil"/>
              <w:bottom w:val="single" w:sz="4" w:space="0" w:color="auto"/>
              <w:right w:val="single" w:sz="4" w:space="0" w:color="auto"/>
            </w:tcBorders>
            <w:vAlign w:val="center"/>
            <w:hideMark/>
          </w:tcPr>
          <w:p w14:paraId="4700C4F7" w14:textId="12D128D8"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 xml:space="preserve">Broader population in </w:t>
            </w:r>
            <w:r w:rsidR="003A184C">
              <w:rPr>
                <w:rFonts w:ascii="Arial" w:eastAsia="Times New Roman" w:hAnsi="Arial" w:cs="Arial"/>
                <w:color w:val="000000"/>
                <w:sz w:val="20"/>
                <w:szCs w:val="20"/>
                <w:lang w:val="en-PH" w:eastAsia="en-PH"/>
              </w:rPr>
              <w:t>Karagandy</w:t>
            </w:r>
            <w:r w:rsidRPr="002B3F36">
              <w:rPr>
                <w:rFonts w:ascii="Arial" w:eastAsia="Times New Roman" w:hAnsi="Arial" w:cs="Arial"/>
                <w:color w:val="000000"/>
                <w:sz w:val="20"/>
                <w:szCs w:val="20"/>
                <w:lang w:val="en-PH" w:eastAsia="en-PH"/>
              </w:rPr>
              <w:t xml:space="preserve"> and Ulytau regions.</w:t>
            </w:r>
          </w:p>
        </w:tc>
        <w:tc>
          <w:tcPr>
            <w:tcW w:w="2741" w:type="dxa"/>
            <w:tcBorders>
              <w:top w:val="nil"/>
              <w:left w:val="nil"/>
              <w:bottom w:val="single" w:sz="4" w:space="0" w:color="auto"/>
              <w:right w:val="single" w:sz="4" w:space="0" w:color="auto"/>
            </w:tcBorders>
            <w:vAlign w:val="center"/>
            <w:hideMark/>
          </w:tcPr>
          <w:p w14:paraId="03910848" w14:textId="77777777" w:rsidR="00BB3A54" w:rsidRPr="002B3F36" w:rsidRDefault="00BB3A54" w:rsidP="00BB3A54">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Public consultations, open days, information via akimats, online resources.</w:t>
            </w:r>
          </w:p>
        </w:tc>
      </w:tr>
    </w:tbl>
    <w:p w14:paraId="2383904C" w14:textId="0037FB34" w:rsidR="0094383B" w:rsidRPr="002B3F36" w:rsidRDefault="0094383B">
      <w:pPr>
        <w:pStyle w:val="ReportBodyPar"/>
      </w:pPr>
    </w:p>
    <w:p w14:paraId="7EACAD10" w14:textId="41784157" w:rsidR="00BB3A54" w:rsidRPr="002B3F36" w:rsidRDefault="00BB3A54">
      <w:pPr>
        <w:pStyle w:val="ReportBodyPar"/>
      </w:pPr>
    </w:p>
    <w:p w14:paraId="3D6F7881" w14:textId="77777777" w:rsidR="00BB3A54" w:rsidRPr="002B3F36" w:rsidRDefault="00BB3A54">
      <w:pPr>
        <w:pStyle w:val="ReportBodyPar"/>
      </w:pPr>
    </w:p>
    <w:p w14:paraId="6D38B58F" w14:textId="77777777" w:rsidR="0094383B" w:rsidRPr="002B3F36" w:rsidRDefault="0094383B">
      <w:pPr>
        <w:rPr>
          <w:rFonts w:ascii="Arial" w:eastAsia="Calibri" w:hAnsi="Arial" w:cs="Arial"/>
          <w:sz w:val="24"/>
          <w:szCs w:val="24"/>
          <w:lang w:eastAsia="en-GB"/>
        </w:rPr>
      </w:pPr>
      <w:r w:rsidRPr="002B3F36">
        <w:rPr>
          <w:rFonts w:ascii="Arial" w:hAnsi="Arial" w:cs="Arial"/>
        </w:rPr>
        <w:br w:type="page"/>
      </w:r>
    </w:p>
    <w:p w14:paraId="46FF3C85" w14:textId="33213993" w:rsidR="00F61F8E" w:rsidRPr="002B3F36" w:rsidRDefault="000F264B" w:rsidP="00D153B7">
      <w:pPr>
        <w:pStyle w:val="1"/>
        <w:numPr>
          <w:ilvl w:val="0"/>
          <w:numId w:val="1"/>
        </w:numPr>
        <w:autoSpaceDE/>
        <w:autoSpaceDN/>
        <w:spacing w:line="253" w:lineRule="auto"/>
        <w:ind w:right="72"/>
        <w:jc w:val="both"/>
        <w:rPr>
          <w:rFonts w:cs="Arial"/>
        </w:rPr>
      </w:pPr>
      <w:bookmarkStart w:id="1761" w:name="_bookmark108"/>
      <w:bookmarkStart w:id="1762" w:name="_Toc208973786"/>
      <w:bookmarkStart w:id="1763" w:name="_Toc208973986"/>
      <w:bookmarkStart w:id="1764" w:name="_Toc208974186"/>
      <w:bookmarkStart w:id="1765" w:name="_Toc208974388"/>
      <w:bookmarkStart w:id="1766" w:name="_Toc208974596"/>
      <w:bookmarkStart w:id="1767" w:name="_Toc210589441"/>
      <w:bookmarkEnd w:id="1761"/>
      <w:r w:rsidRPr="002B3F36">
        <w:rPr>
          <w:rFonts w:cs="Arial"/>
        </w:rPr>
        <w:lastRenderedPageBreak/>
        <w:t>IMPACT ASSESSMENT METHODS</w:t>
      </w:r>
      <w:bookmarkEnd w:id="1762"/>
      <w:bookmarkEnd w:id="1763"/>
      <w:bookmarkEnd w:id="1764"/>
      <w:bookmarkEnd w:id="1765"/>
      <w:bookmarkEnd w:id="1766"/>
      <w:bookmarkEnd w:id="1767"/>
    </w:p>
    <w:p w14:paraId="60F01D57" w14:textId="7AE04D97" w:rsidR="00F9071B" w:rsidRPr="002B3F36" w:rsidRDefault="00F9071B" w:rsidP="000E123E">
      <w:pPr>
        <w:widowControl/>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The Environmental and Social Impact Assessment (ESIA) for the </w:t>
      </w:r>
      <w:r w:rsidR="003650DB" w:rsidRPr="002B3F36">
        <w:rPr>
          <w:rFonts w:ascii="Arial" w:eastAsia="Times New Roman" w:hAnsi="Arial" w:cs="Arial"/>
          <w:b/>
          <w:bCs/>
          <w:sz w:val="24"/>
          <w:szCs w:val="24"/>
        </w:rPr>
        <w:t xml:space="preserve">Mointy – Kyzylzhar </w:t>
      </w:r>
      <w:r w:rsidRPr="002B3F36">
        <w:rPr>
          <w:rFonts w:ascii="Arial" w:eastAsia="Times New Roman" w:hAnsi="Arial" w:cs="Arial"/>
          <w:b/>
          <w:bCs/>
          <w:sz w:val="24"/>
          <w:szCs w:val="24"/>
        </w:rPr>
        <w:t>Railway Project</w:t>
      </w:r>
      <w:r w:rsidRPr="002B3F36">
        <w:rPr>
          <w:rFonts w:ascii="Arial" w:eastAsia="Times New Roman" w:hAnsi="Arial" w:cs="Arial"/>
          <w:sz w:val="24"/>
          <w:szCs w:val="24"/>
        </w:rPr>
        <w:t xml:space="preserve"> is being conducted in accordance with the </w:t>
      </w:r>
      <w:r w:rsidR="00163238" w:rsidRPr="002B3F36">
        <w:rPr>
          <w:rFonts w:ascii="Arial" w:eastAsia="Times New Roman" w:hAnsi="Arial" w:cs="Arial"/>
          <w:b/>
          <w:sz w:val="24"/>
          <w:szCs w:val="24"/>
        </w:rPr>
        <w:t>World Bank Group</w:t>
      </w:r>
      <w:r w:rsidRPr="002B3F36">
        <w:rPr>
          <w:rFonts w:ascii="Arial" w:eastAsia="Times New Roman" w:hAnsi="Arial" w:cs="Arial"/>
          <w:sz w:val="24"/>
          <w:szCs w:val="24"/>
        </w:rPr>
        <w:t xml:space="preserve"> Performance Standards (PS) and Kazakhstan’s national legal framework, applying Good International Industry Practice (GIIP). The methodology integrates </w:t>
      </w:r>
      <w:r w:rsidRPr="002B3F36">
        <w:rPr>
          <w:rFonts w:ascii="Arial" w:eastAsia="Times New Roman" w:hAnsi="Arial" w:cs="Arial"/>
          <w:b/>
          <w:bCs/>
          <w:sz w:val="24"/>
          <w:szCs w:val="24"/>
        </w:rPr>
        <w:t>secondary data review</w:t>
      </w:r>
      <w:r w:rsidRPr="002B3F36">
        <w:rPr>
          <w:rFonts w:ascii="Arial" w:eastAsia="Times New Roman" w:hAnsi="Arial" w:cs="Arial"/>
          <w:sz w:val="24"/>
          <w:szCs w:val="24"/>
        </w:rPr>
        <w:t xml:space="preserve"> with </w:t>
      </w:r>
      <w:r w:rsidRPr="002B3F36">
        <w:rPr>
          <w:rFonts w:ascii="Arial" w:eastAsia="Times New Roman" w:hAnsi="Arial" w:cs="Arial"/>
          <w:b/>
          <w:bCs/>
          <w:sz w:val="24"/>
          <w:szCs w:val="24"/>
        </w:rPr>
        <w:t>primary data collection</w:t>
      </w:r>
      <w:r w:rsidRPr="002B3F36">
        <w:rPr>
          <w:rFonts w:ascii="Arial" w:eastAsia="Times New Roman" w:hAnsi="Arial" w:cs="Arial"/>
          <w:sz w:val="24"/>
          <w:szCs w:val="24"/>
        </w:rPr>
        <w:t xml:space="preserve"> through field surveys, socio-economic assessments, and stakeholder consultations. Environmental assessments cover air quality, noise, vibration, water, soils, and biodiversity</w:t>
      </w:r>
    </w:p>
    <w:p w14:paraId="76A27894" w14:textId="7E1D806A" w:rsidR="00F9071B" w:rsidRPr="002B3F36" w:rsidRDefault="00F9071B" w:rsidP="000E123E">
      <w:pPr>
        <w:widowControl/>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On the social dimension, the assessment addresses land acquisition, resettlement, livelihoods, labor, and community health and safety</w:t>
      </w:r>
      <w:r w:rsidR="00CE12BF" w:rsidRPr="002B3F36">
        <w:rPr>
          <w:rFonts w:ascii="Arial" w:eastAsia="Times New Roman" w:hAnsi="Arial" w:cs="Arial"/>
          <w:sz w:val="24"/>
          <w:szCs w:val="24"/>
        </w:rPr>
        <w:t xml:space="preserve">. </w:t>
      </w:r>
      <w:r w:rsidRPr="002B3F36">
        <w:rPr>
          <w:rFonts w:ascii="Arial" w:eastAsia="Times New Roman" w:hAnsi="Arial" w:cs="Arial"/>
          <w:sz w:val="24"/>
          <w:szCs w:val="24"/>
        </w:rPr>
        <w:t xml:space="preserve">Applied methodologies include household profiling, settlement reconnaissance, focus group discussions, and targeted engagement with vulnerable and marginalized groups to ensure inclusive participation. </w:t>
      </w:r>
    </w:p>
    <w:p w14:paraId="49901D7C" w14:textId="77777777" w:rsidR="007A276F" w:rsidRPr="002B3F36" w:rsidRDefault="00F9071B" w:rsidP="000E123E">
      <w:pPr>
        <w:widowControl/>
        <w:autoSpaceDE/>
        <w:autoSpaceDN/>
        <w:rPr>
          <w:rFonts w:ascii="Arial" w:eastAsia="Times New Roman" w:hAnsi="Arial" w:cs="Arial"/>
          <w:b/>
          <w:sz w:val="24"/>
          <w:szCs w:val="24"/>
        </w:rPr>
      </w:pPr>
      <w:r w:rsidRPr="002B3F36">
        <w:rPr>
          <w:rFonts w:ascii="Arial" w:eastAsia="Times New Roman" w:hAnsi="Arial" w:cs="Arial"/>
          <w:b/>
          <w:sz w:val="24"/>
          <w:szCs w:val="24"/>
        </w:rPr>
        <w:t>Key areas of focus include:</w:t>
      </w:r>
    </w:p>
    <w:p w14:paraId="61981866" w14:textId="77777777" w:rsidR="007A276F" w:rsidRPr="002B3F36" w:rsidRDefault="00F9071B" w:rsidP="007A276F">
      <w:pPr>
        <w:pStyle w:val="a0"/>
        <w:widowControl/>
        <w:numPr>
          <w:ilvl w:val="5"/>
          <w:numId w:val="41"/>
        </w:numPr>
        <w:autoSpaceDE/>
        <w:autoSpaceDN/>
        <w:ind w:left="990"/>
        <w:rPr>
          <w:rFonts w:eastAsia="Times New Roman"/>
          <w:b/>
        </w:rPr>
      </w:pPr>
      <w:r w:rsidRPr="002B3F36">
        <w:rPr>
          <w:rFonts w:eastAsia="Times New Roman"/>
        </w:rPr>
        <w:t>Minimization of land acquisition and displacement through routing optimization and engineering modifications;</w:t>
      </w:r>
    </w:p>
    <w:p w14:paraId="7A39D74F" w14:textId="77777777" w:rsidR="007A276F" w:rsidRPr="002B3F36" w:rsidRDefault="00F9071B" w:rsidP="007A276F">
      <w:pPr>
        <w:pStyle w:val="a0"/>
        <w:widowControl/>
        <w:numPr>
          <w:ilvl w:val="5"/>
          <w:numId w:val="41"/>
        </w:numPr>
        <w:autoSpaceDE/>
        <w:autoSpaceDN/>
        <w:ind w:left="990"/>
        <w:rPr>
          <w:rFonts w:eastAsia="Times New Roman"/>
          <w:b/>
        </w:rPr>
      </w:pPr>
      <w:r w:rsidRPr="002B3F36">
        <w:rPr>
          <w:rFonts w:eastAsia="Times New Roman"/>
        </w:rPr>
        <w:t>Avoidance of ecologically and culturally sensitive areas;</w:t>
      </w:r>
    </w:p>
    <w:p w14:paraId="7ADCEF6F" w14:textId="77777777" w:rsidR="007A276F" w:rsidRPr="002B3F36" w:rsidRDefault="00F9071B" w:rsidP="007A276F">
      <w:pPr>
        <w:pStyle w:val="a0"/>
        <w:widowControl/>
        <w:numPr>
          <w:ilvl w:val="5"/>
          <w:numId w:val="41"/>
        </w:numPr>
        <w:autoSpaceDE/>
        <w:autoSpaceDN/>
        <w:ind w:left="990"/>
        <w:rPr>
          <w:rFonts w:eastAsia="Times New Roman"/>
          <w:b/>
        </w:rPr>
      </w:pPr>
      <w:r w:rsidRPr="002B3F36">
        <w:rPr>
          <w:rFonts w:eastAsia="Times New Roman"/>
        </w:rPr>
        <w:t>Incorporation of occupational and community health and safety measures;</w:t>
      </w:r>
    </w:p>
    <w:p w14:paraId="34FB1B23" w14:textId="77777777" w:rsidR="007A276F" w:rsidRPr="002B3F36" w:rsidRDefault="00F9071B" w:rsidP="007A276F">
      <w:pPr>
        <w:pStyle w:val="a0"/>
        <w:widowControl/>
        <w:numPr>
          <w:ilvl w:val="5"/>
          <w:numId w:val="41"/>
        </w:numPr>
        <w:autoSpaceDE/>
        <w:autoSpaceDN/>
        <w:ind w:left="990"/>
        <w:rPr>
          <w:rFonts w:eastAsia="Times New Roman"/>
          <w:b/>
        </w:rPr>
      </w:pPr>
      <w:r w:rsidRPr="002B3F36">
        <w:rPr>
          <w:rFonts w:eastAsia="Times New Roman"/>
        </w:rPr>
        <w:t>Compliance with applicable national legislation and institutional frameworks; and</w:t>
      </w:r>
    </w:p>
    <w:p w14:paraId="51F8CE22" w14:textId="2E9D727B" w:rsidR="00F9071B" w:rsidRPr="002B3F36" w:rsidRDefault="00F9071B" w:rsidP="007A276F">
      <w:pPr>
        <w:pStyle w:val="a0"/>
        <w:widowControl/>
        <w:numPr>
          <w:ilvl w:val="5"/>
          <w:numId w:val="41"/>
        </w:numPr>
        <w:autoSpaceDE/>
        <w:autoSpaceDN/>
        <w:ind w:left="990"/>
        <w:rPr>
          <w:rFonts w:eastAsia="Times New Roman"/>
          <w:b/>
        </w:rPr>
      </w:pPr>
      <w:r w:rsidRPr="002B3F36">
        <w:rPr>
          <w:rFonts w:eastAsia="Times New Roman"/>
        </w:rPr>
        <w:t>Consistency with ESIAs for similar linear infrastructure projects in Kazakhstan and the region, incorporating lessons learned and adapting to local environmental and socio-economic conditions.</w:t>
      </w:r>
    </w:p>
    <w:p w14:paraId="0A44F58A" w14:textId="77777777" w:rsidR="007A276F" w:rsidRPr="002B3F36" w:rsidRDefault="007A276F" w:rsidP="00D153B7">
      <w:pPr>
        <w:rPr>
          <w:rFonts w:ascii="Arial" w:eastAsia="Times New Roman" w:hAnsi="Arial" w:cs="Arial"/>
          <w:sz w:val="24"/>
          <w:szCs w:val="24"/>
        </w:rPr>
      </w:pPr>
    </w:p>
    <w:p w14:paraId="43DB7CC0" w14:textId="09001352" w:rsidR="00F61F8E" w:rsidRPr="002B3F36" w:rsidRDefault="00F9071B" w:rsidP="007A276F">
      <w:pPr>
        <w:pStyle w:val="ReportBodyPar"/>
      </w:pPr>
      <w:r w:rsidRPr="002B3F36">
        <w:t xml:space="preserve">Baseline studies and risk evaluations </w:t>
      </w:r>
      <w:r w:rsidR="00B65217" w:rsidRPr="002B3F36">
        <w:t>are</w:t>
      </w:r>
      <w:r w:rsidRPr="002B3F36">
        <w:t xml:space="preserve"> developed iteratively alongside the evolving project design to ensure that findings remain representative of site-specific environmental and social conditions. </w:t>
      </w:r>
      <w:r w:rsidRPr="002B3F36">
        <w:rPr>
          <w:rStyle w:val="ReportBodyParChar"/>
        </w:rPr>
        <w:t xml:space="preserve">The ESIA methodology will be continuously refined throughout the implementation process, incorporating field observations, revised engineering inputs, and outcomes from stakeholder consultations. The </w:t>
      </w:r>
      <w:r w:rsidR="007A276F" w:rsidRPr="002B3F36">
        <w:rPr>
          <w:rStyle w:val="ReportBodyParChar"/>
        </w:rPr>
        <w:t xml:space="preserve">ES </w:t>
      </w:r>
      <w:r w:rsidRPr="002B3F36">
        <w:rPr>
          <w:rStyle w:val="ReportBodyParChar"/>
        </w:rPr>
        <w:t>Consultant will maintain close and ongoing coordination with the appointed project design team to ensure that all ESIA findings</w:t>
      </w:r>
      <w:r w:rsidR="007A276F" w:rsidRPr="002B3F36">
        <w:rPr>
          <w:rStyle w:val="ReportBodyParChar"/>
        </w:rPr>
        <w:t xml:space="preserve"> - </w:t>
      </w:r>
      <w:r w:rsidRPr="002B3F36">
        <w:rPr>
          <w:rStyle w:val="ReportBodyParChar"/>
        </w:rPr>
        <w:t>including impact mitigation and management measures</w:t>
      </w:r>
      <w:r w:rsidR="007A276F" w:rsidRPr="002B3F36">
        <w:rPr>
          <w:rStyle w:val="ReportBodyParChar"/>
        </w:rPr>
        <w:t xml:space="preserve"> - </w:t>
      </w:r>
      <w:r w:rsidRPr="002B3F36">
        <w:rPr>
          <w:rStyle w:val="ReportBodyParChar"/>
        </w:rPr>
        <w:t>are effectively integrated</w:t>
      </w:r>
      <w:r w:rsidRPr="002B3F36">
        <w:t xml:space="preserve"> into the final project design, associated documentation, and implementation plans.</w:t>
      </w:r>
    </w:p>
    <w:p w14:paraId="1C444B3D" w14:textId="77777777" w:rsidR="00CE12BF" w:rsidRPr="002B3F36" w:rsidRDefault="00CE12BF">
      <w:pPr>
        <w:rPr>
          <w:rFonts w:ascii="Arial" w:hAnsi="Arial" w:cs="Arial"/>
          <w:b/>
          <w:color w:val="1C1C1C"/>
          <w:sz w:val="24"/>
          <w:szCs w:val="24"/>
        </w:rPr>
      </w:pPr>
      <w:bookmarkStart w:id="1768" w:name="_bookmark109"/>
      <w:bookmarkStart w:id="1769" w:name="_Toc208973787"/>
      <w:bookmarkStart w:id="1770" w:name="_Toc208973987"/>
      <w:bookmarkStart w:id="1771" w:name="_Toc208974187"/>
      <w:bookmarkStart w:id="1772" w:name="_Toc208974389"/>
      <w:bookmarkStart w:id="1773" w:name="_Toc208974597"/>
      <w:bookmarkEnd w:id="1768"/>
      <w:r w:rsidRPr="002B3F36">
        <w:rPr>
          <w:rFonts w:ascii="Arial" w:hAnsi="Arial" w:cs="Arial"/>
        </w:rPr>
        <w:br w:type="page"/>
      </w:r>
    </w:p>
    <w:p w14:paraId="564DACF0" w14:textId="77777777" w:rsidR="00F61F8E" w:rsidRPr="002B3F36" w:rsidRDefault="000F264B">
      <w:pPr>
        <w:pStyle w:val="20"/>
      </w:pPr>
      <w:bookmarkStart w:id="1774" w:name="_Toc210589442"/>
      <w:r w:rsidRPr="002B3F36">
        <w:lastRenderedPageBreak/>
        <w:t>Introduction</w:t>
      </w:r>
      <w:bookmarkEnd w:id="1769"/>
      <w:bookmarkEnd w:id="1770"/>
      <w:bookmarkEnd w:id="1771"/>
      <w:bookmarkEnd w:id="1772"/>
      <w:bookmarkEnd w:id="1773"/>
      <w:bookmarkEnd w:id="1774"/>
    </w:p>
    <w:p w14:paraId="7CF04F32" w14:textId="77777777" w:rsidR="00F61F8E" w:rsidRPr="002B3F36" w:rsidRDefault="00F61F8E">
      <w:pPr>
        <w:widowControl/>
        <w:pBdr>
          <w:top w:val="nil"/>
          <w:left w:val="nil"/>
          <w:bottom w:val="nil"/>
          <w:right w:val="nil"/>
          <w:between w:val="nil"/>
        </w:pBdr>
        <w:autoSpaceDE/>
        <w:autoSpaceDN/>
        <w:rPr>
          <w:rFonts w:ascii="Arial" w:eastAsia="Arial" w:hAnsi="Arial" w:cs="Arial"/>
          <w:sz w:val="24"/>
          <w:szCs w:val="24"/>
          <w:shd w:val="clear" w:color="auto" w:fill="B7B7B7"/>
          <w:lang w:eastAsia="en-PH"/>
        </w:rPr>
      </w:pPr>
    </w:p>
    <w:p w14:paraId="2A1B3377" w14:textId="154CB234" w:rsidR="00F61F8E" w:rsidRPr="002B3F36" w:rsidRDefault="000F264B">
      <w:pPr>
        <w:pStyle w:val="ReportBodyTextNogap"/>
      </w:pPr>
      <w:r w:rsidRPr="002B3F36">
        <w:t xml:space="preserve">The Environmental and Social (ES) assessment </w:t>
      </w:r>
      <w:r w:rsidR="00B65217" w:rsidRPr="002B3F36">
        <w:t>was</w:t>
      </w:r>
      <w:r w:rsidRPr="002B3F36">
        <w:t xml:space="preserve"> conducted in accordance with the WB PS on Environmental and Social Sustainability, as well as the relevant national legal and institutional frameworks of the Republic of Kazakhstan. The assessment aim</w:t>
      </w:r>
      <w:r w:rsidR="00976A6A" w:rsidRPr="002B3F36">
        <w:t>ed</w:t>
      </w:r>
      <w:r w:rsidRPr="002B3F36">
        <w:t xml:space="preserve"> to identify and manage risks in line with Good International Industry Practice (GIIP) and ensure project sustainability across its lifecycle.</w:t>
      </w:r>
    </w:p>
    <w:p w14:paraId="4FF5AF99" w14:textId="77777777" w:rsidR="00E76391" w:rsidRPr="002B3F36" w:rsidRDefault="00E76391">
      <w:pPr>
        <w:pStyle w:val="ReportBodyTextNogap"/>
      </w:pPr>
    </w:p>
    <w:p w14:paraId="65BBD192" w14:textId="690AE8C1" w:rsidR="00E76391" w:rsidRPr="002B3F36" w:rsidRDefault="00E76391">
      <w:pPr>
        <w:pStyle w:val="ReportBodyTextNogap"/>
      </w:pPr>
      <w:r w:rsidRPr="002B3F36">
        <w:t>The process is ongoing</w:t>
      </w:r>
      <w:r w:rsidR="008A60CF" w:rsidRPr="002B3F36">
        <w:t xml:space="preserve"> and include:</w:t>
      </w:r>
    </w:p>
    <w:p w14:paraId="70923145" w14:textId="761BC904" w:rsidR="00F61F8E" w:rsidRPr="002B3F36" w:rsidRDefault="000F264B" w:rsidP="009B4CDB">
      <w:pPr>
        <w:widowControl/>
        <w:numPr>
          <w:ilvl w:val="0"/>
          <w:numId w:val="71"/>
        </w:numPr>
        <w:pBdr>
          <w:top w:val="nil"/>
          <w:left w:val="nil"/>
          <w:bottom w:val="nil"/>
          <w:right w:val="nil"/>
          <w:between w:val="nil"/>
        </w:pBdr>
        <w:autoSpaceDE/>
        <w:autoSpaceDN/>
        <w:jc w:val="both"/>
        <w:rPr>
          <w:rFonts w:ascii="Arial" w:eastAsia="Arial" w:hAnsi="Arial" w:cs="Arial"/>
          <w:sz w:val="24"/>
          <w:szCs w:val="24"/>
          <w:shd w:val="clear" w:color="auto" w:fill="B7B7B7"/>
          <w:lang w:eastAsia="en-PH"/>
        </w:rPr>
      </w:pPr>
      <w:r w:rsidRPr="002B3F36">
        <w:rPr>
          <w:rFonts w:ascii="Arial" w:eastAsia="Arial" w:hAnsi="Arial" w:cs="Arial"/>
          <w:b/>
          <w:sz w:val="24"/>
          <w:szCs w:val="24"/>
          <w:lang w:eastAsia="en-PH"/>
        </w:rPr>
        <w:t>Data Gathering –</w:t>
      </w:r>
      <w:r w:rsidRPr="002B3F36">
        <w:rPr>
          <w:rFonts w:ascii="Arial" w:eastAsia="Arial" w:hAnsi="Arial" w:cs="Arial"/>
          <w:sz w:val="24"/>
          <w:szCs w:val="24"/>
          <w:lang w:eastAsia="en-PH"/>
        </w:rPr>
        <w:t xml:space="preserve"> The ES assessment beg</w:t>
      </w:r>
      <w:r w:rsidR="00976A6A" w:rsidRPr="002B3F36">
        <w:rPr>
          <w:rFonts w:ascii="Arial" w:eastAsia="Arial" w:hAnsi="Arial" w:cs="Arial"/>
          <w:sz w:val="24"/>
          <w:szCs w:val="24"/>
          <w:lang w:eastAsia="en-PH"/>
        </w:rPr>
        <w:t>an</w:t>
      </w:r>
      <w:r w:rsidRPr="002B3F36">
        <w:rPr>
          <w:rFonts w:ascii="Arial" w:eastAsia="Arial" w:hAnsi="Arial" w:cs="Arial"/>
          <w:sz w:val="24"/>
          <w:szCs w:val="24"/>
          <w:lang w:eastAsia="en-PH"/>
        </w:rPr>
        <w:t xml:space="preserve"> with a detailed review of existing secondary data and previously conducted environmental and social studies in Kazakhstan. Where existing data </w:t>
      </w:r>
      <w:r w:rsidR="005479B5" w:rsidRPr="002B3F36">
        <w:rPr>
          <w:rFonts w:ascii="Arial" w:eastAsia="Arial" w:hAnsi="Arial" w:cs="Arial"/>
          <w:sz w:val="24"/>
          <w:szCs w:val="24"/>
          <w:lang w:eastAsia="en-PH"/>
        </w:rPr>
        <w:t>wer</w:t>
      </w:r>
      <w:r w:rsidRPr="002B3F36">
        <w:rPr>
          <w:rFonts w:ascii="Arial" w:eastAsia="Arial" w:hAnsi="Arial" w:cs="Arial"/>
          <w:sz w:val="24"/>
          <w:szCs w:val="24"/>
          <w:lang w:eastAsia="en-PH"/>
        </w:rPr>
        <w:t>e</w:t>
      </w:r>
      <w:r w:rsidR="005479B5" w:rsidRPr="002B3F36">
        <w:rPr>
          <w:rFonts w:ascii="Arial" w:eastAsia="Arial" w:hAnsi="Arial" w:cs="Arial"/>
          <w:sz w:val="24"/>
          <w:szCs w:val="24"/>
          <w:lang w:eastAsia="en-PH"/>
        </w:rPr>
        <w:t xml:space="preserve"> found</w:t>
      </w:r>
      <w:r w:rsidRPr="002B3F36">
        <w:rPr>
          <w:rFonts w:ascii="Arial" w:eastAsia="Arial" w:hAnsi="Arial" w:cs="Arial"/>
          <w:sz w:val="24"/>
          <w:szCs w:val="24"/>
          <w:lang w:eastAsia="en-PH"/>
        </w:rPr>
        <w:t xml:space="preserve"> </w:t>
      </w:r>
      <w:r w:rsidR="005479B5" w:rsidRPr="002B3F36">
        <w:rPr>
          <w:rFonts w:ascii="Arial" w:eastAsia="Arial" w:hAnsi="Arial" w:cs="Arial"/>
          <w:sz w:val="24"/>
          <w:szCs w:val="24"/>
          <w:lang w:eastAsia="en-PH"/>
        </w:rPr>
        <w:t xml:space="preserve">to be </w:t>
      </w:r>
      <w:r w:rsidRPr="002B3F36">
        <w:rPr>
          <w:rFonts w:ascii="Arial" w:eastAsia="Arial" w:hAnsi="Arial" w:cs="Arial"/>
          <w:sz w:val="24"/>
          <w:szCs w:val="24"/>
          <w:lang w:eastAsia="en-PH"/>
        </w:rPr>
        <w:t xml:space="preserve">insufficient, targeted primary data collection </w:t>
      </w:r>
      <w:r w:rsidR="00EF045E" w:rsidRPr="002B3F36">
        <w:rPr>
          <w:rFonts w:ascii="Arial" w:eastAsia="Arial" w:hAnsi="Arial" w:cs="Arial"/>
          <w:sz w:val="24"/>
          <w:szCs w:val="24"/>
          <w:lang w:eastAsia="en-PH"/>
        </w:rPr>
        <w:t>was undertaken</w:t>
      </w:r>
      <w:r w:rsidRPr="002B3F36">
        <w:rPr>
          <w:rFonts w:ascii="Arial" w:eastAsia="Arial" w:hAnsi="Arial" w:cs="Arial"/>
          <w:sz w:val="24"/>
          <w:szCs w:val="24"/>
          <w:lang w:eastAsia="en-PH"/>
        </w:rPr>
        <w:t xml:space="preserve"> using site visits, socio-economic surveys, focus group discussions (FGDs), and stakeholder interviews. </w:t>
      </w:r>
    </w:p>
    <w:p w14:paraId="33792A7D" w14:textId="20FAF75B" w:rsidR="00F61F8E" w:rsidRPr="002B3F36" w:rsidRDefault="000F264B" w:rsidP="009B4CDB">
      <w:pPr>
        <w:widowControl/>
        <w:numPr>
          <w:ilvl w:val="0"/>
          <w:numId w:val="71"/>
        </w:numPr>
        <w:pBdr>
          <w:top w:val="nil"/>
          <w:left w:val="nil"/>
          <w:bottom w:val="nil"/>
          <w:right w:val="nil"/>
          <w:between w:val="nil"/>
        </w:pBdr>
        <w:autoSpaceDE/>
        <w:autoSpaceDN/>
        <w:jc w:val="both"/>
        <w:rPr>
          <w:rFonts w:ascii="Arial" w:eastAsia="Arial" w:hAnsi="Arial" w:cs="Arial"/>
          <w:sz w:val="24"/>
          <w:szCs w:val="24"/>
          <w:lang w:eastAsia="en-PH"/>
        </w:rPr>
      </w:pPr>
      <w:r w:rsidRPr="002B3F36">
        <w:rPr>
          <w:rFonts w:ascii="Arial" w:eastAsia="Arial" w:hAnsi="Arial" w:cs="Arial"/>
          <w:b/>
          <w:sz w:val="24"/>
          <w:szCs w:val="24"/>
          <w:lang w:eastAsia="en-PH"/>
        </w:rPr>
        <w:t>Integrated Environmental and Social Risk Assessment</w:t>
      </w:r>
      <w:r w:rsidRPr="002B3F36">
        <w:rPr>
          <w:rFonts w:ascii="Arial" w:eastAsia="Arial" w:hAnsi="Arial" w:cs="Arial"/>
          <w:sz w:val="24"/>
          <w:szCs w:val="24"/>
          <w:lang w:eastAsia="en-PH"/>
        </w:rPr>
        <w:t xml:space="preserve"> – The assessment examine</w:t>
      </w:r>
      <w:r w:rsidR="005479B5" w:rsidRPr="002B3F36">
        <w:rPr>
          <w:rFonts w:ascii="Arial" w:eastAsia="Arial" w:hAnsi="Arial" w:cs="Arial"/>
          <w:sz w:val="24"/>
          <w:szCs w:val="24"/>
          <w:lang w:eastAsia="en-PH"/>
        </w:rPr>
        <w:t>d</w:t>
      </w:r>
      <w:r w:rsidRPr="002B3F36">
        <w:rPr>
          <w:rFonts w:ascii="Arial" w:eastAsia="Arial" w:hAnsi="Arial" w:cs="Arial"/>
          <w:sz w:val="24"/>
          <w:szCs w:val="24"/>
          <w:lang w:eastAsia="en-PH"/>
        </w:rPr>
        <w:t xml:space="preserve"> potential project impacts under PS1, including those related to land acquisition and displacement (PS5), biodiversity and ecosystem services (PS6), and climate-related vulnerabilities. Particular emphasis will be placed on ecologically sensitive areas and species of concern, such as Saiga tatarica. Habitat integrity, migration routes, and potential population stressors </w:t>
      </w:r>
      <w:r w:rsidR="005479B5" w:rsidRPr="002B3F36">
        <w:rPr>
          <w:rFonts w:ascii="Arial" w:eastAsia="Arial" w:hAnsi="Arial" w:cs="Arial"/>
          <w:sz w:val="24"/>
          <w:szCs w:val="24"/>
          <w:lang w:eastAsia="en-PH"/>
        </w:rPr>
        <w:t>were</w:t>
      </w:r>
      <w:r w:rsidRPr="002B3F36">
        <w:rPr>
          <w:rFonts w:ascii="Arial" w:eastAsia="Arial" w:hAnsi="Arial" w:cs="Arial"/>
          <w:sz w:val="24"/>
          <w:szCs w:val="24"/>
          <w:lang w:eastAsia="en-PH"/>
        </w:rPr>
        <w:t xml:space="preserve"> analyzed. A Biodiversity Management Plan (BMP) </w:t>
      </w:r>
      <w:r w:rsidR="005479B5" w:rsidRPr="002B3F36">
        <w:rPr>
          <w:rFonts w:ascii="Arial" w:eastAsia="Arial" w:hAnsi="Arial" w:cs="Arial"/>
          <w:sz w:val="24"/>
          <w:szCs w:val="24"/>
          <w:lang w:eastAsia="en-PH"/>
        </w:rPr>
        <w:t>was</w:t>
      </w:r>
      <w:r w:rsidRPr="002B3F36">
        <w:rPr>
          <w:rFonts w:ascii="Arial" w:eastAsia="Arial" w:hAnsi="Arial" w:cs="Arial"/>
          <w:sz w:val="24"/>
          <w:szCs w:val="24"/>
          <w:lang w:eastAsia="en-PH"/>
        </w:rPr>
        <w:t xml:space="preserve"> developed in accordance with PS6 to address habitat conservation and species protection. Climate risks, including heat extremes, floods, and drought exposure, </w:t>
      </w:r>
      <w:r w:rsidR="005479B5" w:rsidRPr="002B3F36">
        <w:rPr>
          <w:rFonts w:ascii="Arial" w:eastAsia="Arial" w:hAnsi="Arial" w:cs="Arial"/>
          <w:sz w:val="24"/>
          <w:szCs w:val="24"/>
          <w:lang w:eastAsia="en-PH"/>
        </w:rPr>
        <w:t xml:space="preserve">were </w:t>
      </w:r>
      <w:r w:rsidRPr="002B3F36">
        <w:rPr>
          <w:rFonts w:ascii="Arial" w:eastAsia="Arial" w:hAnsi="Arial" w:cs="Arial"/>
          <w:sz w:val="24"/>
          <w:szCs w:val="24"/>
          <w:lang w:eastAsia="en-PH"/>
        </w:rPr>
        <w:t xml:space="preserve">also assessed, and relevant adaptation strategies </w:t>
      </w:r>
      <w:r w:rsidR="005479B5" w:rsidRPr="002B3F36">
        <w:rPr>
          <w:rFonts w:ascii="Arial" w:eastAsia="Arial" w:hAnsi="Arial" w:cs="Arial"/>
          <w:sz w:val="24"/>
          <w:szCs w:val="24"/>
          <w:lang w:eastAsia="en-PH"/>
        </w:rPr>
        <w:t>were</w:t>
      </w:r>
      <w:r w:rsidRPr="002B3F36">
        <w:rPr>
          <w:rFonts w:ascii="Arial" w:eastAsia="Arial" w:hAnsi="Arial" w:cs="Arial"/>
          <w:sz w:val="24"/>
          <w:szCs w:val="24"/>
          <w:lang w:eastAsia="en-PH"/>
        </w:rPr>
        <w:t xml:space="preserve"> proposed consistent with PS4 and PS3.</w:t>
      </w:r>
    </w:p>
    <w:p w14:paraId="0B0AAD90" w14:textId="6171BD97" w:rsidR="00F61F8E" w:rsidRPr="002B3F36" w:rsidRDefault="000F264B" w:rsidP="009B4CDB">
      <w:pPr>
        <w:widowControl/>
        <w:numPr>
          <w:ilvl w:val="0"/>
          <w:numId w:val="71"/>
        </w:numPr>
        <w:pBdr>
          <w:top w:val="nil"/>
          <w:left w:val="nil"/>
          <w:bottom w:val="nil"/>
          <w:right w:val="nil"/>
          <w:between w:val="nil"/>
        </w:pBdr>
        <w:autoSpaceDE/>
        <w:autoSpaceDN/>
        <w:jc w:val="both"/>
        <w:rPr>
          <w:rFonts w:ascii="Arial" w:eastAsia="Arial" w:hAnsi="Arial" w:cs="Arial"/>
          <w:sz w:val="24"/>
          <w:szCs w:val="24"/>
          <w:lang w:eastAsia="en-PH"/>
        </w:rPr>
      </w:pPr>
      <w:r w:rsidRPr="002B3F36">
        <w:rPr>
          <w:rFonts w:ascii="Arial" w:eastAsia="Arial" w:hAnsi="Arial" w:cs="Arial"/>
          <w:b/>
          <w:sz w:val="24"/>
          <w:szCs w:val="24"/>
          <w:lang w:eastAsia="en-PH"/>
        </w:rPr>
        <w:t>Preparation of E&amp;S Instruments and Management Plans</w:t>
      </w:r>
      <w:r w:rsidRPr="002B3F36">
        <w:rPr>
          <w:rFonts w:ascii="Arial" w:eastAsia="Arial" w:hAnsi="Arial" w:cs="Arial"/>
          <w:sz w:val="24"/>
          <w:szCs w:val="24"/>
          <w:lang w:eastAsia="en-PH"/>
        </w:rPr>
        <w:t xml:space="preserve"> - Based on the identified environmental and social risks and impacts, all required E&amp;S instruments </w:t>
      </w:r>
      <w:r w:rsidR="005479B5" w:rsidRPr="002B3F36">
        <w:rPr>
          <w:rFonts w:ascii="Arial" w:eastAsia="Arial" w:hAnsi="Arial" w:cs="Arial"/>
          <w:sz w:val="24"/>
          <w:szCs w:val="24"/>
          <w:lang w:eastAsia="en-PH"/>
        </w:rPr>
        <w:t>were</w:t>
      </w:r>
      <w:r w:rsidRPr="002B3F36">
        <w:rPr>
          <w:rFonts w:ascii="Arial" w:eastAsia="Arial" w:hAnsi="Arial" w:cs="Arial"/>
          <w:sz w:val="24"/>
          <w:szCs w:val="24"/>
          <w:lang w:eastAsia="en-PH"/>
        </w:rPr>
        <w:t xml:space="preserve"> prepared in accordance with the project timeline and commitments under the WB PS. This include</w:t>
      </w:r>
      <w:r w:rsidR="005479B5" w:rsidRPr="002B3F36">
        <w:rPr>
          <w:rFonts w:ascii="Arial" w:eastAsia="Arial" w:hAnsi="Arial" w:cs="Arial"/>
          <w:sz w:val="24"/>
          <w:szCs w:val="24"/>
          <w:lang w:eastAsia="en-PH"/>
        </w:rPr>
        <w:t>d</w:t>
      </w:r>
      <w:r w:rsidRPr="002B3F36">
        <w:rPr>
          <w:rFonts w:ascii="Arial" w:eastAsia="Arial" w:hAnsi="Arial" w:cs="Arial"/>
          <w:sz w:val="24"/>
          <w:szCs w:val="24"/>
          <w:lang w:eastAsia="en-PH"/>
        </w:rPr>
        <w:t xml:space="preserve"> the development of a comprehensive ESMP as a core component of the E&amp;S instruments detailing mitigation measures, monitoring indicators, implementation responsibilities, and institutional arrangements consistent with </w:t>
      </w:r>
      <w:r w:rsidR="00163238" w:rsidRPr="002B3F36">
        <w:rPr>
          <w:rFonts w:ascii="Arial" w:eastAsia="Arial" w:hAnsi="Arial" w:cs="Arial"/>
          <w:sz w:val="24"/>
          <w:szCs w:val="24"/>
          <w:lang w:eastAsia="en-PH"/>
        </w:rPr>
        <w:t>WB PS</w:t>
      </w:r>
      <w:r w:rsidRPr="002B3F36">
        <w:rPr>
          <w:rFonts w:ascii="Arial" w:eastAsia="Arial" w:hAnsi="Arial" w:cs="Arial"/>
          <w:sz w:val="24"/>
          <w:szCs w:val="24"/>
          <w:lang w:eastAsia="en-PH"/>
        </w:rPr>
        <w:t>1. The ESMP and related instruments integrate</w:t>
      </w:r>
      <w:r w:rsidR="001D2379" w:rsidRPr="002B3F36">
        <w:rPr>
          <w:rFonts w:ascii="Arial" w:eastAsia="Arial" w:hAnsi="Arial" w:cs="Arial"/>
          <w:sz w:val="24"/>
          <w:szCs w:val="24"/>
          <w:lang w:eastAsia="en-PH"/>
        </w:rPr>
        <w:t>d</w:t>
      </w:r>
      <w:r w:rsidRPr="002B3F36">
        <w:rPr>
          <w:rFonts w:ascii="Arial" w:eastAsia="Arial" w:hAnsi="Arial" w:cs="Arial"/>
          <w:sz w:val="24"/>
          <w:szCs w:val="24"/>
          <w:lang w:eastAsia="en-PH"/>
        </w:rPr>
        <w:t xml:space="preserve"> the findings of biodiversity assessments, and socio-economic studies and form</w:t>
      </w:r>
      <w:r w:rsidR="009E4D88">
        <w:rPr>
          <w:rFonts w:ascii="Arial" w:eastAsia="Arial" w:hAnsi="Arial" w:cs="Arial"/>
          <w:sz w:val="24"/>
          <w:szCs w:val="24"/>
          <w:lang w:eastAsia="en-PH"/>
        </w:rPr>
        <w:t>s</w:t>
      </w:r>
      <w:r w:rsidRPr="002B3F36">
        <w:rPr>
          <w:rFonts w:ascii="Arial" w:eastAsia="Arial" w:hAnsi="Arial" w:cs="Arial"/>
          <w:sz w:val="24"/>
          <w:szCs w:val="24"/>
          <w:lang w:eastAsia="en-PH"/>
        </w:rPr>
        <w:t xml:space="preserve"> the basis for </w:t>
      </w:r>
      <w:r w:rsidR="009E4D88">
        <w:rPr>
          <w:rFonts w:ascii="Arial" w:eastAsia="Arial" w:hAnsi="Arial" w:cs="Arial"/>
          <w:sz w:val="24"/>
          <w:szCs w:val="24"/>
          <w:lang w:eastAsia="en-PH"/>
        </w:rPr>
        <w:t xml:space="preserve">continuous </w:t>
      </w:r>
      <w:r w:rsidRPr="002B3F36">
        <w:rPr>
          <w:rFonts w:ascii="Arial" w:eastAsia="Arial" w:hAnsi="Arial" w:cs="Arial"/>
          <w:sz w:val="24"/>
          <w:szCs w:val="24"/>
          <w:lang w:eastAsia="en-PH"/>
        </w:rPr>
        <w:t>engagement with stakeholders and regulatory agencies. A Monitoring Plan covering both construction and operational phases will also be incorporated, specifying key performance indicators and provisions for third-party oversight, where applicable.</w:t>
      </w:r>
    </w:p>
    <w:p w14:paraId="33B12210" w14:textId="1AFE3544" w:rsidR="00F61F8E" w:rsidRPr="002B3F36" w:rsidRDefault="000F264B" w:rsidP="009B4CDB">
      <w:pPr>
        <w:widowControl/>
        <w:numPr>
          <w:ilvl w:val="0"/>
          <w:numId w:val="71"/>
        </w:numPr>
        <w:pBdr>
          <w:top w:val="nil"/>
          <w:left w:val="nil"/>
          <w:bottom w:val="nil"/>
          <w:right w:val="nil"/>
          <w:between w:val="nil"/>
        </w:pBdr>
        <w:autoSpaceDE/>
        <w:autoSpaceDN/>
        <w:jc w:val="both"/>
        <w:rPr>
          <w:rFonts w:ascii="Arial" w:eastAsia="Arial" w:hAnsi="Arial" w:cs="Arial"/>
          <w:sz w:val="24"/>
          <w:szCs w:val="24"/>
          <w:lang w:eastAsia="en-PH"/>
        </w:rPr>
      </w:pPr>
      <w:r w:rsidRPr="002B3F36">
        <w:rPr>
          <w:rFonts w:ascii="Arial" w:eastAsia="Arial" w:hAnsi="Arial" w:cs="Arial"/>
          <w:b/>
          <w:sz w:val="24"/>
          <w:szCs w:val="24"/>
          <w:lang w:eastAsia="en-PH"/>
        </w:rPr>
        <w:t>Stakeholder Engagement and Disclosure</w:t>
      </w:r>
      <w:r w:rsidRPr="002B3F36">
        <w:rPr>
          <w:rFonts w:ascii="Arial" w:eastAsia="Arial" w:hAnsi="Arial" w:cs="Arial"/>
          <w:sz w:val="24"/>
          <w:szCs w:val="24"/>
          <w:lang w:eastAsia="en-PH"/>
        </w:rPr>
        <w:t xml:space="preserve"> – In accordance with PS1, stakeholder engagement will be carried out throughout the assessment process. The ES Consultant support</w:t>
      </w:r>
      <w:r w:rsidR="001D2379" w:rsidRPr="002B3F36">
        <w:rPr>
          <w:rFonts w:ascii="Arial" w:eastAsia="Arial" w:hAnsi="Arial" w:cs="Arial"/>
          <w:sz w:val="24"/>
          <w:szCs w:val="24"/>
          <w:lang w:eastAsia="en-PH"/>
        </w:rPr>
        <w:t>ed</w:t>
      </w:r>
      <w:r w:rsidRPr="002B3F36">
        <w:rPr>
          <w:rFonts w:ascii="Arial" w:eastAsia="Arial" w:hAnsi="Arial" w:cs="Arial"/>
          <w:sz w:val="24"/>
          <w:szCs w:val="24"/>
          <w:lang w:eastAsia="en-PH"/>
        </w:rPr>
        <w:t xml:space="preserve"> the planning and facilitation of public consultations, ensuring that potentially affected persons and interested stakeholders </w:t>
      </w:r>
      <w:r w:rsidR="001D2379" w:rsidRPr="002B3F36">
        <w:rPr>
          <w:rFonts w:ascii="Arial" w:eastAsia="Arial" w:hAnsi="Arial" w:cs="Arial"/>
          <w:sz w:val="24"/>
          <w:szCs w:val="24"/>
          <w:lang w:eastAsia="en-PH"/>
        </w:rPr>
        <w:t xml:space="preserve">were </w:t>
      </w:r>
      <w:r w:rsidRPr="002B3F36">
        <w:rPr>
          <w:rFonts w:ascii="Arial" w:eastAsia="Arial" w:hAnsi="Arial" w:cs="Arial"/>
          <w:sz w:val="24"/>
          <w:szCs w:val="24"/>
          <w:lang w:eastAsia="en-PH"/>
        </w:rPr>
        <w:t xml:space="preserve">informed about project risks, mitigation measures, and grievance mechanisms. Feedback received during engagement activities </w:t>
      </w:r>
      <w:r w:rsidR="001D2379" w:rsidRPr="002B3F36">
        <w:rPr>
          <w:rFonts w:ascii="Arial" w:eastAsia="Arial" w:hAnsi="Arial" w:cs="Arial"/>
          <w:sz w:val="24"/>
          <w:szCs w:val="24"/>
          <w:lang w:eastAsia="en-PH"/>
        </w:rPr>
        <w:t>was</w:t>
      </w:r>
      <w:r w:rsidRPr="002B3F36">
        <w:rPr>
          <w:rFonts w:ascii="Arial" w:eastAsia="Arial" w:hAnsi="Arial" w:cs="Arial"/>
          <w:sz w:val="24"/>
          <w:szCs w:val="24"/>
          <w:lang w:eastAsia="en-PH"/>
        </w:rPr>
        <w:t xml:space="preserve"> systematically documented and incorporated into the planning process.</w:t>
      </w:r>
    </w:p>
    <w:p w14:paraId="6C7F759D" w14:textId="308D1A9E" w:rsidR="00F61F8E" w:rsidRPr="002B3F36" w:rsidRDefault="000F264B" w:rsidP="009B4CDB">
      <w:pPr>
        <w:widowControl/>
        <w:numPr>
          <w:ilvl w:val="0"/>
          <w:numId w:val="71"/>
        </w:numPr>
        <w:pBdr>
          <w:top w:val="nil"/>
          <w:left w:val="nil"/>
          <w:bottom w:val="nil"/>
          <w:right w:val="nil"/>
          <w:between w:val="nil"/>
        </w:pBdr>
        <w:autoSpaceDE/>
        <w:autoSpaceDN/>
        <w:jc w:val="both"/>
        <w:rPr>
          <w:rFonts w:ascii="Arial" w:eastAsia="Arial" w:hAnsi="Arial" w:cs="Arial"/>
          <w:sz w:val="24"/>
          <w:szCs w:val="24"/>
          <w:shd w:val="clear" w:color="auto" w:fill="B7B7B7"/>
          <w:lang w:eastAsia="en-PH"/>
        </w:rPr>
      </w:pPr>
      <w:r w:rsidRPr="002B3F36">
        <w:rPr>
          <w:rFonts w:ascii="Arial" w:eastAsia="Arial" w:hAnsi="Arial" w:cs="Arial"/>
          <w:b/>
          <w:sz w:val="24"/>
          <w:szCs w:val="24"/>
          <w:lang w:eastAsia="en-PH"/>
        </w:rPr>
        <w:t>Finalization of ES Instruments</w:t>
      </w:r>
      <w:r w:rsidRPr="002B3F36">
        <w:rPr>
          <w:rFonts w:ascii="Arial" w:eastAsia="Arial" w:hAnsi="Arial" w:cs="Arial"/>
          <w:sz w:val="24"/>
          <w:szCs w:val="24"/>
          <w:lang w:eastAsia="en-PH"/>
        </w:rPr>
        <w:t xml:space="preserve"> – Final ES documents will be updated to reflect stakeholder input</w:t>
      </w:r>
      <w:r w:rsidR="001D2379" w:rsidRPr="002B3F36">
        <w:rPr>
          <w:rFonts w:ascii="Arial" w:eastAsia="Arial" w:hAnsi="Arial" w:cs="Arial"/>
          <w:sz w:val="24"/>
          <w:szCs w:val="24"/>
          <w:lang w:eastAsia="en-PH"/>
        </w:rPr>
        <w:t>s</w:t>
      </w:r>
      <w:r w:rsidRPr="002B3F36">
        <w:rPr>
          <w:rFonts w:ascii="Arial" w:eastAsia="Arial" w:hAnsi="Arial" w:cs="Arial"/>
          <w:sz w:val="24"/>
          <w:szCs w:val="24"/>
          <w:lang w:eastAsia="en-PH"/>
        </w:rPr>
        <w:t xml:space="preserve"> and revisions requested by the Client and lenders. These</w:t>
      </w:r>
      <w:r w:rsidRPr="002B3F36">
        <w:rPr>
          <w:rFonts w:ascii="Arial" w:eastAsia="Arial" w:hAnsi="Arial" w:cs="Arial"/>
          <w:sz w:val="24"/>
          <w:szCs w:val="24"/>
          <w:shd w:val="clear" w:color="auto" w:fill="B7B7B7"/>
          <w:lang w:eastAsia="en-PH"/>
        </w:rPr>
        <w:t xml:space="preserve"> </w:t>
      </w:r>
      <w:r w:rsidRPr="002B3F36">
        <w:rPr>
          <w:rFonts w:ascii="Arial" w:eastAsia="Arial" w:hAnsi="Arial" w:cs="Arial"/>
          <w:sz w:val="24"/>
          <w:szCs w:val="24"/>
          <w:lang w:eastAsia="en-PH"/>
        </w:rPr>
        <w:t>deliverables will support project-level decision-making and will be disclosed in line with the transparency and disclosure requirements of PS1 and national safeguard procedures. The finalized instruments will serve as binding documents for implementation, monitoring, and compliance throughout the project lifecycle.</w:t>
      </w:r>
    </w:p>
    <w:p w14:paraId="70D002FD" w14:textId="77777777" w:rsidR="00F61F8E" w:rsidRPr="002B3F36" w:rsidRDefault="00F61F8E">
      <w:pPr>
        <w:pStyle w:val="ReportBodyTextNogap"/>
      </w:pPr>
    </w:p>
    <w:p w14:paraId="2E84F95E" w14:textId="099E1777" w:rsidR="00F61F8E" w:rsidRPr="002B3F36" w:rsidRDefault="00AB56EB" w:rsidP="00D153B7">
      <w:pPr>
        <w:pStyle w:val="20"/>
      </w:pPr>
      <w:bookmarkStart w:id="1775" w:name="_Toc208973788"/>
      <w:bookmarkStart w:id="1776" w:name="_Toc208973988"/>
      <w:bookmarkStart w:id="1777" w:name="_Toc208974188"/>
      <w:bookmarkStart w:id="1778" w:name="_Toc208974390"/>
      <w:bookmarkStart w:id="1779" w:name="_Toc208974598"/>
      <w:bookmarkStart w:id="1780" w:name="_Toc210589443"/>
      <w:r w:rsidRPr="002B3F36">
        <w:t xml:space="preserve">Environmental and Social </w:t>
      </w:r>
      <w:r w:rsidR="000F264B" w:rsidRPr="002B3F36">
        <w:t>Screening</w:t>
      </w:r>
      <w:bookmarkEnd w:id="1775"/>
      <w:bookmarkEnd w:id="1776"/>
      <w:bookmarkEnd w:id="1777"/>
      <w:bookmarkEnd w:id="1778"/>
      <w:bookmarkEnd w:id="1779"/>
      <w:bookmarkEnd w:id="1780"/>
    </w:p>
    <w:p w14:paraId="7636457F" w14:textId="275F3DD7" w:rsidR="00B65217" w:rsidRPr="00406A19" w:rsidRDefault="00406A19" w:rsidP="00F82096">
      <w:pPr>
        <w:rPr>
          <w:lang w:val="ru-RU"/>
        </w:rPr>
      </w:pPr>
      <w:r>
        <w:rPr>
          <w:lang w:val="ru-RU"/>
        </w:rPr>
        <w:t xml:space="preserve">, </w:t>
      </w:r>
    </w:p>
    <w:p w14:paraId="4B130D07" w14:textId="197F6E4E" w:rsidR="00AB56EB" w:rsidRPr="002B3F36" w:rsidRDefault="00AB56EB" w:rsidP="00F82096">
      <w:pPr>
        <w:pStyle w:val="ReportBodyPar"/>
        <w:rPr>
          <w:rFonts w:eastAsia="Times New Roman"/>
        </w:rPr>
      </w:pPr>
      <w:r w:rsidRPr="002B3F36">
        <w:lastRenderedPageBreak/>
        <w:t>Preliminary environmental and social screening for the</w:t>
      </w:r>
      <w:r w:rsidR="00B74A83" w:rsidRPr="002B3F36">
        <w:t xml:space="preserve"> Project identified the following key risks and impacts:</w:t>
      </w:r>
      <w:r w:rsidRPr="002B3F36">
        <w:t xml:space="preserve"> </w:t>
      </w:r>
    </w:p>
    <w:p w14:paraId="7B72AED0" w14:textId="46965EB4" w:rsidR="00F61F8E" w:rsidRPr="002B3F36" w:rsidRDefault="00F61F8E">
      <w:pPr>
        <w:widowControl/>
        <w:autoSpaceDE/>
        <w:autoSpaceDN/>
        <w:jc w:val="both"/>
        <w:rPr>
          <w:rFonts w:ascii="Arial" w:eastAsia="Arial" w:hAnsi="Arial" w:cs="Arial"/>
          <w:sz w:val="24"/>
          <w:szCs w:val="24"/>
          <w:lang w:eastAsia="en-PH"/>
        </w:rPr>
      </w:pPr>
    </w:p>
    <w:p w14:paraId="79A94C55" w14:textId="78155D50" w:rsidR="00F61F8E" w:rsidRPr="002B3F36" w:rsidRDefault="000F264B" w:rsidP="00D153B7">
      <w:pPr>
        <w:pStyle w:val="CaptionTable"/>
      </w:pPr>
      <w:bookmarkStart w:id="1781" w:name="_Toc205120607"/>
      <w:bookmarkStart w:id="1782" w:name="_Toc210589559"/>
      <w:r w:rsidRPr="002B3F36">
        <w:t xml:space="preserve">Table </w:t>
      </w:r>
      <w:r w:rsidR="00F3729F" w:rsidRPr="002B3F36">
        <w:fldChar w:fldCharType="begin"/>
      </w:r>
      <w:r w:rsidR="00F3729F" w:rsidRPr="002B3F36">
        <w:rPr>
          <w:noProof/>
        </w:rPr>
        <w:instrText xml:space="preserve"> SEQ Table \* ARABIC </w:instrText>
      </w:r>
      <w:r w:rsidR="00F3729F" w:rsidRPr="002B3F36">
        <w:fldChar w:fldCharType="separate"/>
      </w:r>
      <w:r w:rsidR="00A023DA">
        <w:rPr>
          <w:noProof/>
        </w:rPr>
        <w:t>15</w:t>
      </w:r>
      <w:r w:rsidR="00F3729F" w:rsidRPr="002B3F36">
        <w:fldChar w:fldCharType="end"/>
      </w:r>
      <w:r w:rsidRPr="002B3F36">
        <w:t>: Key Environmental Risk Areas for Greenfield Project (WB PS)</w:t>
      </w:r>
      <w:bookmarkEnd w:id="1781"/>
      <w:bookmarkEnd w:id="1782"/>
    </w:p>
    <w:tbl>
      <w:tblPr>
        <w:tblW w:w="9810" w:type="dxa"/>
        <w:tblInd w:w="-5" w:type="dxa"/>
        <w:tblLayout w:type="fixed"/>
        <w:tblLook w:val="04A0" w:firstRow="1" w:lastRow="0" w:firstColumn="1" w:lastColumn="0" w:noHBand="0" w:noVBand="1"/>
      </w:tblPr>
      <w:tblGrid>
        <w:gridCol w:w="1985"/>
        <w:gridCol w:w="2693"/>
        <w:gridCol w:w="3647"/>
        <w:gridCol w:w="1485"/>
      </w:tblGrid>
      <w:tr w:rsidR="00F61F8E" w:rsidRPr="002B3F36" w14:paraId="3027198D" w14:textId="77777777" w:rsidTr="053809F4">
        <w:trPr>
          <w:trHeight w:val="312"/>
          <w:tblHeader/>
        </w:trPr>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E252EF"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Risk Area</w:t>
            </w:r>
          </w:p>
        </w:tc>
        <w:tc>
          <w:tcPr>
            <w:tcW w:w="2693"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B9496FA"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Description</w:t>
            </w:r>
          </w:p>
        </w:tc>
        <w:tc>
          <w:tcPr>
            <w:tcW w:w="364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E70F447"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Potential Impacts</w:t>
            </w:r>
          </w:p>
        </w:tc>
        <w:tc>
          <w:tcPr>
            <w:tcW w:w="148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E57FA39"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WB PS Relevance</w:t>
            </w:r>
          </w:p>
        </w:tc>
      </w:tr>
      <w:tr w:rsidR="00F61F8E" w:rsidRPr="002B3F36" w14:paraId="3164FB0D" w14:textId="77777777" w:rsidTr="00D153B7">
        <w:trPr>
          <w:trHeight w:val="900"/>
        </w:trPr>
        <w:tc>
          <w:tcPr>
            <w:tcW w:w="1985" w:type="dxa"/>
            <w:tcBorders>
              <w:top w:val="nil"/>
              <w:left w:val="single" w:sz="4" w:space="0" w:color="auto"/>
              <w:bottom w:val="single" w:sz="4" w:space="0" w:color="auto"/>
              <w:right w:val="single" w:sz="4" w:space="0" w:color="auto"/>
            </w:tcBorders>
            <w:vAlign w:val="center"/>
            <w:hideMark/>
          </w:tcPr>
          <w:p w14:paraId="670BFC94"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Protected Area – Andasai Sanctuary</w:t>
            </w:r>
          </w:p>
        </w:tc>
        <w:tc>
          <w:tcPr>
            <w:tcW w:w="2693" w:type="dxa"/>
            <w:tcBorders>
              <w:top w:val="nil"/>
              <w:left w:val="nil"/>
              <w:bottom w:val="single" w:sz="4" w:space="0" w:color="auto"/>
              <w:right w:val="single" w:sz="4" w:space="0" w:color="auto"/>
            </w:tcBorders>
            <w:vAlign w:val="center"/>
            <w:hideMark/>
          </w:tcPr>
          <w:p w14:paraId="69A49731"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Only small portions crossed; localized impact</w:t>
            </w:r>
          </w:p>
        </w:tc>
        <w:tc>
          <w:tcPr>
            <w:tcW w:w="3647" w:type="dxa"/>
            <w:tcBorders>
              <w:top w:val="nil"/>
              <w:left w:val="nil"/>
              <w:bottom w:val="single" w:sz="4" w:space="0" w:color="auto"/>
              <w:right w:val="single" w:sz="4" w:space="0" w:color="auto"/>
            </w:tcBorders>
            <w:vAlign w:val="center"/>
            <w:hideMark/>
          </w:tcPr>
          <w:p w14:paraId="6A491FD2" w14:textId="5ECFE172" w:rsidR="00F61F8E" w:rsidRPr="00406A19" w:rsidRDefault="000F264B">
            <w:pPr>
              <w:widowControl/>
              <w:autoSpaceDE/>
              <w:autoSpaceDN/>
              <w:rPr>
                <w:rFonts w:ascii="Arial" w:eastAsia="Times New Roman" w:hAnsi="Arial" w:cs="Arial"/>
                <w:color w:val="000000"/>
                <w:sz w:val="20"/>
                <w:szCs w:val="20"/>
                <w:lang w:eastAsia="en-PH"/>
              </w:rPr>
            </w:pPr>
            <w:r w:rsidRPr="002B3F36">
              <w:rPr>
                <w:rFonts w:ascii="Arial" w:eastAsia="Times New Roman" w:hAnsi="Arial" w:cs="Arial"/>
                <w:color w:val="000000"/>
                <w:sz w:val="20"/>
                <w:szCs w:val="20"/>
                <w:lang w:val="en-PH" w:eastAsia="en-PH"/>
              </w:rPr>
              <w:t>Minor habitat disturbance, increased access potential, localized edge effects</w:t>
            </w:r>
            <w:r w:rsidR="00406A19" w:rsidRPr="00406A19">
              <w:rPr>
                <w:rFonts w:ascii="Arial" w:eastAsia="Times New Roman" w:hAnsi="Arial" w:cs="Arial"/>
                <w:color w:val="000000"/>
                <w:sz w:val="20"/>
                <w:szCs w:val="20"/>
                <w:lang w:eastAsia="en-PH"/>
              </w:rPr>
              <w:t xml:space="preserve">, </w:t>
            </w:r>
            <w:r w:rsidR="00406A19">
              <w:rPr>
                <w:rFonts w:ascii="Arial" w:eastAsia="Times New Roman" w:hAnsi="Arial" w:cs="Arial"/>
                <w:color w:val="000000"/>
                <w:sz w:val="20"/>
                <w:szCs w:val="20"/>
                <w:lang w:eastAsia="en-PH"/>
              </w:rPr>
              <w:t>fragmentation of habitats</w:t>
            </w:r>
          </w:p>
        </w:tc>
        <w:tc>
          <w:tcPr>
            <w:tcW w:w="1485" w:type="dxa"/>
            <w:tcBorders>
              <w:top w:val="nil"/>
              <w:left w:val="nil"/>
              <w:bottom w:val="single" w:sz="4" w:space="0" w:color="auto"/>
              <w:right w:val="single" w:sz="4" w:space="0" w:color="auto"/>
            </w:tcBorders>
            <w:vAlign w:val="center"/>
            <w:hideMark/>
          </w:tcPr>
          <w:p w14:paraId="62F6CEB6"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PS6</w:t>
            </w:r>
          </w:p>
        </w:tc>
      </w:tr>
      <w:tr w:rsidR="000C6280" w:rsidRPr="002B3F36" w14:paraId="4E7C8E6B" w14:textId="77777777" w:rsidTr="00D153B7">
        <w:trPr>
          <w:trHeight w:val="624"/>
        </w:trPr>
        <w:tc>
          <w:tcPr>
            <w:tcW w:w="1985" w:type="dxa"/>
            <w:tcBorders>
              <w:top w:val="nil"/>
              <w:left w:val="single" w:sz="4" w:space="0" w:color="auto"/>
              <w:bottom w:val="single" w:sz="4" w:space="0" w:color="auto"/>
              <w:right w:val="single" w:sz="4" w:space="0" w:color="auto"/>
            </w:tcBorders>
            <w:vAlign w:val="center"/>
          </w:tcPr>
          <w:p w14:paraId="7BE18D2F" w14:textId="68DBF3CB" w:rsidR="000C6280" w:rsidRPr="002B3F36" w:rsidRDefault="000C6280">
            <w:pPr>
              <w:widowControl/>
              <w:autoSpaceDE/>
              <w:autoSpaceDN/>
              <w:rPr>
                <w:rFonts w:ascii="Arial" w:eastAsia="Times New Roman" w:hAnsi="Arial" w:cs="Arial"/>
                <w:b/>
                <w:bCs/>
                <w:color w:val="000000"/>
                <w:sz w:val="20"/>
                <w:szCs w:val="20"/>
                <w:lang w:val="en-PH" w:eastAsia="en-PH"/>
              </w:rPr>
            </w:pPr>
            <w:r w:rsidRPr="00A846C7">
              <w:rPr>
                <w:rFonts w:ascii="Arial" w:eastAsia="Times New Roman" w:hAnsi="Arial" w:cs="Arial"/>
                <w:b/>
                <w:bCs/>
                <w:color w:val="000000"/>
                <w:sz w:val="20"/>
                <w:szCs w:val="20"/>
                <w:lang w:eastAsia="en-PH"/>
              </w:rPr>
              <w:t xml:space="preserve">KBA (Key Biodiversity Areas, Important Bird Areas) - </w:t>
            </w:r>
            <w:r w:rsidRPr="00A846C7">
              <w:rPr>
                <w:rFonts w:ascii="Arial" w:eastAsia="Times New Roman" w:hAnsi="Arial" w:cs="Arial"/>
                <w:color w:val="000000"/>
                <w:lang w:eastAsia="ru-RU"/>
              </w:rPr>
              <w:t>Ortau Upland Massif (KZ064) and Ayak-Bestau Hills (KZ063)</w:t>
            </w:r>
          </w:p>
        </w:tc>
        <w:tc>
          <w:tcPr>
            <w:tcW w:w="2693" w:type="dxa"/>
            <w:tcBorders>
              <w:top w:val="nil"/>
              <w:left w:val="nil"/>
              <w:bottom w:val="single" w:sz="4" w:space="0" w:color="auto"/>
              <w:right w:val="single" w:sz="4" w:space="0" w:color="auto"/>
            </w:tcBorders>
            <w:vAlign w:val="center"/>
          </w:tcPr>
          <w:p w14:paraId="16F242A2" w14:textId="5D6CF7BD" w:rsidR="000C6280" w:rsidRPr="00A846C7" w:rsidRDefault="000C6280">
            <w:pPr>
              <w:widowControl/>
              <w:autoSpaceDE/>
              <w:autoSpaceDN/>
              <w:rPr>
                <w:rFonts w:ascii="Arial" w:eastAsia="Times New Roman" w:hAnsi="Arial" w:cs="Arial"/>
                <w:color w:val="000000"/>
                <w:sz w:val="20"/>
                <w:szCs w:val="20"/>
                <w:lang w:val="en-PH" w:eastAsia="en-PH"/>
              </w:rPr>
            </w:pPr>
            <w:r w:rsidRPr="00A846C7">
              <w:rPr>
                <w:rFonts w:ascii="Arial" w:eastAsia="Times New Roman" w:hAnsi="Arial" w:cs="Arial"/>
                <w:color w:val="000000"/>
                <w:sz w:val="20"/>
                <w:szCs w:val="20"/>
                <w:lang w:val="en-PH" w:eastAsia="en-PH"/>
              </w:rPr>
              <w:t>Visible portions crossed (80 and 45 km</w:t>
            </w:r>
            <w:r w:rsidR="00EF045E" w:rsidRPr="00A846C7">
              <w:rPr>
                <w:rFonts w:ascii="Arial" w:eastAsia="Times New Roman" w:hAnsi="Arial" w:cs="Arial"/>
                <w:color w:val="000000"/>
                <w:sz w:val="20"/>
                <w:szCs w:val="20"/>
                <w:lang w:val="en-PH" w:eastAsia="en-PH"/>
              </w:rPr>
              <w:t>); localized</w:t>
            </w:r>
            <w:r w:rsidRPr="00A846C7">
              <w:rPr>
                <w:rFonts w:ascii="Arial" w:eastAsia="Times New Roman" w:hAnsi="Arial" w:cs="Arial"/>
                <w:color w:val="000000"/>
                <w:sz w:val="20"/>
                <w:szCs w:val="20"/>
                <w:lang w:val="en-PH" w:eastAsia="en-PH"/>
              </w:rPr>
              <w:t xml:space="preserve"> impact.</w:t>
            </w:r>
          </w:p>
        </w:tc>
        <w:tc>
          <w:tcPr>
            <w:tcW w:w="3647" w:type="dxa"/>
            <w:tcBorders>
              <w:top w:val="nil"/>
              <w:left w:val="nil"/>
              <w:bottom w:val="single" w:sz="4" w:space="0" w:color="auto"/>
              <w:right w:val="single" w:sz="4" w:space="0" w:color="auto"/>
            </w:tcBorders>
            <w:vAlign w:val="center"/>
          </w:tcPr>
          <w:p w14:paraId="66F2EC62" w14:textId="11DC4C38" w:rsidR="000C6280" w:rsidRPr="00A846C7" w:rsidRDefault="000C6280">
            <w:pPr>
              <w:widowControl/>
              <w:autoSpaceDE/>
              <w:autoSpaceDN/>
              <w:rPr>
                <w:rFonts w:ascii="Arial" w:eastAsia="Calibri" w:hAnsi="Arial" w:cs="Arial"/>
                <w:sz w:val="24"/>
                <w:szCs w:val="24"/>
              </w:rPr>
            </w:pPr>
            <w:r w:rsidRPr="00A846C7">
              <w:rPr>
                <w:rFonts w:ascii="Arial" w:eastAsia="Times New Roman" w:hAnsi="Arial" w:cs="Arial"/>
                <w:color w:val="222222"/>
                <w:sz w:val="20"/>
                <w:szCs w:val="20"/>
                <w:lang w:eastAsia="en-PH"/>
              </w:rPr>
              <w:t>Significant habitat disturbance/destruction in certain areas along the work line,</w:t>
            </w:r>
            <w:r w:rsidRPr="00A846C7">
              <w:rPr>
                <w:rFonts w:ascii="Arial" w:eastAsia="Times New Roman" w:hAnsi="Arial" w:cs="Arial"/>
                <w:color w:val="000000"/>
                <w:sz w:val="20"/>
                <w:szCs w:val="20"/>
                <w:lang w:val="en-PH" w:eastAsia="en-PH"/>
              </w:rPr>
              <w:t xml:space="preserve"> increased access potential, localized edge effects</w:t>
            </w:r>
            <w:r w:rsidR="00406A19">
              <w:rPr>
                <w:rFonts w:ascii="Arial" w:eastAsia="Times New Roman" w:hAnsi="Arial" w:cs="Arial"/>
                <w:color w:val="000000"/>
                <w:sz w:val="20"/>
                <w:szCs w:val="20"/>
                <w:lang w:eastAsia="en-PH"/>
              </w:rPr>
              <w:t>, fragmentation of habitats</w:t>
            </w:r>
            <w:r w:rsidRPr="00A846C7">
              <w:rPr>
                <w:rFonts w:ascii="Arial" w:eastAsia="Times New Roman" w:hAnsi="Arial" w:cs="Arial"/>
                <w:color w:val="000000"/>
                <w:sz w:val="20"/>
                <w:szCs w:val="20"/>
                <w:lang w:eastAsia="en-PH"/>
              </w:rPr>
              <w:t xml:space="preserve">. Core nesting areas of protected birds will be avoided by the project. </w:t>
            </w:r>
          </w:p>
        </w:tc>
        <w:tc>
          <w:tcPr>
            <w:tcW w:w="1485" w:type="dxa"/>
            <w:tcBorders>
              <w:top w:val="nil"/>
              <w:left w:val="nil"/>
              <w:bottom w:val="single" w:sz="4" w:space="0" w:color="auto"/>
              <w:right w:val="single" w:sz="4" w:space="0" w:color="auto"/>
            </w:tcBorders>
            <w:vAlign w:val="center"/>
          </w:tcPr>
          <w:p w14:paraId="106359E6" w14:textId="5AF0B29E" w:rsidR="000C6280" w:rsidRPr="002B3F36" w:rsidRDefault="000C6280">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b/>
                <w:bCs/>
                <w:color w:val="000000"/>
                <w:sz w:val="20"/>
                <w:szCs w:val="20"/>
                <w:lang w:val="en-PH" w:eastAsia="en-PH"/>
              </w:rPr>
              <w:t>PS6</w:t>
            </w:r>
          </w:p>
        </w:tc>
      </w:tr>
      <w:tr w:rsidR="000C6280" w:rsidRPr="002B3F36" w14:paraId="36C8E447" w14:textId="77777777" w:rsidTr="00D153B7">
        <w:trPr>
          <w:trHeight w:val="624"/>
        </w:trPr>
        <w:tc>
          <w:tcPr>
            <w:tcW w:w="1985" w:type="dxa"/>
            <w:tcBorders>
              <w:top w:val="nil"/>
              <w:left w:val="single" w:sz="4" w:space="0" w:color="auto"/>
              <w:bottom w:val="single" w:sz="4" w:space="0" w:color="auto"/>
              <w:right w:val="single" w:sz="4" w:space="0" w:color="auto"/>
            </w:tcBorders>
            <w:vAlign w:val="center"/>
            <w:hideMark/>
          </w:tcPr>
          <w:p w14:paraId="0A0000E3" w14:textId="3868E8C6" w:rsidR="000C6280" w:rsidRPr="002B3F36" w:rsidRDefault="000C6280" w:rsidP="000C6280">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 xml:space="preserve">Terrestrial Fauna </w:t>
            </w:r>
          </w:p>
        </w:tc>
        <w:tc>
          <w:tcPr>
            <w:tcW w:w="2693" w:type="dxa"/>
            <w:tcBorders>
              <w:top w:val="nil"/>
              <w:left w:val="nil"/>
              <w:bottom w:val="single" w:sz="4" w:space="0" w:color="auto"/>
              <w:right w:val="single" w:sz="4" w:space="0" w:color="auto"/>
            </w:tcBorders>
            <w:vAlign w:val="center"/>
            <w:hideMark/>
          </w:tcPr>
          <w:p w14:paraId="068FE3D0" w14:textId="2BB6C8FA" w:rsidR="000C6280" w:rsidRPr="002B3F36" w:rsidRDefault="000C6280" w:rsidP="000C6280">
            <w:pPr>
              <w:widowControl/>
              <w:autoSpaceDE/>
              <w:autoSpaceDN/>
              <w:rPr>
                <w:rFonts w:ascii="Arial" w:eastAsia="Times New Roman" w:hAnsi="Arial" w:cs="Arial"/>
                <w:color w:val="000000"/>
                <w:sz w:val="20"/>
                <w:szCs w:val="20"/>
                <w:lang w:val="en-PH" w:eastAsia="en-PH"/>
              </w:rPr>
            </w:pPr>
            <w:r w:rsidRPr="00A846C7">
              <w:rPr>
                <w:rFonts w:ascii="Arial" w:eastAsia="Times New Roman" w:hAnsi="Arial" w:cs="Arial"/>
                <w:color w:val="000000"/>
                <w:sz w:val="20"/>
                <w:szCs w:val="20"/>
                <w:lang w:eastAsia="en-PH"/>
              </w:rPr>
              <w:t>S</w:t>
            </w:r>
            <w:r w:rsidRPr="00A846C7">
              <w:rPr>
                <w:rFonts w:ascii="Arial" w:eastAsia="Times New Roman" w:hAnsi="Arial" w:cs="Arial"/>
                <w:color w:val="000000"/>
                <w:sz w:val="20"/>
                <w:szCs w:val="20"/>
                <w:lang w:val="en" w:eastAsia="en-PH"/>
              </w:rPr>
              <w:t xml:space="preserve">aiga antelope with an unclear local population size and changing distribution and several species of protected birds. The list of threatened species (IUCN and locally) is provided in BMP. </w:t>
            </w:r>
          </w:p>
        </w:tc>
        <w:tc>
          <w:tcPr>
            <w:tcW w:w="3647" w:type="dxa"/>
            <w:tcBorders>
              <w:top w:val="nil"/>
              <w:left w:val="nil"/>
              <w:bottom w:val="single" w:sz="4" w:space="0" w:color="auto"/>
              <w:right w:val="single" w:sz="4" w:space="0" w:color="auto"/>
            </w:tcBorders>
            <w:vAlign w:val="center"/>
            <w:hideMark/>
          </w:tcPr>
          <w:p w14:paraId="59235A75" w14:textId="1E48D884" w:rsidR="000C6280" w:rsidRPr="002B3F36" w:rsidRDefault="000C6280" w:rsidP="000C6280">
            <w:pPr>
              <w:widowControl/>
              <w:autoSpaceDE/>
              <w:autoSpaceDN/>
              <w:rPr>
                <w:rFonts w:ascii="Arial" w:eastAsia="Times New Roman" w:hAnsi="Arial" w:cs="Arial"/>
                <w:color w:val="000000"/>
                <w:sz w:val="20"/>
                <w:szCs w:val="20"/>
                <w:lang w:val="en-PH" w:eastAsia="en-PH"/>
              </w:rPr>
            </w:pPr>
            <w:r w:rsidRPr="00A846C7">
              <w:rPr>
                <w:rFonts w:ascii="Arial" w:eastAsia="Times New Roman" w:hAnsi="Arial" w:cs="Arial"/>
                <w:color w:val="000000"/>
                <w:sz w:val="20"/>
                <w:szCs w:val="20"/>
                <w:lang w:val="en-PH" w:eastAsia="en-PH"/>
              </w:rPr>
              <w:t xml:space="preserve">Moderate disruption to saiga and general wildlife (e.g., small mammals, ungulates). </w:t>
            </w:r>
            <w:r w:rsidRPr="00A846C7">
              <w:rPr>
                <w:rFonts w:ascii="Arial" w:eastAsia="Times New Roman" w:hAnsi="Arial" w:cs="Arial"/>
                <w:color w:val="222222"/>
                <w:sz w:val="20"/>
                <w:szCs w:val="20"/>
                <w:lang w:eastAsia="en-PH"/>
              </w:rPr>
              <w:t>High risk of fragmentation, especially for wild Ungulates (including saiga)</w:t>
            </w:r>
          </w:p>
        </w:tc>
        <w:tc>
          <w:tcPr>
            <w:tcW w:w="1485" w:type="dxa"/>
            <w:tcBorders>
              <w:top w:val="nil"/>
              <w:left w:val="nil"/>
              <w:bottom w:val="single" w:sz="4" w:space="0" w:color="auto"/>
              <w:right w:val="single" w:sz="4" w:space="0" w:color="auto"/>
            </w:tcBorders>
            <w:vAlign w:val="center"/>
            <w:hideMark/>
          </w:tcPr>
          <w:p w14:paraId="3C5227AD" w14:textId="77777777" w:rsidR="000C6280" w:rsidRPr="002B3F36" w:rsidRDefault="000C6280" w:rsidP="000C6280">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PS6</w:t>
            </w:r>
          </w:p>
        </w:tc>
      </w:tr>
      <w:tr w:rsidR="00F61F8E" w:rsidRPr="002B3F36" w14:paraId="7D002CB0" w14:textId="77777777" w:rsidTr="00D153B7">
        <w:trPr>
          <w:trHeight w:val="600"/>
        </w:trPr>
        <w:tc>
          <w:tcPr>
            <w:tcW w:w="1985" w:type="dxa"/>
            <w:tcBorders>
              <w:top w:val="nil"/>
              <w:left w:val="single" w:sz="4" w:space="0" w:color="auto"/>
              <w:bottom w:val="single" w:sz="4" w:space="0" w:color="auto"/>
              <w:right w:val="single" w:sz="4" w:space="0" w:color="auto"/>
            </w:tcBorders>
            <w:vAlign w:val="center"/>
            <w:hideMark/>
          </w:tcPr>
          <w:p w14:paraId="53EA35C2"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Avian Risk</w:t>
            </w:r>
          </w:p>
        </w:tc>
        <w:tc>
          <w:tcPr>
            <w:tcW w:w="2693" w:type="dxa"/>
            <w:tcBorders>
              <w:top w:val="nil"/>
              <w:left w:val="nil"/>
              <w:bottom w:val="single" w:sz="4" w:space="0" w:color="auto"/>
              <w:right w:val="single" w:sz="4" w:space="0" w:color="auto"/>
            </w:tcBorders>
            <w:vAlign w:val="center"/>
            <w:hideMark/>
          </w:tcPr>
          <w:p w14:paraId="5B1D35A2" w14:textId="7EDA1FF8" w:rsidR="00F61F8E" w:rsidRPr="00406A19" w:rsidRDefault="00406A19">
            <w:pPr>
              <w:widowControl/>
              <w:autoSpaceDE/>
              <w:autoSpaceDN/>
              <w:rPr>
                <w:rFonts w:ascii="Arial" w:eastAsia="Times New Roman" w:hAnsi="Arial" w:cs="Arial"/>
                <w:color w:val="000000"/>
                <w:sz w:val="20"/>
                <w:szCs w:val="20"/>
                <w:lang w:eastAsia="en-PH"/>
              </w:rPr>
            </w:pPr>
            <w:r w:rsidRPr="00406A19">
              <w:rPr>
                <w:rFonts w:ascii="Arial" w:eastAsia="Times New Roman" w:hAnsi="Arial" w:cs="Arial"/>
                <w:color w:val="000000"/>
                <w:sz w:val="20"/>
                <w:szCs w:val="20"/>
                <w:lang w:val="en" w:eastAsia="en-PH"/>
              </w:rPr>
              <w:t>The presence of two 10-volt power lines on reinforced concrete supports along the road route</w:t>
            </w:r>
          </w:p>
        </w:tc>
        <w:tc>
          <w:tcPr>
            <w:tcW w:w="3647" w:type="dxa"/>
            <w:tcBorders>
              <w:top w:val="nil"/>
              <w:left w:val="nil"/>
              <w:bottom w:val="single" w:sz="4" w:space="0" w:color="auto"/>
              <w:right w:val="single" w:sz="4" w:space="0" w:color="auto"/>
            </w:tcBorders>
            <w:vAlign w:val="center"/>
            <w:hideMark/>
          </w:tcPr>
          <w:p w14:paraId="0A9F5FBF" w14:textId="275E8AA7" w:rsidR="00F61F8E" w:rsidRPr="002B3F36" w:rsidRDefault="00406A19">
            <w:pPr>
              <w:widowControl/>
              <w:autoSpaceDE/>
              <w:autoSpaceDN/>
              <w:rPr>
                <w:rFonts w:ascii="Arial" w:eastAsia="Times New Roman" w:hAnsi="Arial" w:cs="Arial"/>
                <w:color w:val="000000"/>
                <w:sz w:val="20"/>
                <w:szCs w:val="20"/>
                <w:lang w:val="en-PH" w:eastAsia="en-PH"/>
              </w:rPr>
            </w:pPr>
            <w:r w:rsidRPr="00406A19">
              <w:rPr>
                <w:rFonts w:ascii="Arial" w:eastAsia="Times New Roman" w:hAnsi="Arial" w:cs="Arial"/>
                <w:color w:val="000000" w:themeColor="text1"/>
                <w:sz w:val="20"/>
                <w:szCs w:val="20"/>
                <w:lang w:val="en" w:eastAsia="en-PH"/>
              </w:rPr>
              <w:t>There is a risk of birds colli</w:t>
            </w:r>
            <w:r>
              <w:rPr>
                <w:rFonts w:ascii="Arial" w:eastAsia="Times New Roman" w:hAnsi="Arial" w:cs="Arial"/>
                <w:color w:val="000000" w:themeColor="text1"/>
                <w:sz w:val="20"/>
                <w:szCs w:val="20"/>
                <w:lang w:val="en" w:eastAsia="en-PH"/>
              </w:rPr>
              <w:t>sions</w:t>
            </w:r>
            <w:r w:rsidRPr="00406A19">
              <w:rPr>
                <w:rFonts w:ascii="Arial" w:eastAsia="Times New Roman" w:hAnsi="Arial" w:cs="Arial"/>
                <w:color w:val="000000" w:themeColor="text1"/>
                <w:sz w:val="20"/>
                <w:szCs w:val="20"/>
                <w:lang w:val="en" w:eastAsia="en-PH"/>
              </w:rPr>
              <w:t xml:space="preserve"> with or being electrocuted, as well as birds colli</w:t>
            </w:r>
            <w:r>
              <w:rPr>
                <w:rFonts w:ascii="Arial" w:eastAsia="Times New Roman" w:hAnsi="Arial" w:cs="Arial"/>
                <w:color w:val="000000" w:themeColor="text1"/>
                <w:sz w:val="20"/>
                <w:szCs w:val="20"/>
                <w:lang w:val="en" w:eastAsia="en-PH"/>
              </w:rPr>
              <w:t>sions</w:t>
            </w:r>
            <w:r w:rsidRPr="00406A19">
              <w:rPr>
                <w:rFonts w:ascii="Arial" w:eastAsia="Times New Roman" w:hAnsi="Arial" w:cs="Arial"/>
                <w:color w:val="000000" w:themeColor="text1"/>
                <w:sz w:val="20"/>
                <w:szCs w:val="20"/>
                <w:lang w:val="en" w:eastAsia="en-PH"/>
              </w:rPr>
              <w:t xml:space="preserve"> with trains.</w:t>
            </w:r>
          </w:p>
        </w:tc>
        <w:tc>
          <w:tcPr>
            <w:tcW w:w="1485" w:type="dxa"/>
            <w:tcBorders>
              <w:top w:val="nil"/>
              <w:left w:val="nil"/>
              <w:bottom w:val="single" w:sz="4" w:space="0" w:color="auto"/>
              <w:right w:val="single" w:sz="4" w:space="0" w:color="auto"/>
            </w:tcBorders>
            <w:vAlign w:val="center"/>
            <w:hideMark/>
          </w:tcPr>
          <w:p w14:paraId="1F28D85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N/A</w:t>
            </w:r>
          </w:p>
        </w:tc>
      </w:tr>
      <w:tr w:rsidR="00F61F8E" w:rsidRPr="002B3F36" w14:paraId="00A9E056" w14:textId="77777777" w:rsidTr="00D153B7">
        <w:trPr>
          <w:trHeight w:val="600"/>
        </w:trPr>
        <w:tc>
          <w:tcPr>
            <w:tcW w:w="1985" w:type="dxa"/>
            <w:tcBorders>
              <w:top w:val="nil"/>
              <w:left w:val="single" w:sz="4" w:space="0" w:color="auto"/>
              <w:bottom w:val="single" w:sz="4" w:space="0" w:color="auto"/>
              <w:right w:val="single" w:sz="4" w:space="0" w:color="auto"/>
            </w:tcBorders>
            <w:vAlign w:val="center"/>
            <w:hideMark/>
          </w:tcPr>
          <w:p w14:paraId="0ABF46CA" w14:textId="765B1974" w:rsidR="00F61F8E" w:rsidRPr="002B3F36" w:rsidRDefault="00AB56E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Habitat Conversion and Fragmentation</w:t>
            </w:r>
          </w:p>
        </w:tc>
        <w:tc>
          <w:tcPr>
            <w:tcW w:w="2693" w:type="dxa"/>
            <w:tcBorders>
              <w:top w:val="nil"/>
              <w:left w:val="nil"/>
              <w:bottom w:val="single" w:sz="4" w:space="0" w:color="auto"/>
              <w:right w:val="single" w:sz="4" w:space="0" w:color="auto"/>
            </w:tcBorders>
            <w:vAlign w:val="center"/>
            <w:hideMark/>
          </w:tcPr>
          <w:p w14:paraId="670B67C1" w14:textId="1FEC73D3" w:rsidR="00F61F8E" w:rsidRPr="002B3F36" w:rsidRDefault="00AB56E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Steppe and semi-desert ecosystems along corridor</w:t>
            </w:r>
          </w:p>
        </w:tc>
        <w:tc>
          <w:tcPr>
            <w:tcW w:w="3647" w:type="dxa"/>
            <w:tcBorders>
              <w:top w:val="nil"/>
              <w:left w:val="nil"/>
              <w:bottom w:val="single" w:sz="4" w:space="0" w:color="auto"/>
              <w:right w:val="single" w:sz="4" w:space="0" w:color="auto"/>
            </w:tcBorders>
            <w:vAlign w:val="center"/>
            <w:hideMark/>
          </w:tcPr>
          <w:p w14:paraId="3B98560B" w14:textId="4D2422B8" w:rsidR="00F61F8E" w:rsidRPr="002B3F36" w:rsidRDefault="00AB56E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Vegetation loss, habitat fragmentation, reduced ecological connectivity, edge effects</w:t>
            </w:r>
          </w:p>
        </w:tc>
        <w:tc>
          <w:tcPr>
            <w:tcW w:w="1485" w:type="dxa"/>
            <w:tcBorders>
              <w:top w:val="nil"/>
              <w:left w:val="nil"/>
              <w:bottom w:val="single" w:sz="4" w:space="0" w:color="auto"/>
              <w:right w:val="single" w:sz="4" w:space="0" w:color="auto"/>
            </w:tcBorders>
            <w:vAlign w:val="center"/>
            <w:hideMark/>
          </w:tcPr>
          <w:p w14:paraId="5E29B24B"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PS6</w:t>
            </w:r>
          </w:p>
        </w:tc>
      </w:tr>
      <w:tr w:rsidR="00F61F8E" w:rsidRPr="002B3F36" w14:paraId="0510C883" w14:textId="77777777" w:rsidTr="00D153B7">
        <w:trPr>
          <w:trHeight w:val="624"/>
        </w:trPr>
        <w:tc>
          <w:tcPr>
            <w:tcW w:w="1985" w:type="dxa"/>
            <w:tcBorders>
              <w:top w:val="nil"/>
              <w:left w:val="single" w:sz="4" w:space="0" w:color="auto"/>
              <w:bottom w:val="single" w:sz="4" w:space="0" w:color="auto"/>
              <w:right w:val="single" w:sz="4" w:space="0" w:color="auto"/>
            </w:tcBorders>
            <w:vAlign w:val="center"/>
            <w:hideMark/>
          </w:tcPr>
          <w:p w14:paraId="100FE4BD"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Soil Erosion and Degradation</w:t>
            </w:r>
          </w:p>
        </w:tc>
        <w:tc>
          <w:tcPr>
            <w:tcW w:w="2693" w:type="dxa"/>
            <w:tcBorders>
              <w:top w:val="nil"/>
              <w:left w:val="nil"/>
              <w:bottom w:val="single" w:sz="4" w:space="0" w:color="auto"/>
              <w:right w:val="single" w:sz="4" w:space="0" w:color="auto"/>
            </w:tcBorders>
            <w:vAlign w:val="center"/>
            <w:hideMark/>
          </w:tcPr>
          <w:p w14:paraId="4CC6E18E"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Linear construction in arid terrain</w:t>
            </w:r>
          </w:p>
        </w:tc>
        <w:tc>
          <w:tcPr>
            <w:tcW w:w="3647" w:type="dxa"/>
            <w:tcBorders>
              <w:top w:val="nil"/>
              <w:left w:val="nil"/>
              <w:bottom w:val="single" w:sz="4" w:space="0" w:color="auto"/>
              <w:right w:val="single" w:sz="4" w:space="0" w:color="auto"/>
            </w:tcBorders>
            <w:vAlign w:val="center"/>
            <w:hideMark/>
          </w:tcPr>
          <w:p w14:paraId="04C7E117"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Soil stripping, localized erosion, potential for invasive plants</w:t>
            </w:r>
          </w:p>
        </w:tc>
        <w:tc>
          <w:tcPr>
            <w:tcW w:w="1485" w:type="dxa"/>
            <w:tcBorders>
              <w:top w:val="nil"/>
              <w:left w:val="nil"/>
              <w:bottom w:val="single" w:sz="4" w:space="0" w:color="auto"/>
              <w:right w:val="single" w:sz="4" w:space="0" w:color="auto"/>
            </w:tcBorders>
            <w:vAlign w:val="center"/>
            <w:hideMark/>
          </w:tcPr>
          <w:p w14:paraId="0312D8B8"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PS3</w:t>
            </w:r>
          </w:p>
        </w:tc>
      </w:tr>
      <w:tr w:rsidR="00F61F8E" w:rsidRPr="002B3F36" w14:paraId="54FCFA7D" w14:textId="77777777" w:rsidTr="00D153B7">
        <w:trPr>
          <w:trHeight w:val="624"/>
        </w:trPr>
        <w:tc>
          <w:tcPr>
            <w:tcW w:w="1985" w:type="dxa"/>
            <w:tcBorders>
              <w:top w:val="nil"/>
              <w:left w:val="single" w:sz="4" w:space="0" w:color="auto"/>
              <w:bottom w:val="single" w:sz="4" w:space="0" w:color="auto"/>
              <w:right w:val="single" w:sz="4" w:space="0" w:color="auto"/>
            </w:tcBorders>
            <w:vAlign w:val="center"/>
            <w:hideMark/>
          </w:tcPr>
          <w:p w14:paraId="6FE90FDF"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Surface Water and Drainage</w:t>
            </w:r>
          </w:p>
        </w:tc>
        <w:tc>
          <w:tcPr>
            <w:tcW w:w="2693" w:type="dxa"/>
            <w:tcBorders>
              <w:top w:val="nil"/>
              <w:left w:val="nil"/>
              <w:bottom w:val="single" w:sz="4" w:space="0" w:color="auto"/>
              <w:right w:val="single" w:sz="4" w:space="0" w:color="auto"/>
            </w:tcBorders>
            <w:vAlign w:val="center"/>
            <w:hideMark/>
          </w:tcPr>
          <w:p w14:paraId="5B12DD61"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Intermittent seasonal flows</w:t>
            </w:r>
          </w:p>
        </w:tc>
        <w:tc>
          <w:tcPr>
            <w:tcW w:w="3647" w:type="dxa"/>
            <w:tcBorders>
              <w:top w:val="nil"/>
              <w:left w:val="nil"/>
              <w:bottom w:val="single" w:sz="4" w:space="0" w:color="auto"/>
              <w:right w:val="single" w:sz="4" w:space="0" w:color="auto"/>
            </w:tcBorders>
            <w:vAlign w:val="center"/>
            <w:hideMark/>
          </w:tcPr>
          <w:p w14:paraId="7DC3BB36"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Minor sedimentation and flow disruption if unmanaged</w:t>
            </w:r>
          </w:p>
        </w:tc>
        <w:tc>
          <w:tcPr>
            <w:tcW w:w="1485" w:type="dxa"/>
            <w:tcBorders>
              <w:top w:val="nil"/>
              <w:left w:val="nil"/>
              <w:bottom w:val="single" w:sz="4" w:space="0" w:color="auto"/>
              <w:right w:val="single" w:sz="4" w:space="0" w:color="auto"/>
            </w:tcBorders>
            <w:vAlign w:val="center"/>
            <w:hideMark/>
          </w:tcPr>
          <w:p w14:paraId="58F1F2D0"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PS3</w:t>
            </w:r>
          </w:p>
        </w:tc>
      </w:tr>
      <w:tr w:rsidR="00F61F8E" w:rsidRPr="002B3F36" w14:paraId="0575E984" w14:textId="77777777" w:rsidTr="00D153B7">
        <w:trPr>
          <w:trHeight w:val="600"/>
        </w:trPr>
        <w:tc>
          <w:tcPr>
            <w:tcW w:w="1985" w:type="dxa"/>
            <w:tcBorders>
              <w:top w:val="nil"/>
              <w:left w:val="single" w:sz="4" w:space="0" w:color="auto"/>
              <w:bottom w:val="single" w:sz="4" w:space="0" w:color="auto"/>
              <w:right w:val="single" w:sz="4" w:space="0" w:color="auto"/>
            </w:tcBorders>
            <w:vAlign w:val="center"/>
            <w:hideMark/>
          </w:tcPr>
          <w:p w14:paraId="082280F4"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Dust and Air Quality</w:t>
            </w:r>
          </w:p>
        </w:tc>
        <w:tc>
          <w:tcPr>
            <w:tcW w:w="2693" w:type="dxa"/>
            <w:tcBorders>
              <w:top w:val="nil"/>
              <w:left w:val="nil"/>
              <w:bottom w:val="single" w:sz="4" w:space="0" w:color="auto"/>
              <w:right w:val="single" w:sz="4" w:space="0" w:color="auto"/>
            </w:tcBorders>
            <w:vAlign w:val="center"/>
            <w:hideMark/>
          </w:tcPr>
          <w:p w14:paraId="2EB9C790"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Construction traffic and material handling</w:t>
            </w:r>
          </w:p>
        </w:tc>
        <w:tc>
          <w:tcPr>
            <w:tcW w:w="3647" w:type="dxa"/>
            <w:tcBorders>
              <w:top w:val="nil"/>
              <w:left w:val="nil"/>
              <w:bottom w:val="single" w:sz="4" w:space="0" w:color="auto"/>
              <w:right w:val="single" w:sz="4" w:space="0" w:color="auto"/>
            </w:tcBorders>
            <w:vAlign w:val="center"/>
            <w:hideMark/>
          </w:tcPr>
          <w:p w14:paraId="2829BEA0"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Localized PM10 emissions impacting vegetation and workforce</w:t>
            </w:r>
          </w:p>
        </w:tc>
        <w:tc>
          <w:tcPr>
            <w:tcW w:w="1485" w:type="dxa"/>
            <w:tcBorders>
              <w:top w:val="nil"/>
              <w:left w:val="nil"/>
              <w:bottom w:val="single" w:sz="4" w:space="0" w:color="auto"/>
              <w:right w:val="single" w:sz="4" w:space="0" w:color="auto"/>
            </w:tcBorders>
            <w:vAlign w:val="center"/>
            <w:hideMark/>
          </w:tcPr>
          <w:p w14:paraId="6482B566"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PS3</w:t>
            </w:r>
          </w:p>
        </w:tc>
      </w:tr>
      <w:tr w:rsidR="00F61F8E" w:rsidRPr="002B3F36" w14:paraId="3F7A95DD" w14:textId="77777777" w:rsidTr="00D153B7">
        <w:trPr>
          <w:trHeight w:val="600"/>
        </w:trPr>
        <w:tc>
          <w:tcPr>
            <w:tcW w:w="1985" w:type="dxa"/>
            <w:tcBorders>
              <w:top w:val="nil"/>
              <w:left w:val="single" w:sz="4" w:space="0" w:color="auto"/>
              <w:bottom w:val="single" w:sz="4" w:space="0" w:color="auto"/>
              <w:right w:val="single" w:sz="4" w:space="0" w:color="auto"/>
            </w:tcBorders>
            <w:vAlign w:val="center"/>
            <w:hideMark/>
          </w:tcPr>
          <w:p w14:paraId="178C302B"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Noise and Disturbance</w:t>
            </w:r>
          </w:p>
        </w:tc>
        <w:tc>
          <w:tcPr>
            <w:tcW w:w="2693" w:type="dxa"/>
            <w:tcBorders>
              <w:top w:val="nil"/>
              <w:left w:val="nil"/>
              <w:bottom w:val="single" w:sz="4" w:space="0" w:color="auto"/>
              <w:right w:val="single" w:sz="4" w:space="0" w:color="auto"/>
            </w:tcBorders>
            <w:vAlign w:val="center"/>
            <w:hideMark/>
          </w:tcPr>
          <w:p w14:paraId="78209279"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Earthworks, machinery operations</w:t>
            </w:r>
          </w:p>
        </w:tc>
        <w:tc>
          <w:tcPr>
            <w:tcW w:w="3647" w:type="dxa"/>
            <w:tcBorders>
              <w:top w:val="nil"/>
              <w:left w:val="nil"/>
              <w:bottom w:val="single" w:sz="4" w:space="0" w:color="auto"/>
              <w:right w:val="single" w:sz="4" w:space="0" w:color="auto"/>
            </w:tcBorders>
            <w:vAlign w:val="center"/>
            <w:hideMark/>
          </w:tcPr>
          <w:p w14:paraId="14A01649"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Moderate but temporary disturbance to wildlife and possibly nearby communities</w:t>
            </w:r>
          </w:p>
        </w:tc>
        <w:tc>
          <w:tcPr>
            <w:tcW w:w="1485" w:type="dxa"/>
            <w:tcBorders>
              <w:top w:val="nil"/>
              <w:left w:val="nil"/>
              <w:bottom w:val="single" w:sz="4" w:space="0" w:color="auto"/>
              <w:right w:val="single" w:sz="4" w:space="0" w:color="auto"/>
            </w:tcBorders>
            <w:vAlign w:val="center"/>
            <w:hideMark/>
          </w:tcPr>
          <w:p w14:paraId="5C839867" w14:textId="77777777" w:rsidR="00F61F8E" w:rsidRPr="002B3F36" w:rsidRDefault="000F264B">
            <w:pPr>
              <w:widowControl/>
              <w:autoSpaceDE/>
              <w:autoSpaceDN/>
              <w:jc w:val="center"/>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PS3</w:t>
            </w:r>
            <w:r w:rsidRPr="002B3F36">
              <w:rPr>
                <w:rFonts w:ascii="Arial" w:eastAsia="Times New Roman" w:hAnsi="Arial" w:cs="Arial"/>
                <w:color w:val="000000"/>
                <w:sz w:val="20"/>
                <w:szCs w:val="20"/>
                <w:lang w:val="en-PH" w:eastAsia="en-PH"/>
              </w:rPr>
              <w:t xml:space="preserve">, </w:t>
            </w:r>
            <w:r w:rsidRPr="002B3F36">
              <w:rPr>
                <w:rFonts w:ascii="Arial" w:eastAsia="Times New Roman" w:hAnsi="Arial" w:cs="Arial"/>
                <w:b/>
                <w:bCs/>
                <w:color w:val="000000"/>
                <w:sz w:val="20"/>
                <w:szCs w:val="20"/>
                <w:lang w:val="en-PH" w:eastAsia="en-PH"/>
              </w:rPr>
              <w:t>PS4</w:t>
            </w:r>
          </w:p>
        </w:tc>
      </w:tr>
      <w:tr w:rsidR="00F61F8E" w:rsidRPr="002B3F36" w14:paraId="7B67F686" w14:textId="77777777" w:rsidTr="00D153B7">
        <w:trPr>
          <w:trHeight w:val="600"/>
        </w:trPr>
        <w:tc>
          <w:tcPr>
            <w:tcW w:w="1985" w:type="dxa"/>
            <w:tcBorders>
              <w:top w:val="nil"/>
              <w:left w:val="single" w:sz="4" w:space="0" w:color="auto"/>
              <w:bottom w:val="single" w:sz="4" w:space="0" w:color="auto"/>
              <w:right w:val="single" w:sz="4" w:space="0" w:color="auto"/>
            </w:tcBorders>
            <w:vAlign w:val="center"/>
            <w:hideMark/>
          </w:tcPr>
          <w:p w14:paraId="5CD40F15" w14:textId="77777777" w:rsidR="00F61F8E" w:rsidRPr="002B3F36" w:rsidRDefault="000F264B">
            <w:pPr>
              <w:widowControl/>
              <w:autoSpaceDE/>
              <w:autoSpaceDN/>
              <w:rPr>
                <w:rFonts w:ascii="Arial" w:eastAsia="Times New Roman" w:hAnsi="Arial" w:cs="Arial"/>
                <w:b/>
                <w:bCs/>
                <w:color w:val="000000"/>
                <w:sz w:val="20"/>
                <w:szCs w:val="20"/>
                <w:lang w:val="en-PH" w:eastAsia="en-PH"/>
              </w:rPr>
            </w:pPr>
            <w:r w:rsidRPr="002B3F36">
              <w:rPr>
                <w:rFonts w:ascii="Arial" w:eastAsia="Times New Roman" w:hAnsi="Arial" w:cs="Arial"/>
                <w:b/>
                <w:bCs/>
                <w:color w:val="000000"/>
                <w:sz w:val="20"/>
                <w:szCs w:val="20"/>
                <w:lang w:val="en-PH" w:eastAsia="en-PH"/>
              </w:rPr>
              <w:t>Construction Waste</w:t>
            </w:r>
          </w:p>
        </w:tc>
        <w:tc>
          <w:tcPr>
            <w:tcW w:w="2693" w:type="dxa"/>
            <w:tcBorders>
              <w:top w:val="nil"/>
              <w:left w:val="nil"/>
              <w:bottom w:val="single" w:sz="4" w:space="0" w:color="auto"/>
              <w:right w:val="single" w:sz="4" w:space="0" w:color="auto"/>
            </w:tcBorders>
            <w:vAlign w:val="center"/>
            <w:hideMark/>
          </w:tcPr>
          <w:p w14:paraId="4E5383A0"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General and hazardous construction waste</w:t>
            </w:r>
          </w:p>
        </w:tc>
        <w:tc>
          <w:tcPr>
            <w:tcW w:w="3647" w:type="dxa"/>
            <w:tcBorders>
              <w:top w:val="nil"/>
              <w:left w:val="nil"/>
              <w:bottom w:val="single" w:sz="4" w:space="0" w:color="auto"/>
              <w:right w:val="single" w:sz="4" w:space="0" w:color="auto"/>
            </w:tcBorders>
            <w:vAlign w:val="center"/>
            <w:hideMark/>
          </w:tcPr>
          <w:p w14:paraId="74ED79A6" w14:textId="77777777" w:rsidR="00F61F8E" w:rsidRPr="002B3F36" w:rsidRDefault="000F264B">
            <w:pPr>
              <w:widowControl/>
              <w:autoSpaceDE/>
              <w:autoSpaceDN/>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Moderate soil and water contamination risks if poorly managed</w:t>
            </w:r>
          </w:p>
        </w:tc>
        <w:tc>
          <w:tcPr>
            <w:tcW w:w="1485" w:type="dxa"/>
            <w:tcBorders>
              <w:top w:val="nil"/>
              <w:left w:val="nil"/>
              <w:bottom w:val="single" w:sz="4" w:space="0" w:color="auto"/>
              <w:right w:val="single" w:sz="4" w:space="0" w:color="auto"/>
            </w:tcBorders>
            <w:vAlign w:val="center"/>
            <w:hideMark/>
          </w:tcPr>
          <w:p w14:paraId="5560BE0E" w14:textId="77777777" w:rsidR="00F61F8E" w:rsidRPr="002B3F36" w:rsidRDefault="000F264B">
            <w:pPr>
              <w:widowControl/>
              <w:autoSpaceDE/>
              <w:autoSpaceDN/>
              <w:jc w:val="center"/>
              <w:rPr>
                <w:rFonts w:ascii="Arial" w:eastAsia="Times New Roman" w:hAnsi="Arial" w:cs="Arial"/>
                <w:color w:val="000000"/>
                <w:sz w:val="20"/>
                <w:szCs w:val="20"/>
                <w:lang w:val="en-PH" w:eastAsia="en-PH"/>
              </w:rPr>
            </w:pPr>
            <w:r w:rsidRPr="002B3F36">
              <w:rPr>
                <w:rFonts w:ascii="Arial" w:eastAsia="Times New Roman" w:hAnsi="Arial" w:cs="Arial"/>
                <w:color w:val="000000"/>
                <w:sz w:val="20"/>
                <w:szCs w:val="20"/>
                <w:lang w:val="en-PH" w:eastAsia="en-PH"/>
              </w:rPr>
              <w:t>PS3</w:t>
            </w:r>
          </w:p>
        </w:tc>
      </w:tr>
    </w:tbl>
    <w:p w14:paraId="3455B951" w14:textId="14EACA32" w:rsidR="00F36C09" w:rsidRPr="002B3F36" w:rsidRDefault="00F36C09" w:rsidP="00F36C09">
      <w:pPr>
        <w:pStyle w:val="ReportBodyPar"/>
      </w:pPr>
      <w:bookmarkStart w:id="1783" w:name="_bookmark112"/>
      <w:bookmarkStart w:id="1784" w:name="_Toc208970109"/>
      <w:bookmarkStart w:id="1785" w:name="_Toc208972076"/>
      <w:bookmarkStart w:id="1786" w:name="_Toc208972381"/>
      <w:bookmarkStart w:id="1787" w:name="_Toc208972589"/>
      <w:bookmarkStart w:id="1788" w:name="_Toc208972792"/>
      <w:bookmarkStart w:id="1789" w:name="_Toc208972990"/>
      <w:bookmarkStart w:id="1790" w:name="_Toc208973250"/>
      <w:bookmarkStart w:id="1791" w:name="_Toc208973793"/>
      <w:bookmarkStart w:id="1792" w:name="_Toc208973993"/>
      <w:bookmarkStart w:id="1793" w:name="_Toc208974193"/>
      <w:bookmarkStart w:id="1794" w:name="_Toc208974395"/>
      <w:bookmarkStart w:id="1795" w:name="_Toc208974603"/>
      <w:bookmarkStart w:id="1796" w:name="_Toc208974864"/>
      <w:bookmarkStart w:id="1797" w:name="_Toc208975062"/>
      <w:bookmarkStart w:id="1798" w:name="_Toc208975277"/>
      <w:bookmarkStart w:id="1799" w:name="_Toc208975798"/>
      <w:bookmarkStart w:id="1800" w:name="_Toc208975996"/>
      <w:bookmarkStart w:id="1801" w:name="_Toc208976939"/>
      <w:bookmarkStart w:id="1802" w:name="_Toc208979720"/>
      <w:bookmarkStart w:id="1803" w:name="_Toc208980205"/>
      <w:bookmarkStart w:id="1804" w:name="_Toc209229588"/>
      <w:bookmarkStart w:id="1805" w:name="_Toc209232686"/>
      <w:bookmarkStart w:id="1806" w:name="_Toc209232919"/>
      <w:bookmarkStart w:id="1807" w:name="_Toc209233142"/>
      <w:bookmarkStart w:id="1808" w:name="_Toc209233365"/>
      <w:bookmarkStart w:id="1809" w:name="_Toc209233582"/>
      <w:bookmarkStart w:id="1810" w:name="_Toc209233799"/>
      <w:bookmarkStart w:id="1811" w:name="_Toc209234085"/>
      <w:bookmarkStart w:id="1812" w:name="_Toc209234300"/>
      <w:bookmarkStart w:id="1813" w:name="_Toc209234518"/>
      <w:bookmarkStart w:id="1814" w:name="_Toc209234808"/>
      <w:bookmarkStart w:id="1815" w:name="_Toc209605147"/>
      <w:bookmarkStart w:id="1816" w:name="_Toc209609082"/>
      <w:bookmarkStart w:id="1817" w:name="_Toc208970110"/>
      <w:bookmarkStart w:id="1818" w:name="_Toc208972077"/>
      <w:bookmarkStart w:id="1819" w:name="_Toc208972382"/>
      <w:bookmarkStart w:id="1820" w:name="_Toc208972590"/>
      <w:bookmarkStart w:id="1821" w:name="_Toc208972793"/>
      <w:bookmarkStart w:id="1822" w:name="_Toc208972991"/>
      <w:bookmarkStart w:id="1823" w:name="_Toc208973251"/>
      <w:bookmarkStart w:id="1824" w:name="_Toc208973794"/>
      <w:bookmarkStart w:id="1825" w:name="_Toc208973994"/>
      <w:bookmarkStart w:id="1826" w:name="_Toc208974194"/>
      <w:bookmarkStart w:id="1827" w:name="_Toc208974396"/>
      <w:bookmarkStart w:id="1828" w:name="_Toc208974604"/>
      <w:bookmarkStart w:id="1829" w:name="_Toc208974865"/>
      <w:bookmarkStart w:id="1830" w:name="_Toc208975063"/>
      <w:bookmarkStart w:id="1831" w:name="_Toc208975278"/>
      <w:bookmarkStart w:id="1832" w:name="_Toc208975799"/>
      <w:bookmarkStart w:id="1833" w:name="_Toc208975997"/>
      <w:bookmarkStart w:id="1834" w:name="_Toc208976940"/>
      <w:bookmarkStart w:id="1835" w:name="_Toc208977129"/>
      <w:bookmarkStart w:id="1836" w:name="_Toc208979721"/>
      <w:bookmarkStart w:id="1837" w:name="_Toc208980206"/>
      <w:bookmarkStart w:id="1838" w:name="_Toc209229589"/>
      <w:bookmarkStart w:id="1839" w:name="_Toc209232687"/>
      <w:bookmarkStart w:id="1840" w:name="_Toc209232920"/>
      <w:bookmarkStart w:id="1841" w:name="_Toc209233143"/>
      <w:bookmarkStart w:id="1842" w:name="_Toc209233366"/>
      <w:bookmarkStart w:id="1843" w:name="_Toc209233583"/>
      <w:bookmarkStart w:id="1844" w:name="_Toc209233800"/>
      <w:bookmarkStart w:id="1845" w:name="_Toc209234086"/>
      <w:bookmarkStart w:id="1846" w:name="_Toc209234301"/>
      <w:bookmarkStart w:id="1847" w:name="_Toc209234519"/>
      <w:bookmarkStart w:id="1848" w:name="_Toc209234809"/>
      <w:bookmarkStart w:id="1849" w:name="_Toc209605148"/>
      <w:bookmarkStart w:id="1850" w:name="_Toc209609083"/>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BC00C2D" w14:textId="7D189A3E" w:rsidR="00F92C8A" w:rsidRPr="002B3F36" w:rsidRDefault="00F92C8A" w:rsidP="00F36C09">
      <w:pPr>
        <w:pStyle w:val="ReportBodyPar"/>
      </w:pPr>
      <w:r w:rsidRPr="002B3F36">
        <w:t xml:space="preserve">In line with </w:t>
      </w:r>
      <w:r w:rsidR="00F95BD8" w:rsidRPr="002B3F36">
        <w:t>WB</w:t>
      </w:r>
      <w:r w:rsidRPr="002B3F36">
        <w:t xml:space="preserve"> Performance Standards, the scoping exercise has confirmed that the ESIA should focus on the following high-priority risk areas:</w:t>
      </w:r>
    </w:p>
    <w:p w14:paraId="319FD937" w14:textId="77777777" w:rsidR="00F92C8A" w:rsidRPr="002B3F36" w:rsidRDefault="00F92C8A" w:rsidP="00F36C09">
      <w:pPr>
        <w:widowControl/>
        <w:numPr>
          <w:ilvl w:val="0"/>
          <w:numId w:val="95"/>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Biodiversity conservation and habitat disturbance, including risks of fragmentation, soil erosion, and ecosystem degradation (PS6);</w:t>
      </w:r>
    </w:p>
    <w:p w14:paraId="5C5CD5AA" w14:textId="77777777" w:rsidR="00F92C8A" w:rsidRPr="002B3F36" w:rsidRDefault="00F92C8A" w:rsidP="00F36C09">
      <w:pPr>
        <w:widowControl/>
        <w:numPr>
          <w:ilvl w:val="0"/>
          <w:numId w:val="95"/>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Land acquisition and resettlement impacts, including potential economic displacement (PS5);</w:t>
      </w:r>
    </w:p>
    <w:p w14:paraId="707DCDEC" w14:textId="77777777" w:rsidR="00F92C8A" w:rsidRPr="002B3F36" w:rsidRDefault="00F92C8A" w:rsidP="00F36C09">
      <w:pPr>
        <w:widowControl/>
        <w:numPr>
          <w:ilvl w:val="0"/>
          <w:numId w:val="95"/>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Labor influx, occupational health and safety, and working conditions (PS2);</w:t>
      </w:r>
    </w:p>
    <w:p w14:paraId="2551B78B" w14:textId="77777777" w:rsidR="00F92C8A" w:rsidRPr="002B3F36" w:rsidRDefault="00F92C8A" w:rsidP="00F36C09">
      <w:pPr>
        <w:widowControl/>
        <w:numPr>
          <w:ilvl w:val="0"/>
          <w:numId w:val="95"/>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Community health, safety, and security, particularly in relation to construction activities and associated facilities (PS4); and</w:t>
      </w:r>
    </w:p>
    <w:p w14:paraId="4AFB1D0C" w14:textId="77777777" w:rsidR="00F92C8A" w:rsidRPr="002B3F36" w:rsidRDefault="00F92C8A" w:rsidP="00F36C09">
      <w:pPr>
        <w:widowControl/>
        <w:numPr>
          <w:ilvl w:val="0"/>
          <w:numId w:val="95"/>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lastRenderedPageBreak/>
        <w:t>Engagement and disclosure processes to ensure alignment with PS1 and national safeguard requirements.</w:t>
      </w:r>
    </w:p>
    <w:p w14:paraId="0E4C0705" w14:textId="77777777" w:rsidR="00F36C09" w:rsidRPr="002B3F36" w:rsidRDefault="00F36C09" w:rsidP="00F36C09">
      <w:pPr>
        <w:pStyle w:val="ReportBodyPar"/>
      </w:pPr>
    </w:p>
    <w:p w14:paraId="1C4DFEA5" w14:textId="4176348E" w:rsidR="00F61F8E" w:rsidRPr="002B3F36" w:rsidRDefault="000F264B">
      <w:pPr>
        <w:pStyle w:val="20"/>
      </w:pPr>
      <w:bookmarkStart w:id="1851" w:name="_Toc206218414"/>
      <w:bookmarkStart w:id="1852" w:name="_Toc208973797"/>
      <w:bookmarkStart w:id="1853" w:name="_Toc208973997"/>
      <w:bookmarkStart w:id="1854" w:name="_Toc208974197"/>
      <w:bookmarkStart w:id="1855" w:name="_Toc208974399"/>
      <w:bookmarkStart w:id="1856" w:name="_Toc208974607"/>
      <w:bookmarkStart w:id="1857" w:name="_Toc210589444"/>
      <w:r w:rsidRPr="002B3F36">
        <w:t>The Environm</w:t>
      </w:r>
      <w:r w:rsidR="00F92C8A" w:rsidRPr="002B3F36">
        <w:t>e</w:t>
      </w:r>
      <w:r w:rsidRPr="002B3F36">
        <w:t>ntal Impact Assessment Methodologies</w:t>
      </w:r>
      <w:bookmarkEnd w:id="1851"/>
      <w:bookmarkEnd w:id="1852"/>
      <w:bookmarkEnd w:id="1853"/>
      <w:bookmarkEnd w:id="1854"/>
      <w:bookmarkEnd w:id="1855"/>
      <w:bookmarkEnd w:id="1856"/>
      <w:bookmarkEnd w:id="1857"/>
    </w:p>
    <w:p w14:paraId="772ED009" w14:textId="77777777" w:rsidR="00F61F8E" w:rsidRPr="002B3F36" w:rsidRDefault="00F61F8E">
      <w:pPr>
        <w:pStyle w:val="ReportBodyTextNogap"/>
      </w:pPr>
    </w:p>
    <w:p w14:paraId="59EFF024" w14:textId="34659A95" w:rsidR="00F61F8E" w:rsidRPr="002B3F36" w:rsidRDefault="000F264B" w:rsidP="00F36C09">
      <w:pPr>
        <w:pStyle w:val="ReportBodyPar"/>
      </w:pPr>
      <w:r w:rsidRPr="002B3F36">
        <w:t>The Environmental and Social Assessment (ESA) for the</w:t>
      </w:r>
      <w:r w:rsidR="00F92C8A" w:rsidRPr="002B3F36">
        <w:t xml:space="preserve"> </w:t>
      </w:r>
      <w:r w:rsidRPr="002B3F36">
        <w:t>Mointy</w:t>
      </w:r>
      <w:r w:rsidR="00F92C8A" w:rsidRPr="002B3F36">
        <w:t xml:space="preserve"> – Kyzylzhar</w:t>
      </w:r>
      <w:r w:rsidRPr="002B3F36">
        <w:t xml:space="preserve"> Railway Project follows the World Bank </w:t>
      </w:r>
      <w:r w:rsidR="00163238" w:rsidRPr="002B3F36">
        <w:t>Group’s</w:t>
      </w:r>
      <w:r w:rsidRPr="002B3F36">
        <w:t xml:space="preserve"> Performance Standards, and Kazakhstan’s national framework. Using Good International Industry Practice, it assesses environmental quality, biodiversity, land acquisition, labor, and community health and safety through field surveys, socio-economic studies, and consultations. Findings inform the ESMP, LARAP, LMP, and SEP to ensure risks are managed and impacts mitigated across the project lifecycle. The methodologies for Environmental and Social (ES) assessments are described in the ensuing subsections.</w:t>
      </w:r>
    </w:p>
    <w:p w14:paraId="64DC6D1E" w14:textId="77777777" w:rsidR="00F61F8E" w:rsidRPr="002B3F36" w:rsidRDefault="00F61F8E">
      <w:pPr>
        <w:widowControl/>
        <w:autoSpaceDE/>
        <w:autoSpaceDN/>
        <w:rPr>
          <w:rFonts w:ascii="Arial" w:eastAsia="Arial" w:hAnsi="Arial" w:cs="Arial"/>
          <w:sz w:val="24"/>
          <w:szCs w:val="24"/>
          <w:lang w:eastAsia="en-PH"/>
        </w:rPr>
      </w:pPr>
    </w:p>
    <w:p w14:paraId="77530225" w14:textId="77777777" w:rsidR="00F61F8E" w:rsidRPr="002B3F36" w:rsidRDefault="000F264B" w:rsidP="005A68AD">
      <w:pPr>
        <w:pStyle w:val="31"/>
      </w:pPr>
      <w:bookmarkStart w:id="1858" w:name="_Toc206218415"/>
      <w:bookmarkStart w:id="1859" w:name="_Toc208973798"/>
      <w:bookmarkStart w:id="1860" w:name="_Toc208973998"/>
      <w:bookmarkStart w:id="1861" w:name="_Toc208974198"/>
      <w:bookmarkStart w:id="1862" w:name="_Toc208974400"/>
      <w:bookmarkStart w:id="1863" w:name="_Toc208974608"/>
      <w:bookmarkStart w:id="1864" w:name="_Toc210589445"/>
      <w:r w:rsidRPr="002B3F36">
        <w:t>Physical Environmental Assessments</w:t>
      </w:r>
      <w:bookmarkEnd w:id="1858"/>
      <w:bookmarkEnd w:id="1859"/>
      <w:bookmarkEnd w:id="1860"/>
      <w:bookmarkEnd w:id="1861"/>
      <w:bookmarkEnd w:id="1862"/>
      <w:bookmarkEnd w:id="1863"/>
      <w:bookmarkEnd w:id="1864"/>
    </w:p>
    <w:p w14:paraId="0007E433" w14:textId="77777777" w:rsidR="00F36C09" w:rsidRPr="002B3F36" w:rsidRDefault="00F36C09" w:rsidP="00F36C09">
      <w:pPr>
        <w:pStyle w:val="ReportBodyPar"/>
      </w:pPr>
    </w:p>
    <w:p w14:paraId="46863502" w14:textId="6045E227" w:rsidR="00F61F8E" w:rsidRPr="002B3F36" w:rsidRDefault="000F264B" w:rsidP="00F36C09">
      <w:pPr>
        <w:pStyle w:val="ReportBodyPar"/>
      </w:pPr>
      <w:r w:rsidRPr="002B3F36">
        <w:t>The environmental assessment of physical parameters address</w:t>
      </w:r>
      <w:r w:rsidR="00E2577C" w:rsidRPr="002B3F36">
        <w:t>ed</w:t>
      </w:r>
      <w:r w:rsidRPr="002B3F36">
        <w:t xml:space="preserve"> the following priority areas, in accordance with WB PS3, relevant World Bank guidelines, and Kazakhstan’s national regulations:</w:t>
      </w:r>
    </w:p>
    <w:p w14:paraId="25AC7967" w14:textId="60675C2A" w:rsidR="00F61F8E" w:rsidRPr="002B3F36" w:rsidRDefault="000F264B">
      <w:pPr>
        <w:widowControl/>
        <w:autoSpaceDE/>
        <w:autoSpaceDN/>
        <w:ind w:left="360" w:hanging="360"/>
        <w:jc w:val="both"/>
        <w:rPr>
          <w:rFonts w:ascii="Arial" w:hAnsi="Arial" w:cs="Arial"/>
          <w:sz w:val="24"/>
          <w:shd w:val="clear" w:color="auto" w:fill="B7B7B7"/>
        </w:rPr>
      </w:pPr>
      <w:bookmarkStart w:id="1865" w:name="_heading=h.fdnhgpng7eao" w:colFirst="0" w:colLast="0"/>
      <w:bookmarkEnd w:id="1865"/>
      <w:r w:rsidRPr="002B3F36">
        <w:rPr>
          <w:rFonts w:ascii="Arial" w:hAnsi="Arial" w:cs="Arial"/>
          <w:b/>
          <w:sz w:val="24"/>
        </w:rPr>
        <w:t>Construction Material Sources</w:t>
      </w:r>
      <w:r w:rsidRPr="002B3F36">
        <w:rPr>
          <w:rFonts w:ascii="Arial" w:hAnsi="Arial" w:cs="Arial"/>
          <w:sz w:val="24"/>
        </w:rPr>
        <w:t xml:space="preserve">. Potential locations for sourcing construction materials such as </w:t>
      </w:r>
      <w:r w:rsidR="00A44095" w:rsidRPr="002B3F36">
        <w:rPr>
          <w:rFonts w:ascii="Arial" w:hAnsi="Arial" w:cs="Arial"/>
          <w:sz w:val="24"/>
        </w:rPr>
        <w:t xml:space="preserve">embankment earth fill, </w:t>
      </w:r>
      <w:r w:rsidRPr="002B3F36">
        <w:rPr>
          <w:rFonts w:ascii="Arial" w:hAnsi="Arial" w:cs="Arial"/>
          <w:sz w:val="24"/>
        </w:rPr>
        <w:t xml:space="preserve">ballast, sand, and gravel will be identified and assessed for environmental and social risks. </w:t>
      </w:r>
      <w:r w:rsidR="00950BF7" w:rsidRPr="002B3F36">
        <w:rPr>
          <w:rFonts w:ascii="Arial" w:hAnsi="Arial" w:cs="Arial"/>
          <w:sz w:val="24"/>
        </w:rPr>
        <w:t>Since most of the current works are for embankment construction</w:t>
      </w:r>
      <w:r w:rsidR="00A44095" w:rsidRPr="002B3F36">
        <w:rPr>
          <w:rFonts w:ascii="Arial" w:hAnsi="Arial" w:cs="Arial"/>
          <w:sz w:val="24"/>
        </w:rPr>
        <w:t xml:space="preserve">, the borrow pits were practically identified. These designated borrow pits are generally unutilized areas with sparse </w:t>
      </w:r>
      <w:r w:rsidR="00EF045E" w:rsidRPr="002B3F36">
        <w:rPr>
          <w:rFonts w:ascii="Arial" w:hAnsi="Arial" w:cs="Arial"/>
          <w:sz w:val="24"/>
        </w:rPr>
        <w:t>vegetation</w:t>
      </w:r>
      <w:r w:rsidR="00A44095" w:rsidRPr="002B3F36">
        <w:rPr>
          <w:rFonts w:ascii="Arial" w:hAnsi="Arial" w:cs="Arial"/>
          <w:sz w:val="24"/>
        </w:rPr>
        <w:t>. For the rest of the materials to be used in construction of civil works, e</w:t>
      </w:r>
      <w:r w:rsidRPr="002B3F36">
        <w:rPr>
          <w:rFonts w:ascii="Arial" w:hAnsi="Arial" w:cs="Arial"/>
          <w:sz w:val="24"/>
        </w:rPr>
        <w:t>valuations will consider proximity to sensitive receptors</w:t>
      </w:r>
      <w:r w:rsidR="00315A68" w:rsidRPr="002B3F36">
        <w:rPr>
          <w:rStyle w:val="ac"/>
          <w:rFonts w:ascii="Arial" w:hAnsi="Arial" w:cs="Arial"/>
          <w:sz w:val="24"/>
        </w:rPr>
        <w:footnoteReference w:id="9"/>
      </w:r>
      <w:r w:rsidRPr="002B3F36">
        <w:rPr>
          <w:rFonts w:ascii="Arial" w:hAnsi="Arial" w:cs="Arial"/>
          <w:sz w:val="24"/>
        </w:rPr>
        <w:t>, access routes, and haul roads. Site selection will be informed by a review of existing geological and engineering data, and aligned with mitigation measures consistent with PS3 and national environmental codes.</w:t>
      </w:r>
    </w:p>
    <w:p w14:paraId="64BA1891" w14:textId="743B2EAA" w:rsidR="00F61F8E" w:rsidRPr="002B3F36" w:rsidRDefault="000F264B">
      <w:pPr>
        <w:widowControl/>
        <w:autoSpaceDE/>
        <w:autoSpaceDN/>
        <w:ind w:left="360" w:hanging="360"/>
        <w:jc w:val="both"/>
        <w:rPr>
          <w:rFonts w:ascii="Arial" w:hAnsi="Arial" w:cs="Arial"/>
          <w:sz w:val="24"/>
        </w:rPr>
      </w:pPr>
      <w:bookmarkStart w:id="1866" w:name="_heading=h.4duo691qvrq3" w:colFirst="0" w:colLast="0"/>
      <w:bookmarkEnd w:id="1866"/>
      <w:r w:rsidRPr="002B3F36">
        <w:rPr>
          <w:rFonts w:ascii="Arial" w:hAnsi="Arial" w:cs="Arial"/>
          <w:b/>
          <w:sz w:val="24"/>
        </w:rPr>
        <w:t>Noise, Vibration, and Air Quality</w:t>
      </w:r>
      <w:r w:rsidRPr="002B3F36">
        <w:rPr>
          <w:rFonts w:ascii="Arial" w:hAnsi="Arial" w:cs="Arial"/>
          <w:sz w:val="24"/>
        </w:rPr>
        <w:t>. Sensitive receptors along the proposed alignment including residential areas, schools, health facilities, and cultural or religious sites will be mapped. Baseline conditions for ambient air quality, noise, and vibration will be established through field monitoring using calibrated instruments.</w:t>
      </w:r>
      <w:r w:rsidR="00A44095" w:rsidRPr="002B3F36">
        <w:rPr>
          <w:rFonts w:ascii="Arial" w:hAnsi="Arial" w:cs="Arial"/>
          <w:sz w:val="24"/>
        </w:rPr>
        <w:t xml:space="preserve"> With the exception of railway </w:t>
      </w:r>
      <w:r w:rsidR="00EF045E" w:rsidRPr="002B3F36">
        <w:rPr>
          <w:rFonts w:ascii="Arial" w:hAnsi="Arial" w:cs="Arial"/>
          <w:sz w:val="24"/>
        </w:rPr>
        <w:t>connections</w:t>
      </w:r>
      <w:r w:rsidR="00A44095" w:rsidRPr="002B3F36">
        <w:rPr>
          <w:rFonts w:ascii="Arial" w:hAnsi="Arial" w:cs="Arial"/>
          <w:sz w:val="24"/>
        </w:rPr>
        <w:t xml:space="preserve"> and Station upgrading at Kyzylzhar and Mointy, practically the alignment will be at considerable distance to any villages or settlements. Nevertheless, air quality and noise </w:t>
      </w:r>
      <w:r w:rsidR="00EF045E" w:rsidRPr="002B3F36">
        <w:rPr>
          <w:rFonts w:ascii="Arial" w:hAnsi="Arial" w:cs="Arial"/>
          <w:sz w:val="24"/>
        </w:rPr>
        <w:t>measurements</w:t>
      </w:r>
      <w:r w:rsidR="00A44095" w:rsidRPr="002B3F36">
        <w:rPr>
          <w:rFonts w:ascii="Arial" w:hAnsi="Arial" w:cs="Arial"/>
          <w:sz w:val="24"/>
        </w:rPr>
        <w:t xml:space="preserve"> were collected near major </w:t>
      </w:r>
      <w:r w:rsidR="00EF045E" w:rsidRPr="002B3F36">
        <w:rPr>
          <w:rFonts w:ascii="Arial" w:hAnsi="Arial" w:cs="Arial"/>
          <w:sz w:val="24"/>
        </w:rPr>
        <w:t>settlements. The</w:t>
      </w:r>
      <w:r w:rsidRPr="002B3F36">
        <w:rPr>
          <w:rFonts w:ascii="Arial" w:hAnsi="Arial" w:cs="Arial"/>
          <w:sz w:val="24"/>
        </w:rPr>
        <w:t xml:space="preserve"> collected data will guide the development of mitigation strategies for both construction and operational phases, in line with good international industry practice (GIIP) under PS3.</w:t>
      </w:r>
    </w:p>
    <w:p w14:paraId="524D5CB3" w14:textId="4571403C" w:rsidR="00F61F8E" w:rsidRPr="002B3F36" w:rsidRDefault="000F264B">
      <w:pPr>
        <w:widowControl/>
        <w:autoSpaceDE/>
        <w:autoSpaceDN/>
        <w:ind w:left="360" w:hanging="360"/>
        <w:jc w:val="both"/>
        <w:rPr>
          <w:rFonts w:ascii="Arial" w:eastAsia="SimSun" w:hAnsi="Arial" w:cs="Arial"/>
          <w:sz w:val="24"/>
          <w:shd w:val="clear" w:color="auto" w:fill="B7B7B7"/>
          <w:lang w:eastAsia="zh-CN"/>
        </w:rPr>
      </w:pPr>
      <w:bookmarkStart w:id="1867" w:name="_heading=h.3w3dx2l7mhbd" w:colFirst="0" w:colLast="0"/>
      <w:bookmarkEnd w:id="1867"/>
      <w:r w:rsidRPr="002B3F36">
        <w:rPr>
          <w:rFonts w:ascii="Arial" w:hAnsi="Arial" w:cs="Arial"/>
          <w:b/>
          <w:sz w:val="24"/>
        </w:rPr>
        <w:t>Water Quality</w:t>
      </w:r>
      <w:r w:rsidRPr="002B3F36">
        <w:rPr>
          <w:rFonts w:ascii="Arial" w:hAnsi="Arial" w:cs="Arial"/>
          <w:sz w:val="24"/>
        </w:rPr>
        <w:t>. Surface water bodies and groundwater sources within a 200-meter buffer of the railway alignment will be identified and assessed. Baseline sampling and laboratory analyses</w:t>
      </w:r>
      <w:r w:rsidR="00A44095" w:rsidRPr="002B3F36">
        <w:rPr>
          <w:rFonts w:ascii="Arial" w:hAnsi="Arial" w:cs="Arial"/>
          <w:sz w:val="24"/>
        </w:rPr>
        <w:t xml:space="preserve"> which were undertaken in water bodies crossed by the alignment </w:t>
      </w:r>
      <w:r w:rsidR="00EB2044" w:rsidRPr="002B3F36">
        <w:rPr>
          <w:rFonts w:ascii="Arial" w:hAnsi="Arial" w:cs="Arial"/>
          <w:sz w:val="24"/>
        </w:rPr>
        <w:t xml:space="preserve">and were used to </w:t>
      </w:r>
      <w:r w:rsidRPr="002B3F36">
        <w:rPr>
          <w:rFonts w:ascii="Arial" w:hAnsi="Arial" w:cs="Arial"/>
          <w:sz w:val="24"/>
        </w:rPr>
        <w:t xml:space="preserve">evaluate potential risks of contamination from construction runoff, spills, or material storage. Sampling points </w:t>
      </w:r>
      <w:r w:rsidR="00EB2044" w:rsidRPr="002B3F36">
        <w:rPr>
          <w:rFonts w:ascii="Arial" w:hAnsi="Arial" w:cs="Arial"/>
          <w:sz w:val="24"/>
        </w:rPr>
        <w:t>were</w:t>
      </w:r>
      <w:r w:rsidRPr="002B3F36">
        <w:rPr>
          <w:rFonts w:ascii="Arial" w:eastAsia="SimSun" w:hAnsi="Arial" w:cs="Arial"/>
          <w:sz w:val="24"/>
          <w:lang w:eastAsia="zh-CN"/>
        </w:rPr>
        <w:t xml:space="preserve"> prioritized based on hydrogeological sensitivity and risk exposure.</w:t>
      </w:r>
    </w:p>
    <w:p w14:paraId="7CEA19B0" w14:textId="5B0BA168" w:rsidR="00F61F8E" w:rsidRPr="002B3F36" w:rsidRDefault="000F264B">
      <w:pPr>
        <w:widowControl/>
        <w:autoSpaceDE/>
        <w:autoSpaceDN/>
        <w:ind w:left="360" w:hanging="360"/>
        <w:jc w:val="both"/>
        <w:rPr>
          <w:rFonts w:ascii="Arial" w:eastAsia="SimSun" w:hAnsi="Arial" w:cs="Arial"/>
          <w:sz w:val="24"/>
          <w:shd w:val="clear" w:color="auto" w:fill="B7B7B7"/>
          <w:lang w:eastAsia="zh-CN"/>
        </w:rPr>
      </w:pPr>
      <w:bookmarkStart w:id="1868" w:name="_heading=h.ec8c7ug5uvpx" w:colFirst="0" w:colLast="0"/>
      <w:bookmarkEnd w:id="1868"/>
      <w:r w:rsidRPr="002B3F36">
        <w:rPr>
          <w:rFonts w:ascii="Arial" w:eastAsia="SimSun" w:hAnsi="Arial" w:cs="Arial"/>
          <w:b/>
          <w:sz w:val="24"/>
          <w:lang w:eastAsia="zh-CN"/>
        </w:rPr>
        <w:lastRenderedPageBreak/>
        <w:t>Geological and Soil Stability</w:t>
      </w:r>
      <w:r w:rsidRPr="002B3F36">
        <w:rPr>
          <w:rFonts w:ascii="Arial" w:eastAsia="SimSun" w:hAnsi="Arial" w:cs="Arial"/>
          <w:sz w:val="24"/>
          <w:lang w:eastAsia="zh-CN"/>
        </w:rPr>
        <w:t>. The assessment will identify geotechnically sensitive zones, including areas prone to erosion, landslides, collapsible soils, or seismic activity. Geotechnical investigations will inform engineering design recommendations to mitigate risks such as embankment failure, subsidence, and slope instability, ensuring structural integrity throughout the project lifecycle.</w:t>
      </w:r>
    </w:p>
    <w:p w14:paraId="3BE86CE6" w14:textId="43812D0B" w:rsidR="00F61F8E" w:rsidRPr="002B3F36" w:rsidRDefault="000F264B">
      <w:pPr>
        <w:widowControl/>
        <w:autoSpaceDE/>
        <w:autoSpaceDN/>
        <w:ind w:left="360" w:hanging="360"/>
        <w:jc w:val="both"/>
        <w:rPr>
          <w:rFonts w:ascii="Arial" w:hAnsi="Arial" w:cs="Arial"/>
          <w:sz w:val="24"/>
        </w:rPr>
      </w:pPr>
      <w:bookmarkStart w:id="1869" w:name="_heading=h.cokf3l5yjle" w:colFirst="0" w:colLast="0"/>
      <w:bookmarkEnd w:id="1869"/>
      <w:r w:rsidRPr="002B3F36">
        <w:rPr>
          <w:rFonts w:ascii="Arial" w:eastAsia="SimSun" w:hAnsi="Arial" w:cs="Arial"/>
          <w:b/>
          <w:sz w:val="24"/>
          <w:lang w:eastAsia="zh-CN"/>
        </w:rPr>
        <w:t>Contractor’s Camps and Ancillary Facilities</w:t>
      </w:r>
      <w:r w:rsidRPr="002B3F36">
        <w:rPr>
          <w:rFonts w:ascii="Arial" w:eastAsia="SimSun" w:hAnsi="Arial" w:cs="Arial"/>
          <w:sz w:val="24"/>
          <w:lang w:eastAsia="zh-CN"/>
        </w:rPr>
        <w:t xml:space="preserve">. Proposed </w:t>
      </w:r>
      <w:r w:rsidRPr="002B3F36">
        <w:rPr>
          <w:rFonts w:ascii="Arial" w:hAnsi="Arial" w:cs="Arial"/>
          <w:sz w:val="24"/>
        </w:rPr>
        <w:t xml:space="preserve">locations for temporary and permanent ancillary facilities (e.g., contractor camps, borrow areas, batching plants, crushers, disposal sites) will be evaluated for site-specific impacts. </w:t>
      </w:r>
      <w:r w:rsidR="00EB2044" w:rsidRPr="002B3F36">
        <w:rPr>
          <w:rFonts w:ascii="Arial" w:hAnsi="Arial" w:cs="Arial"/>
          <w:sz w:val="24"/>
        </w:rPr>
        <w:t xml:space="preserve">More detailed assessments </w:t>
      </w:r>
      <w:r w:rsidR="00C7710C" w:rsidRPr="002B3F36">
        <w:rPr>
          <w:rFonts w:ascii="Arial" w:hAnsi="Arial" w:cs="Arial"/>
          <w:sz w:val="24"/>
        </w:rPr>
        <w:t>are</w:t>
      </w:r>
      <w:r w:rsidR="00EB2044" w:rsidRPr="002B3F36">
        <w:rPr>
          <w:rFonts w:ascii="Arial" w:hAnsi="Arial" w:cs="Arial"/>
          <w:sz w:val="24"/>
        </w:rPr>
        <w:t xml:space="preserve"> planned to be undertaken in accordance with the Environmental and Social (ES) documents, particularly the ESMP.  </w:t>
      </w:r>
      <w:r w:rsidRPr="002B3F36">
        <w:rPr>
          <w:rFonts w:ascii="Arial" w:hAnsi="Arial" w:cs="Arial"/>
          <w:sz w:val="24"/>
        </w:rPr>
        <w:t>Assessments will cover air and water pollution, noise emissions, soil degradation, and occupational health and safety concerns. Access routes and construction logistics will also be reviewed. Methodologies will align with those applied to the main corridor and comply with PS3 and applicable national laws.</w:t>
      </w:r>
    </w:p>
    <w:p w14:paraId="35717A0A" w14:textId="186E35FC" w:rsidR="00F61F8E" w:rsidRPr="002B3F36" w:rsidRDefault="000F264B">
      <w:pPr>
        <w:widowControl/>
        <w:autoSpaceDE/>
        <w:autoSpaceDN/>
        <w:ind w:left="360" w:hanging="360"/>
        <w:jc w:val="both"/>
        <w:rPr>
          <w:rFonts w:ascii="Arial" w:hAnsi="Arial" w:cs="Arial"/>
          <w:sz w:val="24"/>
        </w:rPr>
      </w:pPr>
      <w:bookmarkStart w:id="1870" w:name="_heading=h.571weeblipd5" w:colFirst="0" w:colLast="0"/>
      <w:bookmarkStart w:id="1871" w:name="_heading=h.oglibj5zzza0" w:colFirst="0" w:colLast="0"/>
      <w:bookmarkEnd w:id="1870"/>
      <w:bookmarkEnd w:id="1871"/>
      <w:r w:rsidRPr="002B3F36">
        <w:rPr>
          <w:rFonts w:ascii="Arial" w:hAnsi="Arial" w:cs="Arial"/>
          <w:b/>
          <w:sz w:val="24"/>
        </w:rPr>
        <w:t>Government</w:t>
      </w:r>
      <w:r w:rsidRPr="002B3F36">
        <w:rPr>
          <w:rFonts w:ascii="Arial" w:hAnsi="Arial" w:cs="Arial"/>
          <w:sz w:val="24"/>
        </w:rPr>
        <w:t xml:space="preserve"> </w:t>
      </w:r>
      <w:r w:rsidRPr="002B3F36">
        <w:rPr>
          <w:rFonts w:ascii="Arial" w:hAnsi="Arial" w:cs="Arial"/>
          <w:b/>
          <w:sz w:val="24"/>
        </w:rPr>
        <w:t>Coordination</w:t>
      </w:r>
      <w:r w:rsidRPr="002B3F36">
        <w:rPr>
          <w:rFonts w:ascii="Arial" w:hAnsi="Arial" w:cs="Arial"/>
          <w:sz w:val="24"/>
        </w:rPr>
        <w:t xml:space="preserve"> </w:t>
      </w:r>
      <w:r w:rsidRPr="002B3F36">
        <w:rPr>
          <w:rFonts w:ascii="Arial" w:hAnsi="Arial" w:cs="Arial"/>
          <w:b/>
          <w:sz w:val="24"/>
        </w:rPr>
        <w:t>and Data Collection</w:t>
      </w:r>
      <w:r w:rsidRPr="002B3F36">
        <w:rPr>
          <w:rFonts w:ascii="Arial" w:hAnsi="Arial" w:cs="Arial"/>
          <w:sz w:val="24"/>
        </w:rPr>
        <w:t>. In collaboration with KTZ and relevant government entities, the Consultant:</w:t>
      </w:r>
    </w:p>
    <w:p w14:paraId="5D6398E3" w14:textId="50FBA577" w:rsidR="00F61F8E" w:rsidRPr="002B3F36" w:rsidRDefault="000F264B" w:rsidP="009B4CDB">
      <w:pPr>
        <w:widowControl/>
        <w:numPr>
          <w:ilvl w:val="0"/>
          <w:numId w:val="74"/>
        </w:numPr>
        <w:autoSpaceDE/>
        <w:autoSpaceDN/>
        <w:rPr>
          <w:rFonts w:ascii="Arial" w:hAnsi="Arial" w:cs="Arial"/>
          <w:sz w:val="24"/>
        </w:rPr>
      </w:pPr>
      <w:r w:rsidRPr="002B3F36">
        <w:rPr>
          <w:rFonts w:ascii="Arial" w:hAnsi="Arial" w:cs="Arial"/>
          <w:sz w:val="24"/>
        </w:rPr>
        <w:t>Obtain</w:t>
      </w:r>
      <w:r w:rsidR="00685DDC" w:rsidRPr="002B3F36">
        <w:rPr>
          <w:rFonts w:ascii="Arial" w:hAnsi="Arial" w:cs="Arial"/>
          <w:sz w:val="24"/>
        </w:rPr>
        <w:t>ed</w:t>
      </w:r>
      <w:r w:rsidRPr="002B3F36">
        <w:rPr>
          <w:rFonts w:ascii="Arial" w:hAnsi="Arial" w:cs="Arial"/>
          <w:sz w:val="24"/>
        </w:rPr>
        <w:t xml:space="preserve"> spatial data on Specially Protected Natural Areas (SPNAs), hunting grounds, and ecological reserves within the </w:t>
      </w:r>
      <w:r w:rsidR="00F92C8A" w:rsidRPr="002B3F36">
        <w:rPr>
          <w:rFonts w:ascii="Arial" w:hAnsi="Arial" w:cs="Arial"/>
          <w:sz w:val="24"/>
        </w:rPr>
        <w:t>P</w:t>
      </w:r>
      <w:r w:rsidRPr="002B3F36">
        <w:rPr>
          <w:rFonts w:ascii="Arial" w:hAnsi="Arial" w:cs="Arial"/>
          <w:sz w:val="24"/>
        </w:rPr>
        <w:t>roject’s area of influence.</w:t>
      </w:r>
    </w:p>
    <w:p w14:paraId="50ED32B3" w14:textId="1ECB2E76" w:rsidR="00F61F8E" w:rsidRPr="002B3F36" w:rsidRDefault="000F264B" w:rsidP="009B4CDB">
      <w:pPr>
        <w:widowControl/>
        <w:numPr>
          <w:ilvl w:val="0"/>
          <w:numId w:val="74"/>
        </w:numPr>
        <w:autoSpaceDE/>
        <w:autoSpaceDN/>
        <w:rPr>
          <w:rFonts w:ascii="Arial" w:hAnsi="Arial" w:cs="Arial"/>
          <w:sz w:val="24"/>
        </w:rPr>
      </w:pPr>
      <w:r w:rsidRPr="002B3F36">
        <w:rPr>
          <w:rFonts w:ascii="Arial" w:hAnsi="Arial" w:cs="Arial"/>
          <w:sz w:val="24"/>
        </w:rPr>
        <w:t>Request</w:t>
      </w:r>
      <w:r w:rsidR="00685DDC" w:rsidRPr="002B3F36">
        <w:rPr>
          <w:rFonts w:ascii="Arial" w:hAnsi="Arial" w:cs="Arial"/>
          <w:sz w:val="24"/>
        </w:rPr>
        <w:t>ed</w:t>
      </w:r>
      <w:r w:rsidRPr="002B3F36">
        <w:rPr>
          <w:rFonts w:ascii="Arial" w:hAnsi="Arial" w:cs="Arial"/>
          <w:sz w:val="24"/>
        </w:rPr>
        <w:t xml:space="preserve"> and review</w:t>
      </w:r>
      <w:r w:rsidR="00685DDC" w:rsidRPr="002B3F36">
        <w:rPr>
          <w:rFonts w:ascii="Arial" w:hAnsi="Arial" w:cs="Arial"/>
          <w:sz w:val="24"/>
        </w:rPr>
        <w:t>ed</w:t>
      </w:r>
      <w:r w:rsidRPr="002B3F36">
        <w:rPr>
          <w:rFonts w:ascii="Arial" w:hAnsi="Arial" w:cs="Arial"/>
          <w:sz w:val="24"/>
        </w:rPr>
        <w:t xml:space="preserve"> hydrological records and river basin reports for watercourses intersected by the railway.</w:t>
      </w:r>
    </w:p>
    <w:p w14:paraId="36BEEEFF" w14:textId="7C45EA6F" w:rsidR="00F61F8E" w:rsidRPr="002B3F36" w:rsidRDefault="000F264B" w:rsidP="009B4CDB">
      <w:pPr>
        <w:widowControl/>
        <w:numPr>
          <w:ilvl w:val="0"/>
          <w:numId w:val="74"/>
        </w:numPr>
        <w:autoSpaceDE/>
        <w:autoSpaceDN/>
        <w:rPr>
          <w:rFonts w:ascii="Arial" w:hAnsi="Arial" w:cs="Arial"/>
          <w:sz w:val="24"/>
        </w:rPr>
      </w:pPr>
      <w:r w:rsidRPr="002B3F36">
        <w:rPr>
          <w:rFonts w:ascii="Arial" w:hAnsi="Arial" w:cs="Arial"/>
          <w:sz w:val="24"/>
        </w:rPr>
        <w:t>Access</w:t>
      </w:r>
      <w:r w:rsidR="00685DDC" w:rsidRPr="002B3F36">
        <w:rPr>
          <w:rFonts w:ascii="Arial" w:hAnsi="Arial" w:cs="Arial"/>
          <w:sz w:val="24"/>
        </w:rPr>
        <w:t>ed</w:t>
      </w:r>
      <w:r w:rsidRPr="002B3F36">
        <w:rPr>
          <w:rFonts w:ascii="Arial" w:hAnsi="Arial" w:cs="Arial"/>
          <w:sz w:val="24"/>
        </w:rPr>
        <w:t xml:space="preserve"> and analyze existing EIAs for overlapping segments, including data on emissions, waste streams, and environmental permitting.</w:t>
      </w:r>
    </w:p>
    <w:p w14:paraId="26BBBF3B" w14:textId="77777777" w:rsidR="00F61F8E" w:rsidRPr="002B3F36" w:rsidRDefault="00F61F8E">
      <w:pPr>
        <w:pStyle w:val="ReportParagraph"/>
      </w:pPr>
    </w:p>
    <w:p w14:paraId="0BA3F0C3" w14:textId="77777777" w:rsidR="00F61F8E" w:rsidRPr="002B3F36" w:rsidRDefault="000F264B" w:rsidP="005A68AD">
      <w:pPr>
        <w:pStyle w:val="31"/>
      </w:pPr>
      <w:bookmarkStart w:id="1872" w:name="_Toc206218416"/>
      <w:bookmarkStart w:id="1873" w:name="_Toc208973799"/>
      <w:bookmarkStart w:id="1874" w:name="_Toc208973999"/>
      <w:bookmarkStart w:id="1875" w:name="_Toc208974199"/>
      <w:bookmarkStart w:id="1876" w:name="_Toc208974401"/>
      <w:bookmarkStart w:id="1877" w:name="_Toc208974609"/>
      <w:bookmarkStart w:id="1878" w:name="_Toc210589446"/>
      <w:r w:rsidRPr="002B3F36">
        <w:t>General Biological and Ecological Environmental Assessments</w:t>
      </w:r>
      <w:bookmarkEnd w:id="1872"/>
      <w:bookmarkEnd w:id="1873"/>
      <w:bookmarkEnd w:id="1874"/>
      <w:bookmarkEnd w:id="1875"/>
      <w:bookmarkEnd w:id="1876"/>
      <w:bookmarkEnd w:id="1877"/>
      <w:bookmarkEnd w:id="1878"/>
      <w:r w:rsidRPr="002B3F36">
        <w:t xml:space="preserve"> </w:t>
      </w:r>
    </w:p>
    <w:p w14:paraId="2B581067" w14:textId="77777777" w:rsidR="00F61F8E" w:rsidRPr="002B3F36" w:rsidRDefault="00F61F8E">
      <w:pPr>
        <w:pStyle w:val="ReportBodyTextNogap"/>
      </w:pPr>
    </w:p>
    <w:p w14:paraId="27BB0532" w14:textId="6EF25CDB" w:rsidR="00E44E84" w:rsidRPr="006508A8" w:rsidRDefault="000F264B" w:rsidP="00E44E84">
      <w:pPr>
        <w:pStyle w:val="ReportBodyTextNogap"/>
      </w:pPr>
      <w:r w:rsidRPr="002B3F36">
        <w:t>The biological and ecological assessment focus</w:t>
      </w:r>
      <w:r w:rsidR="00A7384F" w:rsidRPr="002B3F36">
        <w:t>ed</w:t>
      </w:r>
      <w:r w:rsidRPr="002B3F36">
        <w:t xml:space="preserve"> on identifying and evaluating flora, fauna, habitats, and ecological connectivity that may be affected by the linear alignment of the proposed railway. Special attention will be given to ecological corridors, migratory routes, and areas of ecological significance such as protected areas and wetlands.</w:t>
      </w:r>
      <w:r w:rsidR="00E44E84" w:rsidRPr="00E44E84">
        <w:t xml:space="preserve"> </w:t>
      </w:r>
      <w:r w:rsidR="00E44E84" w:rsidRPr="00A846C7">
        <w:t xml:space="preserve"> </w:t>
      </w:r>
      <w:r w:rsidR="00E44E84" w:rsidRPr="00BB38B4">
        <w:rPr>
          <w:highlight w:val="green"/>
        </w:rPr>
        <w:t>T</w:t>
      </w:r>
      <w:r w:rsidR="00E44E84" w:rsidRPr="00BB38B4">
        <w:rPr>
          <w:rFonts w:eastAsia="Times New Roman"/>
          <w:color w:val="222222"/>
          <w:highlight w:val="green"/>
          <w:lang w:eastAsia="en-PH"/>
        </w:rPr>
        <w:t>he field survey was accomplished with the route of 325 km along the entire length of the road under construction, by the team consisting of 2 specialists and 1 driver, with one car. During 3 field days of research, 25 botanical sites were described, 15 transects of 500 meters were passed on both sides of the road.</w:t>
      </w:r>
      <w:r w:rsidR="006508A8" w:rsidRPr="00A846C7">
        <w:rPr>
          <w:rFonts w:eastAsia="Times New Roman"/>
          <w:color w:val="222222"/>
          <w:lang w:eastAsia="en-PH"/>
        </w:rPr>
        <w:t xml:space="preserve"> </w:t>
      </w:r>
      <w:r w:rsidR="006508A8" w:rsidRPr="00A846C7">
        <w:rPr>
          <w:rFonts w:eastAsia="Times New Roman"/>
          <w:color w:val="222222"/>
          <w:highlight w:val="green"/>
          <w:lang w:val="en" w:eastAsia="en-PH"/>
        </w:rPr>
        <w:t>All available literary and other materials (reports, databases, etc.) were also used for the assessment.</w:t>
      </w:r>
    </w:p>
    <w:p w14:paraId="6C7A15A8" w14:textId="4CC308B5" w:rsidR="00F61F8E" w:rsidRPr="00E44E84" w:rsidRDefault="00F61F8E">
      <w:pPr>
        <w:pStyle w:val="ReportBodyTextNogap"/>
      </w:pPr>
    </w:p>
    <w:p w14:paraId="229DD0DC" w14:textId="77777777" w:rsidR="00F61F8E" w:rsidRPr="002B3F36" w:rsidRDefault="00F61F8E">
      <w:pPr>
        <w:pStyle w:val="ReportBodyTextNogap"/>
      </w:pPr>
    </w:p>
    <w:p w14:paraId="1B624118" w14:textId="403EF4D3" w:rsidR="00F61F8E" w:rsidRPr="002B3F36" w:rsidRDefault="000F264B">
      <w:pPr>
        <w:pStyle w:val="ReportParagraph"/>
      </w:pPr>
      <w:r w:rsidRPr="002B3F36">
        <w:t>The assessment analyze</w:t>
      </w:r>
      <w:r w:rsidR="00A7384F" w:rsidRPr="002B3F36">
        <w:t>d the following</w:t>
      </w:r>
      <w:r w:rsidRPr="002B3F36">
        <w:t>:</w:t>
      </w:r>
    </w:p>
    <w:p w14:paraId="2367FFE6" w14:textId="6DA26FBC" w:rsidR="00F61F8E" w:rsidRPr="002B3F36" w:rsidRDefault="000F264B" w:rsidP="009B4CDB">
      <w:pPr>
        <w:widowControl/>
        <w:numPr>
          <w:ilvl w:val="0"/>
          <w:numId w:val="73"/>
        </w:numPr>
        <w:autoSpaceDE/>
        <w:autoSpaceDN/>
        <w:jc w:val="both"/>
        <w:rPr>
          <w:rFonts w:ascii="Arial" w:eastAsia="Arial" w:hAnsi="Arial" w:cs="Arial"/>
          <w:sz w:val="24"/>
          <w:szCs w:val="24"/>
          <w:lang w:eastAsia="en-PH"/>
        </w:rPr>
      </w:pPr>
      <w:r w:rsidRPr="002B3F36">
        <w:rPr>
          <w:rFonts w:ascii="Arial" w:eastAsia="Arial" w:hAnsi="Arial" w:cs="Arial"/>
          <w:sz w:val="24"/>
          <w:szCs w:val="24"/>
          <w:lang w:eastAsia="en-PH"/>
        </w:rPr>
        <w:t>Individual species and their conservation status,</w:t>
      </w:r>
    </w:p>
    <w:p w14:paraId="67D0EDA6" w14:textId="77777777" w:rsidR="00F61F8E" w:rsidRPr="002B3F36" w:rsidRDefault="000F264B" w:rsidP="009B4CDB">
      <w:pPr>
        <w:widowControl/>
        <w:numPr>
          <w:ilvl w:val="0"/>
          <w:numId w:val="73"/>
        </w:numPr>
        <w:autoSpaceDE/>
        <w:autoSpaceDN/>
        <w:jc w:val="both"/>
        <w:rPr>
          <w:rFonts w:ascii="Arial" w:eastAsia="Arial" w:hAnsi="Arial" w:cs="Arial"/>
          <w:sz w:val="24"/>
          <w:szCs w:val="24"/>
          <w:lang w:eastAsia="en-PH"/>
        </w:rPr>
      </w:pPr>
      <w:r w:rsidRPr="002B3F36">
        <w:rPr>
          <w:rFonts w:ascii="Arial" w:eastAsia="Arial" w:hAnsi="Arial" w:cs="Arial"/>
          <w:sz w:val="24"/>
          <w:szCs w:val="24"/>
          <w:lang w:eastAsia="en-PH"/>
        </w:rPr>
        <w:t>Habitat fragmentation risks,</w:t>
      </w:r>
    </w:p>
    <w:p w14:paraId="5539E400" w14:textId="77777777" w:rsidR="00F61F8E" w:rsidRPr="002B3F36" w:rsidRDefault="000F264B" w:rsidP="009B4CDB">
      <w:pPr>
        <w:widowControl/>
        <w:numPr>
          <w:ilvl w:val="0"/>
          <w:numId w:val="73"/>
        </w:numPr>
        <w:autoSpaceDE/>
        <w:autoSpaceDN/>
        <w:jc w:val="both"/>
        <w:rPr>
          <w:rFonts w:ascii="Arial" w:eastAsia="Arial" w:hAnsi="Arial" w:cs="Arial"/>
          <w:sz w:val="24"/>
          <w:szCs w:val="24"/>
          <w:lang w:eastAsia="en-PH"/>
        </w:rPr>
      </w:pPr>
      <w:r w:rsidRPr="002B3F36">
        <w:rPr>
          <w:rFonts w:ascii="Arial" w:eastAsia="Arial" w:hAnsi="Arial" w:cs="Arial"/>
          <w:sz w:val="24"/>
          <w:szCs w:val="24"/>
          <w:lang w:eastAsia="en-PH"/>
        </w:rPr>
        <w:t>Seasonal behaviors including breeding, nesting, and foraging patterns, and</w:t>
      </w:r>
    </w:p>
    <w:p w14:paraId="28ECC704" w14:textId="77777777" w:rsidR="00F61F8E" w:rsidRPr="002B3F36" w:rsidRDefault="000F264B" w:rsidP="009B4CDB">
      <w:pPr>
        <w:widowControl/>
        <w:numPr>
          <w:ilvl w:val="0"/>
          <w:numId w:val="73"/>
        </w:numPr>
        <w:autoSpaceDE/>
        <w:autoSpaceDN/>
        <w:spacing w:after="240"/>
        <w:jc w:val="both"/>
        <w:rPr>
          <w:rFonts w:ascii="Arial" w:eastAsia="Arial" w:hAnsi="Arial" w:cs="Arial"/>
          <w:sz w:val="24"/>
          <w:szCs w:val="24"/>
          <w:lang w:eastAsia="en-PH"/>
        </w:rPr>
      </w:pPr>
      <w:r w:rsidRPr="002B3F36">
        <w:rPr>
          <w:rFonts w:ascii="Arial" w:eastAsia="Arial" w:hAnsi="Arial" w:cs="Arial"/>
          <w:sz w:val="24"/>
          <w:szCs w:val="24"/>
          <w:lang w:eastAsia="en-PH"/>
        </w:rPr>
        <w:t>Trophic relationships and species interdependencies within the railway’s area of influence.</w:t>
      </w:r>
    </w:p>
    <w:p w14:paraId="1E9BB754" w14:textId="15869258" w:rsidR="00F61F8E" w:rsidRPr="002B3F36" w:rsidRDefault="000F264B">
      <w:pPr>
        <w:pStyle w:val="ReportParagraph"/>
      </w:pPr>
      <w:r w:rsidRPr="002B3F36">
        <w:t xml:space="preserve">The findings </w:t>
      </w:r>
      <w:r w:rsidR="00A7384F" w:rsidRPr="002B3F36">
        <w:t>were used in</w:t>
      </w:r>
      <w:r w:rsidRPr="002B3F36">
        <w:t xml:space="preserve"> the formulation of a Biodiversity Management Plan (BMP), which detail</w:t>
      </w:r>
      <w:r w:rsidR="00A7384F" w:rsidRPr="002B3F36">
        <w:t>ed</w:t>
      </w:r>
      <w:r w:rsidRPr="002B3F36">
        <w:t xml:space="preserve"> site-specific mitigation and enhancement measures to be implemented across all phases of the project. The BMP </w:t>
      </w:r>
      <w:r w:rsidR="00A7384F" w:rsidRPr="002B3F36">
        <w:t>was</w:t>
      </w:r>
      <w:r w:rsidRPr="002B3F36">
        <w:t xml:space="preserve"> developed in alignment with the requirements of World Bank </w:t>
      </w:r>
      <w:r w:rsidR="00163238" w:rsidRPr="002B3F36">
        <w:t xml:space="preserve">Group’s’ </w:t>
      </w:r>
      <w:r w:rsidRPr="002B3F36">
        <w:t>Performance Standard 6 (PS6), as well as applicable national biodiversity conservation regulations. The field research methods outlined below represent a preliminary suite of potential methodologies to be applied, subject to the ecological characteristics of the site and the professional judgment of the environmental specialists assigned to fieldwork.</w:t>
      </w:r>
    </w:p>
    <w:p w14:paraId="44FA6835" w14:textId="77777777" w:rsidR="00F61F8E" w:rsidRPr="002B3F36" w:rsidRDefault="00F61F8E">
      <w:pPr>
        <w:pStyle w:val="ReportParagraph"/>
      </w:pPr>
    </w:p>
    <w:p w14:paraId="557C999C" w14:textId="77777777" w:rsidR="00F61F8E" w:rsidRPr="002B3F36" w:rsidRDefault="000F264B">
      <w:pPr>
        <w:widowControl/>
        <w:autoSpaceDE/>
        <w:autoSpaceDN/>
        <w:ind w:left="720"/>
        <w:rPr>
          <w:rFonts w:ascii="Arial" w:eastAsia="Arial" w:hAnsi="Arial" w:cs="Arial"/>
          <w:b/>
          <w:sz w:val="24"/>
          <w:szCs w:val="24"/>
          <w:u w:val="single"/>
          <w:lang w:eastAsia="en-PH"/>
        </w:rPr>
      </w:pPr>
      <w:r w:rsidRPr="002B3F36">
        <w:rPr>
          <w:rFonts w:ascii="Arial" w:eastAsia="Arial" w:hAnsi="Arial" w:cs="Arial"/>
          <w:b/>
          <w:sz w:val="24"/>
          <w:szCs w:val="24"/>
          <w:u w:val="single"/>
          <w:lang w:eastAsia="en-PH"/>
        </w:rPr>
        <w:t>Geobotanical research methods</w:t>
      </w:r>
    </w:p>
    <w:p w14:paraId="3867C521" w14:textId="77777777" w:rsidR="00FC7D4A" w:rsidRPr="002B3F36" w:rsidRDefault="00FC7D4A" w:rsidP="00F82096">
      <w:pPr>
        <w:pStyle w:val="ReportBodyTextNogap"/>
      </w:pPr>
      <w:r w:rsidRPr="00A846C7">
        <w:lastRenderedPageBreak/>
        <w:t>According to generally accepted geobotanical methods floristic inventories were conducted along the railway corridor by establishing 10×10 m quadrats at representative locations across ecological zones intersected by the alignment. The assessment documented vegetation structure, dominant species, soil characteristics, and species abundance. Projective coverage—defined as the proportion of ground area covered by plant foliage— was visually estimated in percentage classes (e.g., 10%, 30%, 60%). Species abundance was evaluated using the Drude scale. Given the railway's linear nature, transects were laid perpendicular to the alignment at ecologically sensitive zones to assess potential habitat fragmentation and edge effects. To facilitate this process, some proforma forms were used.</w:t>
      </w:r>
    </w:p>
    <w:p w14:paraId="1E12BF35" w14:textId="77777777" w:rsidR="00F61F8E" w:rsidRPr="002B3F36" w:rsidRDefault="00F61F8E">
      <w:pPr>
        <w:pStyle w:val="ReportParagraph"/>
      </w:pPr>
    </w:p>
    <w:p w14:paraId="503E1CB5" w14:textId="77777777" w:rsidR="00F61F8E" w:rsidRPr="002B3F36" w:rsidRDefault="000F264B">
      <w:pPr>
        <w:pStyle w:val="ReportParagraph"/>
      </w:pPr>
      <w:r w:rsidRPr="002B3F36">
        <w:t xml:space="preserve">The determination of plants is planned to be carried out according to: </w:t>
      </w:r>
    </w:p>
    <w:p w14:paraId="79E03E64" w14:textId="77777777" w:rsidR="00F61F8E" w:rsidRPr="002B3F36" w:rsidRDefault="000F264B" w:rsidP="009B4CDB">
      <w:pPr>
        <w:widowControl/>
        <w:numPr>
          <w:ilvl w:val="1"/>
          <w:numId w:val="72"/>
        </w:numPr>
        <w:pBdr>
          <w:top w:val="nil"/>
          <w:left w:val="nil"/>
          <w:bottom w:val="nil"/>
          <w:right w:val="nil"/>
          <w:between w:val="nil"/>
        </w:pBdr>
        <w:autoSpaceDE/>
        <w:autoSpaceDN/>
        <w:ind w:left="450"/>
        <w:jc w:val="both"/>
        <w:rPr>
          <w:rFonts w:ascii="Arial" w:eastAsia="Arial" w:hAnsi="Arial" w:cs="Arial"/>
          <w:sz w:val="24"/>
          <w:szCs w:val="24"/>
          <w:lang w:eastAsia="en-PH"/>
        </w:rPr>
      </w:pPr>
      <w:r w:rsidRPr="002B3F36">
        <w:rPr>
          <w:rFonts w:ascii="Arial" w:eastAsia="Arial" w:hAnsi="Arial" w:cs="Arial"/>
          <w:sz w:val="24"/>
          <w:szCs w:val="24"/>
          <w:lang w:eastAsia="en-PH"/>
        </w:rPr>
        <w:t xml:space="preserve">Illustrated determinant of plants of Kazakhstan (1969), </w:t>
      </w:r>
    </w:p>
    <w:p w14:paraId="2AC67F16" w14:textId="77777777" w:rsidR="00F61F8E" w:rsidRPr="002B3F36" w:rsidRDefault="000F264B" w:rsidP="009B4CDB">
      <w:pPr>
        <w:widowControl/>
        <w:numPr>
          <w:ilvl w:val="1"/>
          <w:numId w:val="72"/>
        </w:numPr>
        <w:pBdr>
          <w:top w:val="nil"/>
          <w:left w:val="nil"/>
          <w:bottom w:val="nil"/>
          <w:right w:val="nil"/>
          <w:between w:val="nil"/>
        </w:pBdr>
        <w:autoSpaceDE/>
        <w:autoSpaceDN/>
        <w:ind w:left="450"/>
        <w:jc w:val="both"/>
        <w:rPr>
          <w:rFonts w:ascii="Arial" w:eastAsia="Arial" w:hAnsi="Arial" w:cs="Arial"/>
          <w:sz w:val="24"/>
          <w:szCs w:val="24"/>
          <w:lang w:eastAsia="en-PH"/>
        </w:rPr>
      </w:pPr>
      <w:r w:rsidRPr="002B3F36">
        <w:rPr>
          <w:rFonts w:ascii="Arial" w:eastAsia="Arial" w:hAnsi="Arial" w:cs="Arial"/>
          <w:sz w:val="24"/>
          <w:szCs w:val="24"/>
          <w:lang w:eastAsia="en-PH"/>
        </w:rPr>
        <w:t xml:space="preserve">Illustrated determinant of families and genera of Flora of Kazakhstan. Volume 1 (1999), </w:t>
      </w:r>
    </w:p>
    <w:p w14:paraId="1C06331B" w14:textId="77777777" w:rsidR="00F61F8E" w:rsidRPr="002B3F36" w:rsidRDefault="000F264B" w:rsidP="009B4CDB">
      <w:pPr>
        <w:widowControl/>
        <w:numPr>
          <w:ilvl w:val="1"/>
          <w:numId w:val="72"/>
        </w:numPr>
        <w:pBdr>
          <w:top w:val="nil"/>
          <w:left w:val="nil"/>
          <w:bottom w:val="nil"/>
          <w:right w:val="nil"/>
          <w:between w:val="nil"/>
        </w:pBdr>
        <w:autoSpaceDE/>
        <w:autoSpaceDN/>
        <w:ind w:left="450"/>
        <w:jc w:val="both"/>
        <w:rPr>
          <w:rFonts w:ascii="Arial" w:eastAsia="Arial" w:hAnsi="Arial" w:cs="Arial"/>
          <w:sz w:val="24"/>
          <w:szCs w:val="24"/>
          <w:lang w:eastAsia="en-PH"/>
        </w:rPr>
      </w:pPr>
      <w:r w:rsidRPr="002B3F36">
        <w:rPr>
          <w:rFonts w:ascii="Arial" w:eastAsia="Arial" w:hAnsi="Arial" w:cs="Arial"/>
          <w:sz w:val="24"/>
          <w:szCs w:val="24"/>
          <w:lang w:eastAsia="en-PH"/>
        </w:rPr>
        <w:t xml:space="preserve">The determinant of plants of Central Asia (1968-1993), </w:t>
      </w:r>
    </w:p>
    <w:p w14:paraId="34E34A8E" w14:textId="77777777" w:rsidR="00F61F8E" w:rsidRPr="002B3F36" w:rsidRDefault="000F264B" w:rsidP="009B4CDB">
      <w:pPr>
        <w:widowControl/>
        <w:numPr>
          <w:ilvl w:val="1"/>
          <w:numId w:val="72"/>
        </w:numPr>
        <w:pBdr>
          <w:top w:val="nil"/>
          <w:left w:val="nil"/>
          <w:bottom w:val="nil"/>
          <w:right w:val="nil"/>
          <w:between w:val="nil"/>
        </w:pBdr>
        <w:autoSpaceDE/>
        <w:autoSpaceDN/>
        <w:ind w:left="450"/>
        <w:jc w:val="both"/>
        <w:rPr>
          <w:rFonts w:ascii="Arial" w:eastAsia="Arial" w:hAnsi="Arial" w:cs="Arial"/>
          <w:sz w:val="24"/>
          <w:szCs w:val="24"/>
          <w:lang w:eastAsia="en-PH"/>
        </w:rPr>
      </w:pPr>
      <w:r w:rsidRPr="002B3F36">
        <w:rPr>
          <w:rFonts w:ascii="Arial" w:eastAsia="Arial" w:hAnsi="Arial" w:cs="Arial"/>
          <w:sz w:val="24"/>
          <w:szCs w:val="24"/>
          <w:lang w:eastAsia="en-PH"/>
        </w:rPr>
        <w:t>The online determinant www.plantarium.ru.</w:t>
      </w:r>
    </w:p>
    <w:p w14:paraId="0EB008D3" w14:textId="77777777" w:rsidR="00F61F8E" w:rsidRPr="002B3F36" w:rsidRDefault="00F61F8E">
      <w:pPr>
        <w:widowControl/>
        <w:autoSpaceDE/>
        <w:autoSpaceDN/>
        <w:rPr>
          <w:rFonts w:ascii="Arial" w:eastAsia="Arial" w:hAnsi="Arial" w:cs="Arial"/>
          <w:sz w:val="24"/>
          <w:szCs w:val="24"/>
          <w:lang w:eastAsia="en-PH"/>
        </w:rPr>
      </w:pPr>
    </w:p>
    <w:p w14:paraId="124F34F6" w14:textId="5CAFC7AE" w:rsidR="00F61F8E" w:rsidRPr="002B3F36" w:rsidRDefault="000F264B">
      <w:pPr>
        <w:widowControl/>
        <w:pBdr>
          <w:top w:val="nil"/>
          <w:left w:val="nil"/>
          <w:bottom w:val="nil"/>
          <w:right w:val="nil"/>
          <w:between w:val="nil"/>
        </w:pBdr>
        <w:autoSpaceDE/>
        <w:autoSpaceDN/>
        <w:jc w:val="both"/>
        <w:rPr>
          <w:rFonts w:ascii="Arial" w:eastAsia="Arial" w:hAnsi="Arial" w:cs="Arial"/>
          <w:sz w:val="24"/>
          <w:szCs w:val="24"/>
          <w:lang w:eastAsia="en-PH"/>
        </w:rPr>
      </w:pPr>
      <w:r w:rsidRPr="002B3F36">
        <w:rPr>
          <w:rFonts w:ascii="Arial" w:eastAsia="Arial" w:hAnsi="Arial" w:cs="Arial"/>
          <w:sz w:val="24"/>
          <w:szCs w:val="24"/>
          <w:lang w:eastAsia="en-PH"/>
        </w:rPr>
        <w:t xml:space="preserve">Since the main purpose of the work is to identify rare and endemic plant species, it </w:t>
      </w:r>
      <w:r w:rsidR="00FC7D4A" w:rsidRPr="002B3F36">
        <w:rPr>
          <w:rFonts w:ascii="Arial" w:eastAsia="Arial" w:hAnsi="Arial" w:cs="Arial"/>
          <w:sz w:val="24"/>
          <w:szCs w:val="24"/>
          <w:lang w:eastAsia="en-PH"/>
        </w:rPr>
        <w:t>was</w:t>
      </w:r>
      <w:r w:rsidRPr="002B3F36">
        <w:rPr>
          <w:rFonts w:ascii="Arial" w:eastAsia="Arial" w:hAnsi="Arial" w:cs="Arial"/>
          <w:sz w:val="24"/>
          <w:szCs w:val="24"/>
          <w:lang w:eastAsia="en-PH"/>
        </w:rPr>
        <w:t xml:space="preserve"> necessary to take into account the route method (</w:t>
      </w:r>
      <w:r w:rsidRPr="002B3F36">
        <w:rPr>
          <w:rFonts w:ascii="Arial" w:eastAsia="Arial" w:hAnsi="Arial" w:cs="Arial"/>
          <w:i/>
          <w:sz w:val="24"/>
          <w:szCs w:val="24"/>
          <w:lang w:eastAsia="en-PH"/>
        </w:rPr>
        <w:t>Mirkin B.M. et al., 2001</w:t>
      </w:r>
      <w:r w:rsidRPr="002B3F36">
        <w:rPr>
          <w:rFonts w:ascii="Arial" w:eastAsia="Arial" w:hAnsi="Arial" w:cs="Arial"/>
          <w:sz w:val="24"/>
          <w:szCs w:val="24"/>
          <w:lang w:eastAsia="en-PH"/>
        </w:rPr>
        <w:t xml:space="preserve">) with a detailed visual inspection of the territory. Route methods are a class of methods that are implemented by making one–time calculations along the route. They can be of different scales and cover both small areas of vegetation and entire areas, as well as different degrees of accuracy, that is, they rely on both purely visual estimates and accurate accounting methods. According to the technical task, it </w:t>
      </w:r>
      <w:r w:rsidR="00FC7D4A" w:rsidRPr="002B3F36">
        <w:rPr>
          <w:rFonts w:ascii="Arial" w:eastAsia="Arial" w:hAnsi="Arial" w:cs="Arial"/>
          <w:sz w:val="24"/>
          <w:szCs w:val="24"/>
          <w:lang w:eastAsia="en-PH"/>
        </w:rPr>
        <w:t>wa</w:t>
      </w:r>
      <w:r w:rsidRPr="002B3F36">
        <w:rPr>
          <w:rFonts w:ascii="Arial" w:eastAsia="Arial" w:hAnsi="Arial" w:cs="Arial"/>
          <w:sz w:val="24"/>
          <w:szCs w:val="24"/>
          <w:lang w:eastAsia="en-PH"/>
        </w:rPr>
        <w:t>s necessary to specify the real places of growth of rare plant species, which is why a GPS navigator will be used when passing routes along the site, followed by transferring the places of growth to cartographic material, in case of detection of the species.</w:t>
      </w:r>
    </w:p>
    <w:p w14:paraId="03AF7E96" w14:textId="77777777" w:rsidR="00F61F8E" w:rsidRPr="002B3F36" w:rsidRDefault="00F61F8E">
      <w:pPr>
        <w:widowControl/>
        <w:autoSpaceDE/>
        <w:autoSpaceDN/>
        <w:jc w:val="both"/>
        <w:rPr>
          <w:rFonts w:ascii="Arial" w:eastAsia="Arial" w:hAnsi="Arial" w:cs="Arial"/>
          <w:sz w:val="24"/>
          <w:szCs w:val="24"/>
          <w:lang w:eastAsia="en-PH"/>
        </w:rPr>
      </w:pPr>
    </w:p>
    <w:p w14:paraId="7E980353" w14:textId="77777777" w:rsidR="00F61F8E" w:rsidRPr="002B3F36" w:rsidRDefault="000F264B">
      <w:pPr>
        <w:widowControl/>
        <w:autoSpaceDE/>
        <w:autoSpaceDN/>
        <w:ind w:left="1080" w:hanging="360"/>
        <w:rPr>
          <w:rFonts w:ascii="Arial" w:eastAsia="Arial" w:hAnsi="Arial" w:cs="Arial"/>
          <w:b/>
          <w:sz w:val="24"/>
          <w:szCs w:val="24"/>
          <w:u w:val="single"/>
          <w:lang w:eastAsia="en-PH"/>
        </w:rPr>
      </w:pPr>
      <w:r w:rsidRPr="002B3F36">
        <w:rPr>
          <w:rFonts w:ascii="Arial" w:eastAsia="Arial" w:hAnsi="Arial" w:cs="Arial"/>
          <w:b/>
          <w:sz w:val="24"/>
          <w:szCs w:val="24"/>
          <w:u w:val="single"/>
          <w:lang w:eastAsia="en-PH"/>
        </w:rPr>
        <w:t>Methods of accounting for Vertebrates for complex ecosystem mapping and studying the current state of rare species</w:t>
      </w:r>
    </w:p>
    <w:p w14:paraId="5F45D8E1" w14:textId="77777777" w:rsidR="00F61F8E"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Route Accounting</w:t>
      </w:r>
      <w:r w:rsidRPr="002B3F36">
        <w:rPr>
          <w:rFonts w:ascii="Arial" w:eastAsia="Arial" w:hAnsi="Arial" w:cs="Arial"/>
          <w:sz w:val="24"/>
          <w:szCs w:val="24"/>
          <w:lang w:eastAsia="en-PH"/>
        </w:rPr>
        <w:t xml:space="preserve"> – Transect-based surveys along habitat segments to record direct sightings, calls, tracks, and signs of species presence, focusing on sensitive and protected areas.</w:t>
      </w:r>
    </w:p>
    <w:p w14:paraId="2E5CBD4D" w14:textId="26F21CB2" w:rsidR="00C62DEA"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Daily Vehicle Counts</w:t>
      </w:r>
      <w:r w:rsidRPr="002B3F36">
        <w:rPr>
          <w:rFonts w:ascii="Arial" w:eastAsia="Arial" w:hAnsi="Arial" w:cs="Arial"/>
          <w:sz w:val="24"/>
          <w:szCs w:val="24"/>
          <w:lang w:eastAsia="en-PH"/>
        </w:rPr>
        <w:t xml:space="preserve"> – </w:t>
      </w:r>
      <w:r w:rsidR="001F3F2D" w:rsidRPr="002B3F36">
        <w:rPr>
          <w:rFonts w:ascii="Arial" w:eastAsia="Arial" w:hAnsi="Arial" w:cs="Arial"/>
          <w:sz w:val="24"/>
          <w:szCs w:val="24"/>
          <w:lang w:eastAsia="en-PH"/>
        </w:rPr>
        <w:t>Car-based surveys were undertaken to document distribution, herd structures, and abundance of ungulates and large birds, using fixed transect lengths and observation bands (250–500 m).</w:t>
      </w:r>
    </w:p>
    <w:p w14:paraId="6EF2D59E" w14:textId="09AB9880" w:rsidR="00F61F8E"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Night Vehicle Counts</w:t>
      </w:r>
      <w:r w:rsidRPr="002B3F36">
        <w:rPr>
          <w:rFonts w:ascii="Arial" w:eastAsia="Arial" w:hAnsi="Arial" w:cs="Arial"/>
          <w:sz w:val="24"/>
          <w:szCs w:val="24"/>
          <w:lang w:eastAsia="en-PH"/>
        </w:rPr>
        <w:t xml:space="preserve"> – </w:t>
      </w:r>
      <w:r w:rsidR="00C62DEA" w:rsidRPr="002B3F36">
        <w:rPr>
          <w:rFonts w:ascii="Arial" w:eastAsia="Arial" w:hAnsi="Arial" w:cs="Arial"/>
          <w:sz w:val="24"/>
          <w:szCs w:val="24"/>
          <w:lang w:eastAsia="en-PH"/>
        </w:rPr>
        <w:t xml:space="preserve">Headlight counts were conducted along access </w:t>
      </w:r>
      <w:r w:rsidR="00FF3A40" w:rsidRPr="002B3F36">
        <w:rPr>
          <w:rFonts w:ascii="Arial" w:eastAsia="Arial" w:hAnsi="Arial" w:cs="Arial"/>
          <w:sz w:val="24"/>
          <w:szCs w:val="24"/>
          <w:lang w:eastAsia="en-PH"/>
        </w:rPr>
        <w:t>rail</w:t>
      </w:r>
      <w:r w:rsidR="00C62DEA" w:rsidRPr="002B3F36">
        <w:rPr>
          <w:rFonts w:ascii="Arial" w:eastAsia="Arial" w:hAnsi="Arial" w:cs="Arial"/>
          <w:sz w:val="24"/>
          <w:szCs w:val="24"/>
          <w:lang w:eastAsia="en-PH"/>
        </w:rPr>
        <w:t>roads to detect nocturnal species such as foxes, korsaks, and jerboas.</w:t>
      </w:r>
    </w:p>
    <w:p w14:paraId="68350305" w14:textId="3DE6FBFF" w:rsidR="00C62DEA"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Linear Transects (Birds)</w:t>
      </w:r>
      <w:r w:rsidRPr="002B3F36">
        <w:rPr>
          <w:rFonts w:ascii="Arial" w:eastAsia="Arial" w:hAnsi="Arial" w:cs="Arial"/>
          <w:sz w:val="24"/>
          <w:szCs w:val="24"/>
          <w:lang w:eastAsia="en-PH"/>
        </w:rPr>
        <w:t xml:space="preserve"> – </w:t>
      </w:r>
      <w:r w:rsidR="00C62DEA" w:rsidRPr="002B3F36">
        <w:rPr>
          <w:rFonts w:ascii="Arial" w:eastAsia="Arial" w:hAnsi="Arial" w:cs="Arial"/>
          <w:sz w:val="24"/>
          <w:szCs w:val="24"/>
          <w:lang w:eastAsia="en-PH"/>
        </w:rPr>
        <w:t>Randomized transects were walked, recording perpendicular distances to observed birds. Detection data were used to estimate species densities and correct for observation bias.</w:t>
      </w:r>
    </w:p>
    <w:p w14:paraId="55A53CB5" w14:textId="7571571D" w:rsidR="00C62DEA"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Reptile &amp;</w:t>
      </w:r>
      <w:r w:rsidRPr="002B3F36">
        <w:rPr>
          <w:rFonts w:ascii="Arial" w:eastAsia="Arial" w:hAnsi="Arial" w:cs="Arial"/>
          <w:sz w:val="24"/>
          <w:szCs w:val="24"/>
          <w:lang w:eastAsia="en-PH"/>
        </w:rPr>
        <w:t xml:space="preserve"> </w:t>
      </w:r>
      <w:r w:rsidRPr="002B3F36">
        <w:rPr>
          <w:rFonts w:ascii="Arial" w:eastAsia="Arial" w:hAnsi="Arial" w:cs="Arial"/>
          <w:b/>
          <w:sz w:val="24"/>
          <w:szCs w:val="24"/>
          <w:lang w:eastAsia="en-PH"/>
        </w:rPr>
        <w:t>Amphibian</w:t>
      </w:r>
      <w:r w:rsidRPr="002B3F36">
        <w:rPr>
          <w:rFonts w:ascii="Arial" w:eastAsia="Arial" w:hAnsi="Arial" w:cs="Arial"/>
          <w:sz w:val="24"/>
          <w:szCs w:val="24"/>
          <w:lang w:eastAsia="en-PH"/>
        </w:rPr>
        <w:t xml:space="preserve"> </w:t>
      </w:r>
      <w:r w:rsidRPr="002B3F36">
        <w:rPr>
          <w:rFonts w:ascii="Arial" w:eastAsia="Arial" w:hAnsi="Arial" w:cs="Arial"/>
          <w:b/>
          <w:sz w:val="24"/>
          <w:szCs w:val="24"/>
          <w:lang w:eastAsia="en-PH"/>
        </w:rPr>
        <w:t>Surveys</w:t>
      </w:r>
      <w:r w:rsidRPr="002B3F36">
        <w:rPr>
          <w:rFonts w:ascii="Arial" w:eastAsia="Arial" w:hAnsi="Arial" w:cs="Arial"/>
          <w:sz w:val="24"/>
          <w:szCs w:val="24"/>
          <w:lang w:eastAsia="en-PH"/>
        </w:rPr>
        <w:t xml:space="preserve"> – </w:t>
      </w:r>
      <w:r w:rsidR="00C62DEA" w:rsidRPr="002B3F36">
        <w:rPr>
          <w:rFonts w:ascii="Arial" w:eastAsia="Arial" w:hAnsi="Arial" w:cs="Arial"/>
          <w:sz w:val="24"/>
          <w:szCs w:val="24"/>
          <w:lang w:eastAsia="en-PH"/>
        </w:rPr>
        <w:t xml:space="preserve">Transect walks in steppe habitats, reservoir edges, and </w:t>
      </w:r>
      <w:r w:rsidR="00FF3A40" w:rsidRPr="002B3F36">
        <w:rPr>
          <w:rFonts w:ascii="Arial" w:eastAsia="Arial" w:hAnsi="Arial" w:cs="Arial"/>
          <w:sz w:val="24"/>
          <w:szCs w:val="24"/>
          <w:lang w:eastAsia="en-PH"/>
        </w:rPr>
        <w:t>rail</w:t>
      </w:r>
      <w:r w:rsidR="00C62DEA" w:rsidRPr="002B3F36">
        <w:rPr>
          <w:rFonts w:ascii="Arial" w:eastAsia="Arial" w:hAnsi="Arial" w:cs="Arial"/>
          <w:sz w:val="24"/>
          <w:szCs w:val="24"/>
          <w:lang w:eastAsia="en-PH"/>
        </w:rPr>
        <w:t>roads; records of species presence, abundance, and activity.</w:t>
      </w:r>
    </w:p>
    <w:p w14:paraId="0F16BB34" w14:textId="4DF28019" w:rsidR="00C62DEA"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Animal Tracking</w:t>
      </w:r>
      <w:r w:rsidRPr="002B3F36">
        <w:rPr>
          <w:rFonts w:ascii="Arial" w:eastAsia="Arial" w:hAnsi="Arial" w:cs="Arial"/>
          <w:sz w:val="24"/>
          <w:szCs w:val="24"/>
          <w:lang w:eastAsia="en-PH"/>
        </w:rPr>
        <w:t xml:space="preserve"> – </w:t>
      </w:r>
      <w:r w:rsidR="00C62DEA" w:rsidRPr="002B3F36">
        <w:rPr>
          <w:rFonts w:ascii="Arial" w:eastAsia="Arial" w:hAnsi="Arial" w:cs="Arial"/>
          <w:sz w:val="24"/>
          <w:szCs w:val="24"/>
          <w:lang w:eastAsia="en-PH"/>
        </w:rPr>
        <w:t>Documentation of footprints, burrows, feeding traces, shelters, and excrement; rodent burrow counts to estimate relative abundance.</w:t>
      </w:r>
    </w:p>
    <w:p w14:paraId="04CD4FC6" w14:textId="77777777" w:rsidR="00FC7D4A" w:rsidRPr="002B3F36" w:rsidRDefault="00FC7D4A" w:rsidP="00FC7D4A">
      <w:pPr>
        <w:widowControl/>
        <w:numPr>
          <w:ilvl w:val="0"/>
          <w:numId w:val="70"/>
        </w:numPr>
        <w:autoSpaceDE/>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Bird Counts</w:t>
      </w:r>
      <w:r w:rsidRPr="002B3F36">
        <w:rPr>
          <w:rFonts w:ascii="Arial" w:eastAsia="Arial" w:hAnsi="Arial" w:cs="Arial"/>
          <w:sz w:val="24"/>
          <w:szCs w:val="24"/>
          <w:lang w:eastAsia="en-PH"/>
        </w:rPr>
        <w:t xml:space="preserve"> – Point-based and route observations, documenting species composition and abundance at various habitats.</w:t>
      </w:r>
    </w:p>
    <w:p w14:paraId="2E271132" w14:textId="77777777" w:rsidR="00FC7D4A" w:rsidRPr="002B3F36" w:rsidRDefault="00FC7D4A" w:rsidP="00FC7D4A">
      <w:pPr>
        <w:widowControl/>
        <w:numPr>
          <w:ilvl w:val="0"/>
          <w:numId w:val="70"/>
        </w:numPr>
        <w:autoSpaceDE/>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t>Surveys (Local Knowledge)</w:t>
      </w:r>
      <w:r w:rsidRPr="002B3F36">
        <w:rPr>
          <w:rFonts w:ascii="Arial" w:eastAsia="Arial" w:hAnsi="Arial" w:cs="Arial"/>
          <w:sz w:val="24"/>
          <w:szCs w:val="24"/>
          <w:lang w:eastAsia="en-PH"/>
        </w:rPr>
        <w:t xml:space="preserve"> – Interviews with communities to capture ecological knowledge, wildlife behavior, and perceived changes.</w:t>
      </w:r>
    </w:p>
    <w:p w14:paraId="615BB797" w14:textId="77777777" w:rsidR="00F61F8E" w:rsidRPr="002B3F36" w:rsidRDefault="000F264B" w:rsidP="009B4CDB">
      <w:pPr>
        <w:widowControl/>
        <w:numPr>
          <w:ilvl w:val="0"/>
          <w:numId w:val="70"/>
        </w:numPr>
        <w:pBdr>
          <w:top w:val="nil"/>
          <w:left w:val="nil"/>
          <w:bottom w:val="nil"/>
          <w:right w:val="nil"/>
          <w:between w:val="nil"/>
        </w:pBdr>
        <w:autoSpaceDE/>
        <w:autoSpaceDN/>
        <w:spacing w:after="120"/>
        <w:jc w:val="both"/>
        <w:rPr>
          <w:rFonts w:ascii="Arial" w:eastAsia="Arial" w:hAnsi="Arial" w:cs="Arial"/>
          <w:sz w:val="24"/>
          <w:szCs w:val="24"/>
          <w:lang w:eastAsia="en-PH"/>
        </w:rPr>
      </w:pPr>
      <w:r w:rsidRPr="002B3F36">
        <w:rPr>
          <w:rFonts w:ascii="Arial" w:eastAsia="Arial" w:hAnsi="Arial" w:cs="Arial"/>
          <w:b/>
          <w:sz w:val="24"/>
          <w:szCs w:val="24"/>
          <w:lang w:eastAsia="en-PH"/>
        </w:rPr>
        <w:lastRenderedPageBreak/>
        <w:t>Impact &amp; Threat Assessment</w:t>
      </w:r>
      <w:r w:rsidRPr="002B3F36">
        <w:rPr>
          <w:rFonts w:ascii="Arial" w:eastAsia="Arial" w:hAnsi="Arial" w:cs="Arial"/>
          <w:sz w:val="24"/>
          <w:szCs w:val="24"/>
          <w:lang w:eastAsia="en-PH"/>
        </w:rPr>
        <w:t xml:space="preserve"> – Risk ranking of project-related threats to rare species and habitats using national methodological guidelines (2010).</w:t>
      </w:r>
    </w:p>
    <w:p w14:paraId="639F6277" w14:textId="77777777" w:rsidR="00F61F8E" w:rsidRPr="002B3F36" w:rsidRDefault="00F61F8E">
      <w:pPr>
        <w:pStyle w:val="ReportBodyTextNogap"/>
      </w:pPr>
      <w:bookmarkStart w:id="1879" w:name="bookmark=id.7h32ibt085ka" w:colFirst="0" w:colLast="0"/>
      <w:bookmarkStart w:id="1880" w:name="_heading=h.ih0u01hib2mk" w:colFirst="0" w:colLast="0"/>
      <w:bookmarkEnd w:id="1879"/>
      <w:bookmarkEnd w:id="1880"/>
    </w:p>
    <w:p w14:paraId="749158E0" w14:textId="46EC1D95" w:rsidR="00F61F8E" w:rsidRPr="002B3F36" w:rsidRDefault="000F264B">
      <w:pPr>
        <w:pStyle w:val="20"/>
      </w:pPr>
      <w:bookmarkStart w:id="1881" w:name="_Toc208973801"/>
      <w:bookmarkStart w:id="1882" w:name="_Toc208974001"/>
      <w:bookmarkStart w:id="1883" w:name="_Toc208974201"/>
      <w:bookmarkStart w:id="1884" w:name="_Toc208974403"/>
      <w:bookmarkStart w:id="1885" w:name="_Toc208974611"/>
      <w:bookmarkStart w:id="1886" w:name="_Toc210589447"/>
      <w:r w:rsidRPr="002B3F36">
        <w:t xml:space="preserve">The Social Impact </w:t>
      </w:r>
      <w:r w:rsidR="007E279F" w:rsidRPr="002B3F36">
        <w:t>Assessment</w:t>
      </w:r>
      <w:r w:rsidRPr="002B3F36">
        <w:t xml:space="preserve"> Methodologies</w:t>
      </w:r>
      <w:bookmarkEnd w:id="1881"/>
      <w:bookmarkEnd w:id="1882"/>
      <w:bookmarkEnd w:id="1883"/>
      <w:bookmarkEnd w:id="1884"/>
      <w:bookmarkEnd w:id="1885"/>
      <w:bookmarkEnd w:id="1886"/>
    </w:p>
    <w:p w14:paraId="070B8DED" w14:textId="77777777" w:rsidR="00F61F8E" w:rsidRPr="002B3F36" w:rsidRDefault="00F61F8E">
      <w:pPr>
        <w:pStyle w:val="ReportBodyTextNogap"/>
      </w:pPr>
    </w:p>
    <w:p w14:paraId="61507D03" w14:textId="77777777" w:rsidR="00F61F8E" w:rsidRPr="002B3F36" w:rsidRDefault="000F264B">
      <w:pPr>
        <w:pStyle w:val="ReportBodyPar"/>
      </w:pPr>
      <w:r w:rsidRPr="002B3F36">
        <w:t>The social impact assessment will evaluate potential risks and impacts on communities within the project’s area of influence, with a focus on physical and economic displacement, labor dynamics, and community health and safety. It will also assess the project’s potential benefits and ensure that mitigation and enhancement measures are socially inclusive, particularly for vulnerable groups. Key objectives include:</w:t>
      </w:r>
    </w:p>
    <w:p w14:paraId="11B11902" w14:textId="491A7543"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Identify Project-Affected Persons (PAPs) and communities (PS1);</w:t>
      </w:r>
    </w:p>
    <w:p w14:paraId="521916A0" w14:textId="0D766BB9"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Assess the nature and extent of social impacts, both positive and adverse (PS1);</w:t>
      </w:r>
    </w:p>
    <w:p w14:paraId="2785DB1B" w14:textId="5DF25339"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Evaluate risks related to involuntary resettlement, land acquisition, and livelihood disruption (PS5);</w:t>
      </w:r>
    </w:p>
    <w:p w14:paraId="553372A0" w14:textId="059064BF"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Identify labor risks, including labor influx and occupational health and safety (PS2);</w:t>
      </w:r>
    </w:p>
    <w:p w14:paraId="31C13978" w14:textId="4127739D"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Map sensitive receptors and assess community exposure to construction and operational impacts (PS4);</w:t>
      </w:r>
    </w:p>
    <w:p w14:paraId="5CC68629" w14:textId="7705B49A"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Develop social mitigation and benefit enhancement measures (PS1/PS5);</w:t>
      </w:r>
      <w:r w:rsidR="009E4D88">
        <w:rPr>
          <w:rFonts w:eastAsia="Calibri"/>
          <w:lang w:eastAsia="en-GB"/>
        </w:rPr>
        <w:t xml:space="preserve"> and</w:t>
      </w:r>
    </w:p>
    <w:p w14:paraId="4715BD5E" w14:textId="602F07F4" w:rsidR="00D742FF" w:rsidRPr="002B3F36" w:rsidRDefault="00D742FF" w:rsidP="009B4CDB">
      <w:pPr>
        <w:pStyle w:val="a0"/>
        <w:widowControl/>
        <w:numPr>
          <w:ilvl w:val="0"/>
          <w:numId w:val="99"/>
        </w:numPr>
        <w:autoSpaceDE/>
        <w:autoSpaceDN/>
        <w:rPr>
          <w:rFonts w:eastAsia="Calibri"/>
          <w:lang w:eastAsia="en-GB"/>
        </w:rPr>
      </w:pPr>
      <w:r w:rsidRPr="002B3F36">
        <w:rPr>
          <w:rFonts w:eastAsia="Calibri"/>
          <w:lang w:eastAsia="en-GB"/>
        </w:rPr>
        <w:t>Establish mechanisms for social monitoring, reporting, and grievance handling (PS1).</w:t>
      </w:r>
    </w:p>
    <w:p w14:paraId="4A374A0D" w14:textId="77777777" w:rsidR="00F61F8E" w:rsidRPr="002B3F36" w:rsidRDefault="00F61F8E" w:rsidP="00F36C09">
      <w:pPr>
        <w:pStyle w:val="ReportBodyPar"/>
      </w:pPr>
    </w:p>
    <w:p w14:paraId="3171CBD4" w14:textId="4D5C632C" w:rsidR="00D742FF" w:rsidRPr="002B3F36" w:rsidRDefault="000F264B" w:rsidP="00F36C09">
      <w:pPr>
        <w:pStyle w:val="ReportBodyPar"/>
      </w:pPr>
      <w:r w:rsidRPr="002B3F36">
        <w:t>The assessment will be informed by a comprehensive stakeholder engagement process, aligned with the SEP. A Grievance Redress Mechanism (GRM) will be proposed for use throughout the project lifecycle.</w:t>
      </w:r>
      <w:r w:rsidR="00F36C09" w:rsidRPr="002B3F36">
        <w:t xml:space="preserve"> </w:t>
      </w:r>
      <w:r w:rsidRPr="002B3F36">
        <w:t>The approach will include:</w:t>
      </w:r>
    </w:p>
    <w:p w14:paraId="5FF3B235" w14:textId="3178677D" w:rsidR="00D742FF" w:rsidRPr="002B3F36" w:rsidRDefault="00D742FF" w:rsidP="009B4CDB">
      <w:pPr>
        <w:pStyle w:val="ReportBodyPar"/>
        <w:numPr>
          <w:ilvl w:val="0"/>
          <w:numId w:val="106"/>
        </w:numPr>
        <w:rPr>
          <w:b/>
        </w:rPr>
      </w:pPr>
      <w:r w:rsidRPr="002B3F36">
        <w:rPr>
          <w:b/>
        </w:rPr>
        <w:t>Community Engagement and Consultations (PS1, PS5)</w:t>
      </w:r>
    </w:p>
    <w:p w14:paraId="2308911C"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Meaningful consultations with communities along the proposed alignment through focus group discussions (FGDs), key informant interviews (KIIs), and public meetings.</w:t>
      </w:r>
    </w:p>
    <w:p w14:paraId="1AB39F03"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Dedicated FGDs with vulnerable groups (women, elderly, persons with disabilities, low-income households) to ensure inclusive participation.</w:t>
      </w:r>
    </w:p>
    <w:p w14:paraId="77E806A2" w14:textId="43F6F1CD"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Feedback integrated into the Stakeholder Engagement Plan (SEP) and Grievance Redress Mechanism (GRM).</w:t>
      </w:r>
    </w:p>
    <w:p w14:paraId="73A70C94" w14:textId="77777777" w:rsidR="00D742FF" w:rsidRPr="002B3F36" w:rsidRDefault="00D742FF" w:rsidP="001A7316">
      <w:pPr>
        <w:widowControl/>
        <w:autoSpaceDE/>
        <w:autoSpaceDN/>
        <w:ind w:left="720"/>
        <w:rPr>
          <w:rFonts w:ascii="Arial" w:eastAsia="Calibri" w:hAnsi="Arial" w:cs="Arial"/>
          <w:sz w:val="24"/>
          <w:szCs w:val="24"/>
          <w:lang w:eastAsia="en-GB"/>
        </w:rPr>
      </w:pPr>
    </w:p>
    <w:p w14:paraId="1B537F2C" w14:textId="5193B191" w:rsidR="00D742FF" w:rsidRPr="002B3F36" w:rsidRDefault="00D742FF" w:rsidP="009B4CDB">
      <w:pPr>
        <w:pStyle w:val="a0"/>
        <w:widowControl/>
        <w:numPr>
          <w:ilvl w:val="0"/>
          <w:numId w:val="106"/>
        </w:numPr>
        <w:autoSpaceDE/>
        <w:autoSpaceDN/>
        <w:rPr>
          <w:rFonts w:eastAsia="Calibri"/>
          <w:b/>
          <w:lang w:eastAsia="en-GB"/>
        </w:rPr>
      </w:pPr>
      <w:r w:rsidRPr="002B3F36">
        <w:rPr>
          <w:rFonts w:eastAsia="Calibri"/>
          <w:b/>
          <w:lang w:eastAsia="en-GB"/>
        </w:rPr>
        <w:t>Socioeconomic and Reconnaissance Surveys (PS1, PS5)</w:t>
      </w:r>
    </w:p>
    <w:p w14:paraId="6D427A72"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Corridor reconnaissance to identify settlements, sensitive receptors, and potential resettlement cases.</w:t>
      </w:r>
    </w:p>
    <w:p w14:paraId="2A6061D9"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Household profiling to capture demographic characteristics, livelihood sources, and social vulnerability.</w:t>
      </w:r>
    </w:p>
    <w:p w14:paraId="4E96942D" w14:textId="27B4410C"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Preliminary inventory of land and asset losses, enabling indicative compensation estimates to inform the Land Acquisition and Resettlement Action Plan (LARAP).</w:t>
      </w:r>
    </w:p>
    <w:p w14:paraId="49304166" w14:textId="77777777" w:rsidR="00D742FF" w:rsidRPr="002B3F36" w:rsidRDefault="00D742FF" w:rsidP="001A7316">
      <w:pPr>
        <w:widowControl/>
        <w:autoSpaceDE/>
        <w:autoSpaceDN/>
        <w:ind w:left="720"/>
        <w:rPr>
          <w:rFonts w:ascii="Arial" w:eastAsia="Calibri" w:hAnsi="Arial" w:cs="Arial"/>
          <w:sz w:val="24"/>
          <w:szCs w:val="24"/>
          <w:lang w:eastAsia="en-GB"/>
        </w:rPr>
      </w:pPr>
    </w:p>
    <w:p w14:paraId="01BF7418" w14:textId="1DB93AF5" w:rsidR="00D742FF" w:rsidRPr="002B3F36" w:rsidRDefault="00D742FF" w:rsidP="009B4CDB">
      <w:pPr>
        <w:pStyle w:val="a0"/>
        <w:widowControl/>
        <w:numPr>
          <w:ilvl w:val="0"/>
          <w:numId w:val="106"/>
        </w:numPr>
        <w:autoSpaceDE/>
        <w:autoSpaceDN/>
        <w:rPr>
          <w:rFonts w:eastAsia="Calibri"/>
          <w:b/>
          <w:lang w:eastAsia="en-GB"/>
        </w:rPr>
      </w:pPr>
      <w:r w:rsidRPr="002B3F36">
        <w:rPr>
          <w:rFonts w:eastAsia="Calibri"/>
          <w:b/>
          <w:lang w:eastAsia="en-GB"/>
        </w:rPr>
        <w:t>Land and Tenure Analysis (PS5)</w:t>
      </w:r>
    </w:p>
    <w:p w14:paraId="28D565DB"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Review of cadastral records, land titles, and zoning plans to determine land tenure status.</w:t>
      </w:r>
    </w:p>
    <w:p w14:paraId="1DB151B0"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Verification of land reservation or acquisition decrees relevant to the railway corridor.</w:t>
      </w:r>
    </w:p>
    <w:p w14:paraId="36979039" w14:textId="07BB4743"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Assessment of access restrictions and potential displacement of land users.</w:t>
      </w:r>
    </w:p>
    <w:p w14:paraId="36A98106" w14:textId="77777777" w:rsidR="00D742FF" w:rsidRPr="002B3F36" w:rsidRDefault="00D742FF" w:rsidP="001A7316">
      <w:pPr>
        <w:widowControl/>
        <w:autoSpaceDE/>
        <w:autoSpaceDN/>
        <w:ind w:left="720"/>
        <w:rPr>
          <w:rFonts w:ascii="Arial" w:eastAsia="Calibri" w:hAnsi="Arial" w:cs="Arial"/>
          <w:sz w:val="24"/>
          <w:szCs w:val="24"/>
          <w:lang w:eastAsia="en-GB"/>
        </w:rPr>
      </w:pPr>
    </w:p>
    <w:p w14:paraId="6F84B8E4" w14:textId="4BA86394" w:rsidR="00D742FF" w:rsidRPr="002B3F36" w:rsidRDefault="00D742FF" w:rsidP="009B4CDB">
      <w:pPr>
        <w:pStyle w:val="a0"/>
        <w:widowControl/>
        <w:numPr>
          <w:ilvl w:val="0"/>
          <w:numId w:val="106"/>
        </w:numPr>
        <w:autoSpaceDE/>
        <w:autoSpaceDN/>
        <w:rPr>
          <w:rFonts w:eastAsia="Calibri"/>
          <w:b/>
          <w:lang w:eastAsia="en-GB"/>
        </w:rPr>
      </w:pPr>
      <w:r w:rsidRPr="002B3F36">
        <w:rPr>
          <w:rFonts w:eastAsia="Calibri"/>
          <w:b/>
          <w:lang w:eastAsia="en-GB"/>
        </w:rPr>
        <w:t>Community Health and Safety Assessment (PS4)</w:t>
      </w:r>
    </w:p>
    <w:p w14:paraId="51B5E908"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Mapping of health facilities, schools, and cultural sites within the AoI.</w:t>
      </w:r>
    </w:p>
    <w:p w14:paraId="4AB9A874"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lastRenderedPageBreak/>
        <w:t>Identification of risks linked to construction traffic, dust, noise, vibration, and labor influx.</w:t>
      </w:r>
    </w:p>
    <w:p w14:paraId="4F804E18" w14:textId="7D922948"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Recommendations for mitigation measures, such as traffic management, occupational health and safety (OHS) requirements, and community awareness campaigns.</w:t>
      </w:r>
    </w:p>
    <w:p w14:paraId="6B46A2EB" w14:textId="77777777" w:rsidR="00D742FF" w:rsidRPr="002B3F36" w:rsidRDefault="00D742FF" w:rsidP="001A7316">
      <w:pPr>
        <w:widowControl/>
        <w:autoSpaceDE/>
        <w:autoSpaceDN/>
        <w:ind w:left="720"/>
        <w:rPr>
          <w:rFonts w:ascii="Arial" w:eastAsia="Calibri" w:hAnsi="Arial" w:cs="Arial"/>
          <w:sz w:val="24"/>
          <w:szCs w:val="24"/>
          <w:lang w:eastAsia="en-GB"/>
        </w:rPr>
      </w:pPr>
    </w:p>
    <w:p w14:paraId="0840D466" w14:textId="300ED52A" w:rsidR="00D742FF" w:rsidRPr="002B3F36" w:rsidRDefault="00D742FF" w:rsidP="009B4CDB">
      <w:pPr>
        <w:pStyle w:val="a0"/>
        <w:widowControl/>
        <w:numPr>
          <w:ilvl w:val="0"/>
          <w:numId w:val="106"/>
        </w:numPr>
        <w:autoSpaceDE/>
        <w:autoSpaceDN/>
        <w:rPr>
          <w:rFonts w:eastAsia="Calibri"/>
          <w:b/>
          <w:lang w:eastAsia="en-GB"/>
        </w:rPr>
      </w:pPr>
      <w:r w:rsidRPr="002B3F36">
        <w:rPr>
          <w:rFonts w:eastAsia="Calibri"/>
          <w:b/>
          <w:lang w:eastAsia="en-GB"/>
        </w:rPr>
        <w:t>Labor and Working Conditions (PS2)</w:t>
      </w:r>
    </w:p>
    <w:p w14:paraId="3A211330"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Analysis of local labor supply and skills to maximize employment opportunities.</w:t>
      </w:r>
    </w:p>
    <w:p w14:paraId="21E9F2E1"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Identification of risks from influx of non-local workers, including pressure on community services and risk of social tension.</w:t>
      </w:r>
    </w:p>
    <w:p w14:paraId="27175E6F" w14:textId="6C61945A"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Integration of labor management measures into the Labor Management Procedures (LMP).</w:t>
      </w:r>
    </w:p>
    <w:p w14:paraId="76852ACA" w14:textId="77777777" w:rsidR="00D742FF" w:rsidRPr="002B3F36" w:rsidRDefault="00D742FF" w:rsidP="001A7316">
      <w:pPr>
        <w:widowControl/>
        <w:autoSpaceDE/>
        <w:autoSpaceDN/>
        <w:ind w:left="720"/>
        <w:rPr>
          <w:rFonts w:ascii="Arial" w:eastAsia="Calibri" w:hAnsi="Arial" w:cs="Arial"/>
          <w:sz w:val="24"/>
          <w:szCs w:val="24"/>
          <w:lang w:eastAsia="en-GB"/>
        </w:rPr>
      </w:pPr>
    </w:p>
    <w:p w14:paraId="468E80BF" w14:textId="180DDF89" w:rsidR="00D742FF" w:rsidRPr="002B3F36" w:rsidRDefault="00D742FF" w:rsidP="009B4CDB">
      <w:pPr>
        <w:pStyle w:val="a0"/>
        <w:widowControl/>
        <w:numPr>
          <w:ilvl w:val="0"/>
          <w:numId w:val="106"/>
        </w:numPr>
        <w:autoSpaceDE/>
        <w:autoSpaceDN/>
        <w:rPr>
          <w:rFonts w:eastAsia="Calibri"/>
          <w:b/>
          <w:lang w:eastAsia="en-GB"/>
        </w:rPr>
      </w:pPr>
      <w:r w:rsidRPr="002B3F36">
        <w:rPr>
          <w:rFonts w:eastAsia="Calibri"/>
          <w:b/>
          <w:lang w:eastAsia="en-GB"/>
        </w:rPr>
        <w:t>GIS-Based Data Analysis (PS1, PS5)</w:t>
      </w:r>
    </w:p>
    <w:p w14:paraId="63EDF09B"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Mapping of affected households, public infrastructure, and sensitive receptors.</w:t>
      </w:r>
    </w:p>
    <w:p w14:paraId="3A34669E" w14:textId="77777777" w:rsidR="00D742FF" w:rsidRPr="002B3F36" w:rsidRDefault="00D742FF" w:rsidP="009E4D88">
      <w:pPr>
        <w:widowControl/>
        <w:numPr>
          <w:ilvl w:val="0"/>
          <w:numId w:val="100"/>
        </w:numPr>
        <w:tabs>
          <w:tab w:val="clear" w:pos="720"/>
        </w:tabs>
        <w:autoSpaceDE/>
        <w:autoSpaceDN/>
        <w:ind w:left="1080"/>
        <w:rPr>
          <w:rFonts w:ascii="Arial" w:eastAsia="Calibri" w:hAnsi="Arial" w:cs="Arial"/>
          <w:sz w:val="24"/>
          <w:szCs w:val="24"/>
          <w:lang w:eastAsia="en-GB"/>
        </w:rPr>
      </w:pPr>
      <w:r w:rsidRPr="002B3F36">
        <w:rPr>
          <w:rFonts w:ascii="Arial" w:eastAsia="Calibri" w:hAnsi="Arial" w:cs="Arial"/>
          <w:sz w:val="24"/>
          <w:szCs w:val="24"/>
          <w:lang w:eastAsia="en-GB"/>
        </w:rPr>
        <w:t>Integration of field survey data with cadastral information and land use records to spatially analyze displacement risks and community exposure.</w:t>
      </w:r>
    </w:p>
    <w:p w14:paraId="1742BF1E" w14:textId="34DD5A3E" w:rsidR="00F61F8E" w:rsidRPr="002B3F36" w:rsidRDefault="00F61F8E">
      <w:pPr>
        <w:pStyle w:val="ReportBodyTextNogap"/>
      </w:pPr>
    </w:p>
    <w:p w14:paraId="0A39C9A7" w14:textId="044C0548" w:rsidR="00F61F8E" w:rsidRPr="002B3F36" w:rsidRDefault="000F264B" w:rsidP="005A68AD">
      <w:pPr>
        <w:pStyle w:val="31"/>
      </w:pPr>
      <w:bookmarkStart w:id="1887" w:name="_Toc208973802"/>
      <w:bookmarkStart w:id="1888" w:name="_Toc208974002"/>
      <w:bookmarkStart w:id="1889" w:name="_Toc208974202"/>
      <w:bookmarkStart w:id="1890" w:name="_Toc208974404"/>
      <w:bookmarkStart w:id="1891" w:name="_Toc208974612"/>
      <w:bookmarkStart w:id="1892" w:name="_Toc210589448"/>
      <w:r w:rsidRPr="002B3F36">
        <w:t>Social Baseline Assessment Methodology</w:t>
      </w:r>
      <w:bookmarkStart w:id="1893" w:name="_Toc208973803"/>
      <w:bookmarkStart w:id="1894" w:name="_Toc208974003"/>
      <w:bookmarkStart w:id="1895" w:name="_Toc208974203"/>
      <w:bookmarkStart w:id="1896" w:name="_Toc208974405"/>
      <w:bookmarkStart w:id="1897" w:name="_Toc208974613"/>
      <w:bookmarkEnd w:id="1887"/>
      <w:bookmarkEnd w:id="1888"/>
      <w:bookmarkEnd w:id="1889"/>
      <w:bookmarkEnd w:id="1890"/>
      <w:bookmarkEnd w:id="1891"/>
      <w:bookmarkEnd w:id="1892"/>
      <w:bookmarkEnd w:id="1893"/>
      <w:bookmarkEnd w:id="1894"/>
      <w:bookmarkEnd w:id="1895"/>
      <w:bookmarkEnd w:id="1896"/>
      <w:bookmarkEnd w:id="1897"/>
    </w:p>
    <w:p w14:paraId="178363AA" w14:textId="77777777" w:rsidR="00823BB3" w:rsidRPr="002B3F36" w:rsidRDefault="00823BB3" w:rsidP="00823BB3">
      <w:pPr>
        <w:pStyle w:val="ReportBodyPar"/>
        <w:rPr>
          <w:lang w:val="en-PH"/>
        </w:rPr>
      </w:pPr>
    </w:p>
    <w:p w14:paraId="0FB79F1C" w14:textId="0561E463" w:rsidR="00D742FF" w:rsidRPr="002B3F36" w:rsidRDefault="00D742FF" w:rsidP="00F82096">
      <w:pPr>
        <w:pStyle w:val="ReportBodyPar"/>
        <w:rPr>
          <w:lang w:val="en-PH"/>
        </w:rPr>
      </w:pPr>
      <w:r w:rsidRPr="002B3F36">
        <w:rPr>
          <w:lang w:val="en-PH"/>
        </w:rPr>
        <w:t>The social baseline establishes the demographic, land use, and socio-economic conditions in the Greenfield AoI to provide a foundation for assessing Project impacts and monitoring mitigation effectiveness.</w:t>
      </w:r>
    </w:p>
    <w:p w14:paraId="125FA01C" w14:textId="77777777" w:rsidR="00D742FF" w:rsidRPr="002B3F36" w:rsidRDefault="00D742FF" w:rsidP="001A7316">
      <w:pPr>
        <w:widowControl/>
        <w:autoSpaceDE/>
        <w:autoSpaceDN/>
        <w:rPr>
          <w:rFonts w:ascii="Arial" w:eastAsia="SimSun" w:hAnsi="Arial" w:cs="Arial"/>
          <w:b/>
          <w:bCs/>
          <w:color w:val="1C1C1C"/>
          <w:sz w:val="24"/>
          <w:szCs w:val="24"/>
          <w:lang w:val="en-PH" w:eastAsia="zh-CN"/>
        </w:rPr>
      </w:pPr>
      <w:r w:rsidRPr="002B3F36">
        <w:rPr>
          <w:rFonts w:ascii="Arial" w:eastAsia="SimSun" w:hAnsi="Arial" w:cs="Arial"/>
          <w:b/>
          <w:bCs/>
          <w:color w:val="1C1C1C"/>
          <w:sz w:val="24"/>
          <w:szCs w:val="24"/>
          <w:lang w:val="en-PH" w:eastAsia="zh-CN"/>
        </w:rPr>
        <w:t>Data Sources</w:t>
      </w:r>
    </w:p>
    <w:p w14:paraId="798E08B7" w14:textId="77777777" w:rsidR="00D742FF" w:rsidRPr="002B3F36" w:rsidRDefault="00D742FF" w:rsidP="009B4CDB">
      <w:pPr>
        <w:widowControl/>
        <w:numPr>
          <w:ilvl w:val="0"/>
          <w:numId w:val="107"/>
        </w:numPr>
        <w:autoSpaceDE/>
        <w:autoSpaceDN/>
        <w:rPr>
          <w:rFonts w:ascii="Arial" w:eastAsia="SimSun" w:hAnsi="Arial" w:cs="Arial"/>
          <w:bCs/>
          <w:color w:val="1C1C1C"/>
          <w:sz w:val="24"/>
          <w:szCs w:val="24"/>
          <w:lang w:val="en-PH" w:eastAsia="zh-CN"/>
        </w:rPr>
      </w:pPr>
      <w:r w:rsidRPr="002B3F36">
        <w:rPr>
          <w:rFonts w:ascii="Arial" w:eastAsia="SimSun" w:hAnsi="Arial" w:cs="Arial"/>
          <w:bCs/>
          <w:color w:val="1C1C1C"/>
          <w:sz w:val="24"/>
          <w:szCs w:val="24"/>
          <w:lang w:val="en-PH" w:eastAsia="zh-CN"/>
        </w:rPr>
        <w:t>Secondary: Statistics, cadastral records, land use/zoning plans, and planning documents.</w:t>
      </w:r>
    </w:p>
    <w:p w14:paraId="58F15DAC" w14:textId="1B1F2E8F" w:rsidR="00D742FF" w:rsidRPr="002B3F36" w:rsidRDefault="00D742FF" w:rsidP="009B4CDB">
      <w:pPr>
        <w:widowControl/>
        <w:numPr>
          <w:ilvl w:val="0"/>
          <w:numId w:val="107"/>
        </w:numPr>
        <w:autoSpaceDE/>
        <w:autoSpaceDN/>
        <w:rPr>
          <w:rFonts w:ascii="Arial" w:eastAsia="SimSun" w:hAnsi="Arial" w:cs="Arial"/>
          <w:bCs/>
          <w:color w:val="1C1C1C"/>
          <w:sz w:val="24"/>
          <w:szCs w:val="24"/>
          <w:lang w:val="en-PH" w:eastAsia="zh-CN"/>
        </w:rPr>
      </w:pPr>
      <w:r w:rsidRPr="002B3F36">
        <w:rPr>
          <w:rFonts w:ascii="Arial" w:eastAsia="SimSun" w:hAnsi="Arial" w:cs="Arial"/>
          <w:bCs/>
          <w:color w:val="1C1C1C"/>
          <w:sz w:val="24"/>
          <w:szCs w:val="24"/>
          <w:lang w:val="en-PH" w:eastAsia="zh-CN"/>
        </w:rPr>
        <w:t>Primary: Field observations, household surveys, FGDs, and KIIs.</w:t>
      </w:r>
    </w:p>
    <w:p w14:paraId="3EA37FCD" w14:textId="77777777" w:rsidR="00D742FF" w:rsidRPr="002B3F36" w:rsidRDefault="00D742FF" w:rsidP="001A7316">
      <w:pPr>
        <w:widowControl/>
        <w:autoSpaceDE/>
        <w:autoSpaceDN/>
        <w:rPr>
          <w:rFonts w:ascii="Arial" w:eastAsia="SimSun" w:hAnsi="Arial" w:cs="Arial"/>
          <w:b/>
          <w:bCs/>
          <w:color w:val="1C1C1C"/>
          <w:sz w:val="24"/>
          <w:szCs w:val="24"/>
          <w:lang w:val="en-PH" w:eastAsia="zh-CN"/>
        </w:rPr>
      </w:pPr>
      <w:r w:rsidRPr="002B3F36">
        <w:rPr>
          <w:rFonts w:ascii="Arial" w:eastAsia="SimSun" w:hAnsi="Arial" w:cs="Arial"/>
          <w:b/>
          <w:bCs/>
          <w:color w:val="1C1C1C"/>
          <w:sz w:val="24"/>
          <w:szCs w:val="24"/>
          <w:lang w:val="en-PH" w:eastAsia="zh-CN"/>
        </w:rPr>
        <w:t>Scope</w:t>
      </w:r>
    </w:p>
    <w:p w14:paraId="216AC007" w14:textId="77777777" w:rsidR="00D742FF" w:rsidRPr="002B3F36" w:rsidRDefault="00D742FF" w:rsidP="009B4CDB">
      <w:pPr>
        <w:widowControl/>
        <w:numPr>
          <w:ilvl w:val="0"/>
          <w:numId w:val="108"/>
        </w:numPr>
        <w:autoSpaceDE/>
        <w:autoSpaceDN/>
        <w:rPr>
          <w:rFonts w:ascii="Arial" w:eastAsia="SimSun" w:hAnsi="Arial" w:cs="Arial"/>
          <w:bCs/>
          <w:color w:val="1C1C1C"/>
          <w:sz w:val="24"/>
          <w:szCs w:val="24"/>
          <w:lang w:val="en-PH" w:eastAsia="zh-CN"/>
        </w:rPr>
      </w:pPr>
      <w:r w:rsidRPr="002B3F36">
        <w:rPr>
          <w:rFonts w:ascii="Arial" w:eastAsia="SimSun" w:hAnsi="Arial" w:cs="Arial"/>
          <w:bCs/>
          <w:color w:val="1C1C1C"/>
          <w:sz w:val="24"/>
          <w:szCs w:val="24"/>
          <w:lang w:val="en-PH" w:eastAsia="zh-CN"/>
        </w:rPr>
        <w:t>Identification of affected settlements and receptors within the AoI;</w:t>
      </w:r>
    </w:p>
    <w:p w14:paraId="17559D3E" w14:textId="77777777" w:rsidR="00D742FF" w:rsidRPr="002B3F36" w:rsidRDefault="00D742FF" w:rsidP="009B4CDB">
      <w:pPr>
        <w:widowControl/>
        <w:numPr>
          <w:ilvl w:val="0"/>
          <w:numId w:val="108"/>
        </w:numPr>
        <w:autoSpaceDE/>
        <w:autoSpaceDN/>
        <w:rPr>
          <w:rFonts w:ascii="Arial" w:eastAsia="SimSun" w:hAnsi="Arial" w:cs="Arial"/>
          <w:bCs/>
          <w:color w:val="1C1C1C"/>
          <w:sz w:val="24"/>
          <w:szCs w:val="24"/>
          <w:lang w:val="en-PH" w:eastAsia="zh-CN"/>
        </w:rPr>
      </w:pPr>
      <w:r w:rsidRPr="002B3F36">
        <w:rPr>
          <w:rFonts w:ascii="Arial" w:eastAsia="SimSun" w:hAnsi="Arial" w:cs="Arial"/>
          <w:bCs/>
          <w:color w:val="1C1C1C"/>
          <w:sz w:val="24"/>
          <w:szCs w:val="24"/>
          <w:lang w:val="en-PH" w:eastAsia="zh-CN"/>
        </w:rPr>
        <w:t>Profiling of population, land use, livelihoods, and vulnerabilities;</w:t>
      </w:r>
    </w:p>
    <w:p w14:paraId="4A7E1F0D" w14:textId="77777777" w:rsidR="00D742FF" w:rsidRPr="002B3F36" w:rsidRDefault="00D742FF" w:rsidP="009B4CDB">
      <w:pPr>
        <w:widowControl/>
        <w:numPr>
          <w:ilvl w:val="0"/>
          <w:numId w:val="108"/>
        </w:numPr>
        <w:autoSpaceDE/>
        <w:autoSpaceDN/>
        <w:rPr>
          <w:rFonts w:ascii="Arial" w:eastAsia="SimSun" w:hAnsi="Arial" w:cs="Arial"/>
          <w:bCs/>
          <w:color w:val="1C1C1C"/>
          <w:sz w:val="24"/>
          <w:szCs w:val="24"/>
          <w:lang w:val="en-PH" w:eastAsia="zh-CN"/>
        </w:rPr>
      </w:pPr>
      <w:r w:rsidRPr="002B3F36">
        <w:rPr>
          <w:rFonts w:ascii="Arial" w:eastAsia="SimSun" w:hAnsi="Arial" w:cs="Arial"/>
          <w:bCs/>
          <w:color w:val="1C1C1C"/>
          <w:sz w:val="24"/>
          <w:szCs w:val="24"/>
          <w:lang w:val="en-PH" w:eastAsia="zh-CN"/>
        </w:rPr>
        <w:t>Review of land tenure status and land use categories;</w:t>
      </w:r>
    </w:p>
    <w:p w14:paraId="637A1328" w14:textId="77777777" w:rsidR="00D742FF" w:rsidRPr="002B3F36" w:rsidRDefault="00D742FF" w:rsidP="009B4CDB">
      <w:pPr>
        <w:widowControl/>
        <w:numPr>
          <w:ilvl w:val="0"/>
          <w:numId w:val="108"/>
        </w:numPr>
        <w:autoSpaceDE/>
        <w:autoSpaceDN/>
        <w:rPr>
          <w:rFonts w:ascii="Arial" w:eastAsia="SimSun" w:hAnsi="Arial" w:cs="Arial"/>
          <w:bCs/>
          <w:color w:val="1C1C1C"/>
          <w:sz w:val="24"/>
          <w:szCs w:val="24"/>
          <w:lang w:val="en-PH" w:eastAsia="zh-CN"/>
        </w:rPr>
      </w:pPr>
      <w:r w:rsidRPr="002B3F36">
        <w:rPr>
          <w:rFonts w:ascii="Arial" w:eastAsia="SimSun" w:hAnsi="Arial" w:cs="Arial"/>
          <w:bCs/>
          <w:color w:val="1C1C1C"/>
          <w:sz w:val="24"/>
          <w:szCs w:val="24"/>
          <w:lang w:val="en-PH" w:eastAsia="zh-CN"/>
        </w:rPr>
        <w:t>Mapping of public infrastructure, cultural, educational, and health facilities.</w:t>
      </w:r>
    </w:p>
    <w:p w14:paraId="2329BC62" w14:textId="77777777" w:rsidR="002F3827" w:rsidRPr="002B3F36" w:rsidRDefault="002F3827" w:rsidP="002F3827">
      <w:pPr>
        <w:widowControl/>
        <w:autoSpaceDE/>
        <w:autoSpaceDN/>
        <w:rPr>
          <w:rFonts w:ascii="Arial" w:eastAsia="SimSun" w:hAnsi="Arial" w:cs="Arial"/>
          <w:b/>
          <w:bCs/>
          <w:color w:val="1C1C1C"/>
          <w:sz w:val="24"/>
          <w:szCs w:val="24"/>
          <w:lang w:val="en-PH" w:eastAsia="zh-CN"/>
        </w:rPr>
      </w:pPr>
    </w:p>
    <w:p w14:paraId="5879426B" w14:textId="33E22A12" w:rsidR="002F3827" w:rsidRPr="00A846C7" w:rsidRDefault="00D742FF" w:rsidP="00A846C7">
      <w:pPr>
        <w:widowControl/>
        <w:autoSpaceDE/>
        <w:autoSpaceDN/>
        <w:rPr>
          <w:rFonts w:ascii="Arial" w:eastAsia="SimSun" w:hAnsi="Arial" w:cs="Arial"/>
          <w:b/>
          <w:bCs/>
          <w:color w:val="1C1C1C"/>
          <w:sz w:val="24"/>
          <w:szCs w:val="24"/>
          <w:lang w:val="en-PH" w:eastAsia="zh-CN"/>
        </w:rPr>
      </w:pPr>
      <w:r w:rsidRPr="00A846C7">
        <w:rPr>
          <w:rFonts w:ascii="Arial" w:eastAsia="SimSun" w:hAnsi="Arial" w:cs="Arial"/>
          <w:b/>
          <w:bCs/>
          <w:color w:val="1C1C1C"/>
          <w:sz w:val="24"/>
          <w:szCs w:val="24"/>
          <w:lang w:val="en-PH" w:eastAsia="zh-CN"/>
        </w:rPr>
        <w:t>Preliminary AoI Settlements (Greenfield Section):</w:t>
      </w:r>
    </w:p>
    <w:p w14:paraId="662EB98B" w14:textId="0B29AA5C" w:rsidR="00D742FF" w:rsidRPr="002B3F36" w:rsidRDefault="00D742FF" w:rsidP="00A846C7">
      <w:pPr>
        <w:pStyle w:val="ReportBodyPar"/>
        <w:rPr>
          <w:lang w:val="en-PH"/>
        </w:rPr>
      </w:pPr>
      <w:r w:rsidRPr="002B3F36">
        <w:rPr>
          <w:lang w:val="en-PH"/>
        </w:rPr>
        <w:t>Mointy, Saktash, Koktas, Zhambyl (settlement), Aktau Station, Karazhal, and Kyzylzhar.</w:t>
      </w:r>
    </w:p>
    <w:p w14:paraId="3D1FFC3E" w14:textId="77777777" w:rsidR="002F3827" w:rsidRPr="002B3F36" w:rsidRDefault="002F3827">
      <w:pPr>
        <w:pStyle w:val="ReportBodyPar"/>
        <w:rPr>
          <w:b/>
        </w:rPr>
      </w:pPr>
    </w:p>
    <w:p w14:paraId="229D8407" w14:textId="55F8995A" w:rsidR="00F61F8E" w:rsidRPr="002B3F36" w:rsidRDefault="000F264B">
      <w:pPr>
        <w:pStyle w:val="ReportBodyPar"/>
        <w:rPr>
          <w:b/>
        </w:rPr>
      </w:pPr>
      <w:r w:rsidRPr="002B3F36">
        <w:rPr>
          <w:b/>
        </w:rPr>
        <w:t>The information to be utilized from KTZ includes:</w:t>
      </w:r>
    </w:p>
    <w:p w14:paraId="0FDEC794" w14:textId="77777777" w:rsidR="00F61F8E" w:rsidRPr="002B3F36" w:rsidRDefault="000F264B" w:rsidP="00F83434">
      <w:pPr>
        <w:pStyle w:val="Bullet12"/>
      </w:pPr>
      <w:r w:rsidRPr="002B3F36">
        <w:t>ROW width and nature (permanent/temporary, uniform or segmented);</w:t>
      </w:r>
    </w:p>
    <w:p w14:paraId="709B33BB" w14:textId="77777777" w:rsidR="00F61F8E" w:rsidRPr="002B3F36" w:rsidRDefault="000F264B" w:rsidP="00F83434">
      <w:pPr>
        <w:pStyle w:val="Bullet12"/>
      </w:pPr>
      <w:r w:rsidRPr="002B3F36">
        <w:t>Land reservation or acquisition status (decrees, procedures);</w:t>
      </w:r>
    </w:p>
    <w:p w14:paraId="0D1C8B44" w14:textId="77777777" w:rsidR="00F61F8E" w:rsidRPr="002B3F36" w:rsidRDefault="000F264B" w:rsidP="00F83434">
      <w:pPr>
        <w:pStyle w:val="Bullet12"/>
      </w:pPr>
      <w:r w:rsidRPr="002B3F36">
        <w:t>Existing cadastral materials (explikatsiya, titles, zoning plans).</w:t>
      </w:r>
    </w:p>
    <w:p w14:paraId="1B176CC6" w14:textId="77777777" w:rsidR="00F61F8E" w:rsidRPr="002B3F36" w:rsidRDefault="000F264B">
      <w:pPr>
        <w:pStyle w:val="Simple"/>
      </w:pPr>
      <w:r w:rsidRPr="002B3F36">
        <w:t xml:space="preserve"> </w:t>
      </w:r>
    </w:p>
    <w:p w14:paraId="0B42AE5C" w14:textId="77777777" w:rsidR="00F61F8E" w:rsidRPr="002B3F36" w:rsidRDefault="000F264B" w:rsidP="005A68AD">
      <w:pPr>
        <w:pStyle w:val="31"/>
      </w:pPr>
      <w:bookmarkStart w:id="1898" w:name="_Toc208973807"/>
      <w:bookmarkStart w:id="1899" w:name="_Toc208974007"/>
      <w:bookmarkStart w:id="1900" w:name="_Toc208974207"/>
      <w:bookmarkStart w:id="1901" w:name="_Toc208974409"/>
      <w:bookmarkStart w:id="1902" w:name="_Toc208974617"/>
      <w:bookmarkStart w:id="1903" w:name="_Toc210589449"/>
      <w:r w:rsidRPr="002B3F36">
        <w:t>Social Risk Screening</w:t>
      </w:r>
      <w:bookmarkEnd w:id="1898"/>
      <w:bookmarkEnd w:id="1899"/>
      <w:bookmarkEnd w:id="1900"/>
      <w:bookmarkEnd w:id="1901"/>
      <w:bookmarkEnd w:id="1902"/>
      <w:bookmarkEnd w:id="1903"/>
    </w:p>
    <w:p w14:paraId="24D3EA9E" w14:textId="77777777" w:rsidR="00F36C09" w:rsidRPr="002B3F36" w:rsidRDefault="00F36C09">
      <w:pPr>
        <w:pStyle w:val="ReportBodyPar"/>
      </w:pPr>
    </w:p>
    <w:p w14:paraId="1AF4CDAC" w14:textId="72931600" w:rsidR="001A7316" w:rsidRPr="002B3F36" w:rsidRDefault="001A7316">
      <w:pPr>
        <w:pStyle w:val="ReportBodyPar"/>
      </w:pPr>
      <w:r w:rsidRPr="002B3F36">
        <w:t xml:space="preserve">For the </w:t>
      </w:r>
      <w:r w:rsidR="003650DB" w:rsidRPr="002B3F36">
        <w:t xml:space="preserve">Mointy – Kyzylzhar </w:t>
      </w:r>
      <w:r w:rsidRPr="002B3F36">
        <w:t xml:space="preserve">Railway Greenfield Project, social risk screening </w:t>
      </w:r>
      <w:r w:rsidR="00A7384F" w:rsidRPr="002B3F36">
        <w:t>was</w:t>
      </w:r>
      <w:r w:rsidRPr="002B3F36">
        <w:t xml:space="preserve"> conducted in line with </w:t>
      </w:r>
      <w:r w:rsidR="00163238" w:rsidRPr="002B3F36">
        <w:t>WB PS</w:t>
      </w:r>
      <w:r w:rsidRPr="002B3F36">
        <w:t>1 (Environmental and Social Risk Management), PS5 (Land Acquisition and Involuntary Resettlement), and PS4 (Community Health and Safety). The process appl</w:t>
      </w:r>
      <w:r w:rsidR="009E011D" w:rsidRPr="002B3F36">
        <w:t>ied</w:t>
      </w:r>
      <w:r w:rsidRPr="002B3F36">
        <w:t xml:space="preserve"> a structured methodology to identify potential physical and economic displacement, labor risks, and community safety concerns at an early stage. Findings </w:t>
      </w:r>
      <w:r w:rsidR="00A7384F" w:rsidRPr="002B3F36">
        <w:t xml:space="preserve">served as a </w:t>
      </w:r>
      <w:r w:rsidRPr="002B3F36">
        <w:t xml:space="preserve">guide whether a full Land Acquisition and Resettlement Action Plan (LARAP), a screening memo, </w:t>
      </w:r>
      <w:r w:rsidRPr="002B3F36">
        <w:lastRenderedPageBreak/>
        <w:t>or direct integration of mitigation measures into the ESMP is appropriate for each subproject section.</w:t>
      </w:r>
    </w:p>
    <w:p w14:paraId="09EE53AB" w14:textId="77777777" w:rsidR="001A7316" w:rsidRPr="002B3F36" w:rsidRDefault="001A7316">
      <w:pPr>
        <w:pStyle w:val="ReportBodyPar"/>
      </w:pPr>
    </w:p>
    <w:p w14:paraId="1827ACAF" w14:textId="7088B452" w:rsidR="00F61F8E" w:rsidRPr="002B3F36" w:rsidRDefault="000F264B">
      <w:pPr>
        <w:pStyle w:val="ReportBodyPar"/>
      </w:pPr>
      <w:r w:rsidRPr="002B3F36">
        <w:t>Social risk screening follow</w:t>
      </w:r>
      <w:r w:rsidR="00A7384F" w:rsidRPr="002B3F36">
        <w:t>ed</w:t>
      </w:r>
      <w:r w:rsidRPr="002B3F36">
        <w:t xml:space="preserve"> a structured methodology:</w:t>
      </w:r>
    </w:p>
    <w:p w14:paraId="451874F4" w14:textId="77777777" w:rsidR="00F61F8E" w:rsidRPr="002B3F36" w:rsidRDefault="000F264B" w:rsidP="009B4CDB">
      <w:pPr>
        <w:pStyle w:val="NumberedlistinPar"/>
        <w:numPr>
          <w:ilvl w:val="0"/>
          <w:numId w:val="76"/>
        </w:numPr>
        <w:tabs>
          <w:tab w:val="clear" w:pos="540"/>
          <w:tab w:val="clear" w:pos="542"/>
        </w:tabs>
        <w:ind w:left="540" w:hanging="270"/>
      </w:pPr>
      <w:r w:rsidRPr="002B3F36">
        <w:t>Overlay of project alignments with land use data;</w:t>
      </w:r>
    </w:p>
    <w:p w14:paraId="564B98DB" w14:textId="77777777" w:rsidR="00F61F8E" w:rsidRPr="002B3F36" w:rsidRDefault="000F264B">
      <w:pPr>
        <w:pStyle w:val="NumberedlistinPar"/>
      </w:pPr>
      <w:r w:rsidRPr="002B3F36">
        <w:t>Preliminary classification of impacts (physical/economic displacement, CHS, labor);</w:t>
      </w:r>
    </w:p>
    <w:p w14:paraId="2D33F468" w14:textId="77777777" w:rsidR="00F61F8E" w:rsidRPr="002B3F36" w:rsidRDefault="000F264B">
      <w:pPr>
        <w:pStyle w:val="NumberedlistinPar"/>
      </w:pPr>
      <w:r w:rsidRPr="002B3F36">
        <w:t>Settlement-based risk analysis using field checklists;</w:t>
      </w:r>
    </w:p>
    <w:p w14:paraId="3D34145F" w14:textId="207F044D" w:rsidR="00F61F8E" w:rsidRPr="002B3F36" w:rsidRDefault="000F264B">
      <w:pPr>
        <w:pStyle w:val="NumberedlistinPar"/>
      </w:pPr>
      <w:r w:rsidRPr="002B3F36">
        <w:t>Use of photographic documentation and geospatial data;</w:t>
      </w:r>
      <w:r w:rsidR="009E4D88">
        <w:t xml:space="preserve"> and</w:t>
      </w:r>
    </w:p>
    <w:p w14:paraId="553F5537" w14:textId="47CBEF24" w:rsidR="00F36C09" w:rsidRPr="009E4D88" w:rsidRDefault="000F264B" w:rsidP="002A17E3">
      <w:pPr>
        <w:pStyle w:val="NumberedlistinPar"/>
        <w:rPr>
          <w:b/>
          <w:sz w:val="32"/>
          <w:szCs w:val="28"/>
        </w:rPr>
      </w:pPr>
      <w:r w:rsidRPr="002B3F36">
        <w:t>Rapid interviews with local stakeholders to triangulate findings.</w:t>
      </w:r>
      <w:r w:rsidR="009E4D88">
        <w:t xml:space="preserve"> </w:t>
      </w:r>
      <w:bookmarkStart w:id="1904" w:name="_Toc169094725"/>
      <w:bookmarkStart w:id="1905" w:name="_Toc208973811"/>
      <w:bookmarkStart w:id="1906" w:name="_Toc208974011"/>
      <w:bookmarkStart w:id="1907" w:name="_Toc208974211"/>
      <w:bookmarkStart w:id="1908" w:name="_Toc208974413"/>
      <w:bookmarkStart w:id="1909" w:name="_Toc208974621"/>
      <w:r w:rsidR="00F36C09" w:rsidRPr="009E4D88">
        <w:br w:type="page"/>
      </w:r>
    </w:p>
    <w:p w14:paraId="2B99996D" w14:textId="70DC79F3" w:rsidR="00F61F8E" w:rsidRPr="002B3F36" w:rsidRDefault="000F264B">
      <w:pPr>
        <w:pStyle w:val="1"/>
        <w:numPr>
          <w:ilvl w:val="0"/>
          <w:numId w:val="1"/>
        </w:numPr>
        <w:autoSpaceDE/>
        <w:autoSpaceDN/>
        <w:spacing w:line="253" w:lineRule="auto"/>
        <w:ind w:right="72"/>
        <w:jc w:val="both"/>
        <w:rPr>
          <w:rFonts w:cs="Arial"/>
        </w:rPr>
      </w:pPr>
      <w:bookmarkStart w:id="1910" w:name="_Toc210589450"/>
      <w:r w:rsidRPr="002B3F36">
        <w:rPr>
          <w:rFonts w:cs="Arial"/>
        </w:rPr>
        <w:lastRenderedPageBreak/>
        <w:t>ENVIRONMENTAL AND SOCIAL BASELINE DATA</w:t>
      </w:r>
      <w:bookmarkEnd w:id="1904"/>
      <w:bookmarkEnd w:id="1905"/>
      <w:bookmarkEnd w:id="1906"/>
      <w:bookmarkEnd w:id="1907"/>
      <w:bookmarkEnd w:id="1908"/>
      <w:bookmarkEnd w:id="1909"/>
      <w:bookmarkEnd w:id="1910"/>
    </w:p>
    <w:p w14:paraId="3E9FC205" w14:textId="14BF17DB" w:rsidR="00F61F8E" w:rsidRPr="002B3F36" w:rsidRDefault="00F61F8E">
      <w:pPr>
        <w:pStyle w:val="ReportBodyTextNogap"/>
      </w:pPr>
    </w:p>
    <w:p w14:paraId="0202DF5D" w14:textId="4FB50D79" w:rsidR="00F36C09" w:rsidRPr="002B3F36" w:rsidRDefault="00F36C09">
      <w:pPr>
        <w:pStyle w:val="ReportBodyTextNogap"/>
      </w:pPr>
      <w:r w:rsidRPr="002B3F36">
        <w:t xml:space="preserve">This chapter establishes the environmental and social baseline for the Mointy–Kyzylzhar Railway Project in accordance with </w:t>
      </w:r>
      <w:r w:rsidR="00163238" w:rsidRPr="002B3F36">
        <w:t>WB PS</w:t>
      </w:r>
      <w:r w:rsidRPr="002B3F36">
        <w:t>1 on Environmental and Social Risk Assessment, PS3 on Resource Efficiency and Pollution Prevention, and PS6 on Biodiversity Conservation, together with Kazakhstan’s Environmental Code (2021). The baseline data on climate, soils, water resources, air quality, noise, biodiversity, habitats, and protected areas provide the foundation for the ESIA’s impact identification and risk evaluation, as well as for the ESMP’s mitigation, monitoring, and management measures to ensure compliance with national legislation and international best practice.</w:t>
      </w:r>
    </w:p>
    <w:p w14:paraId="7CBA5FEC" w14:textId="77777777" w:rsidR="00F36C09" w:rsidRPr="002B3F36" w:rsidRDefault="00F36C09">
      <w:pPr>
        <w:pStyle w:val="ReportBodyTextNogap"/>
      </w:pPr>
    </w:p>
    <w:p w14:paraId="11E31A8D" w14:textId="26DB2E88" w:rsidR="00F61F8E" w:rsidRPr="002B3F36" w:rsidRDefault="000F264B">
      <w:pPr>
        <w:pStyle w:val="20"/>
      </w:pPr>
      <w:bookmarkStart w:id="1911" w:name="_bookmark114"/>
      <w:bookmarkStart w:id="1912" w:name="_bookmark115"/>
      <w:bookmarkStart w:id="1913" w:name="_Toc208973812"/>
      <w:bookmarkStart w:id="1914" w:name="_Toc208974012"/>
      <w:bookmarkStart w:id="1915" w:name="_Toc208974212"/>
      <w:bookmarkStart w:id="1916" w:name="_Toc208974414"/>
      <w:bookmarkStart w:id="1917" w:name="_Toc208974622"/>
      <w:bookmarkStart w:id="1918" w:name="_Toc210589451"/>
      <w:bookmarkEnd w:id="1911"/>
      <w:bookmarkEnd w:id="1912"/>
      <w:r w:rsidRPr="002B3F36">
        <w:t>Environmental Data</w:t>
      </w:r>
      <w:bookmarkEnd w:id="1913"/>
      <w:bookmarkEnd w:id="1914"/>
      <w:bookmarkEnd w:id="1915"/>
      <w:bookmarkEnd w:id="1916"/>
      <w:bookmarkEnd w:id="1917"/>
      <w:bookmarkEnd w:id="1918"/>
    </w:p>
    <w:p w14:paraId="4194DD51" w14:textId="77777777" w:rsidR="00F60018" w:rsidRPr="002B3F36" w:rsidRDefault="00F60018" w:rsidP="00F82096">
      <w:pPr>
        <w:pStyle w:val="ReportBodyPar"/>
      </w:pPr>
    </w:p>
    <w:p w14:paraId="507E59CE" w14:textId="77777777" w:rsidR="00F61F8E" w:rsidRPr="002B3F36" w:rsidRDefault="000F264B" w:rsidP="005A68AD">
      <w:pPr>
        <w:pStyle w:val="31"/>
      </w:pPr>
      <w:bookmarkStart w:id="1919" w:name="_Toc208973813"/>
      <w:bookmarkStart w:id="1920" w:name="_Toc208974013"/>
      <w:bookmarkStart w:id="1921" w:name="_Toc208974213"/>
      <w:bookmarkStart w:id="1922" w:name="_Toc208974415"/>
      <w:bookmarkStart w:id="1923" w:name="_Toc208974623"/>
      <w:bookmarkStart w:id="1924" w:name="_Toc210589452"/>
      <w:r w:rsidRPr="002B3F36">
        <w:t>Physical Environmental</w:t>
      </w:r>
      <w:bookmarkEnd w:id="1919"/>
      <w:bookmarkEnd w:id="1920"/>
      <w:bookmarkEnd w:id="1921"/>
      <w:bookmarkEnd w:id="1922"/>
      <w:bookmarkEnd w:id="1923"/>
      <w:bookmarkEnd w:id="1924"/>
    </w:p>
    <w:p w14:paraId="1A4811B9" w14:textId="77777777" w:rsidR="00F61F8E" w:rsidRPr="002B3F36" w:rsidRDefault="00F61F8E">
      <w:pPr>
        <w:pStyle w:val="ReportBodyTextNogap"/>
      </w:pPr>
    </w:p>
    <w:p w14:paraId="59DCB089" w14:textId="0674BD99" w:rsidR="00F61F8E" w:rsidRPr="002B3F36" w:rsidRDefault="000F264B">
      <w:pPr>
        <w:pStyle w:val="ReportBodyTextNogap"/>
      </w:pPr>
      <w:r w:rsidRPr="002B3F36">
        <w:t xml:space="preserve">The </w:t>
      </w:r>
      <w:r w:rsidR="003650DB" w:rsidRPr="002B3F36">
        <w:t xml:space="preserve">Mointy – Kyzylzhar </w:t>
      </w:r>
      <w:r w:rsidRPr="002B3F36">
        <w:t xml:space="preserve">railway alignment crosses the steppe and semi-desert landscapes of </w:t>
      </w:r>
      <w:r w:rsidR="003A184C">
        <w:rPr>
          <w:rStyle w:val="affffb"/>
        </w:rPr>
        <w:t>Karagandy</w:t>
      </w:r>
      <w:r w:rsidRPr="002B3F36">
        <w:rPr>
          <w:rStyle w:val="affffb"/>
        </w:rPr>
        <w:t xml:space="preserve"> (Kharagandy) and Ulytau rayons</w:t>
      </w:r>
      <w:r w:rsidRPr="002B3F36">
        <w:t>, shaped by a continental semi-arid climate, thin erosion-prone soils, and scarce seasonal water resources. Below are the details of the physical environment that influence project design and management.</w:t>
      </w:r>
    </w:p>
    <w:p w14:paraId="026D58CE" w14:textId="77777777" w:rsidR="00F61F8E" w:rsidRPr="002B3F36" w:rsidRDefault="00F61F8E">
      <w:pPr>
        <w:pStyle w:val="ReportBodyTextNogap"/>
      </w:pPr>
    </w:p>
    <w:p w14:paraId="37F492EE" w14:textId="77777777" w:rsidR="00F61F8E" w:rsidRPr="002B3F36" w:rsidRDefault="000F264B" w:rsidP="005A68AD">
      <w:pPr>
        <w:pStyle w:val="31"/>
      </w:pPr>
      <w:bookmarkStart w:id="1925" w:name="_Toc208973814"/>
      <w:bookmarkStart w:id="1926" w:name="_Toc208974014"/>
      <w:bookmarkStart w:id="1927" w:name="_Toc208974214"/>
      <w:bookmarkStart w:id="1928" w:name="_Toc208974416"/>
      <w:bookmarkStart w:id="1929" w:name="_Toc208974624"/>
      <w:bookmarkStart w:id="1930" w:name="_Toc210589453"/>
      <w:r w:rsidRPr="002B3F36">
        <w:t>Geography and Landscape</w:t>
      </w:r>
      <w:bookmarkEnd w:id="1925"/>
      <w:bookmarkEnd w:id="1926"/>
      <w:bookmarkEnd w:id="1927"/>
      <w:bookmarkEnd w:id="1928"/>
      <w:bookmarkEnd w:id="1929"/>
      <w:bookmarkEnd w:id="1930"/>
    </w:p>
    <w:p w14:paraId="3CB581DD" w14:textId="77777777" w:rsidR="00F61F8E" w:rsidRPr="002B3F36" w:rsidRDefault="00F61F8E">
      <w:pPr>
        <w:pStyle w:val="ReportBodyTextNogap"/>
      </w:pPr>
    </w:p>
    <w:p w14:paraId="1A43DE1E" w14:textId="2C9D603C" w:rsidR="00F61F8E" w:rsidRPr="002B3F36" w:rsidRDefault="000F264B">
      <w:pPr>
        <w:pStyle w:val="ReportBodyTextNogap"/>
      </w:pPr>
      <w:r w:rsidRPr="002B3F36">
        <w:t xml:space="preserve">The proposed </w:t>
      </w:r>
      <w:r w:rsidR="003650DB" w:rsidRPr="002B3F36">
        <w:t xml:space="preserve">Mointy – Kyzylzhar </w:t>
      </w:r>
      <w:r w:rsidRPr="002B3F36">
        <w:t xml:space="preserve">railway corridor traverses the central steppe zone of Kazakhstan, running across the administrative territories of </w:t>
      </w:r>
      <w:r w:rsidR="003A184C">
        <w:rPr>
          <w:rStyle w:val="affffb"/>
        </w:rPr>
        <w:t>Karagandy</w:t>
      </w:r>
      <w:r w:rsidRPr="002B3F36">
        <w:rPr>
          <w:rStyle w:val="affffb"/>
        </w:rPr>
        <w:t xml:space="preserve"> (Kharagandy) and Ulytau regions (rayons)</w:t>
      </w:r>
      <w:r w:rsidRPr="002B3F36">
        <w:t xml:space="preserve">. The landscape is characterized by wide </w:t>
      </w:r>
      <w:r w:rsidRPr="002B3F36">
        <w:rPr>
          <w:rStyle w:val="affffb"/>
        </w:rPr>
        <w:t>semi-arid steppe plains</w:t>
      </w:r>
      <w:r w:rsidRPr="002B3F36">
        <w:t xml:space="preserve">, interspersed with low hills, uplands (such as the Ortau and Ayak-Bestau hills), and isolated rocky outcrops. These geomorphological features provide local relief variation but the overall corridor is defined by </w:t>
      </w:r>
      <w:r w:rsidRPr="002B3F36">
        <w:rPr>
          <w:rStyle w:val="affffb"/>
        </w:rPr>
        <w:t>open steppe expanses</w:t>
      </w:r>
      <w:r w:rsidRPr="002B3F36">
        <w:t xml:space="preserve"> with sparse vegetation and limited natural shelter. </w:t>
      </w:r>
      <w:r w:rsidR="00A70086" w:rsidRPr="008D5118">
        <w:t xml:space="preserve">The area lies within the </w:t>
      </w:r>
      <w:r w:rsidR="00A70086" w:rsidRPr="008D5118">
        <w:rPr>
          <w:rStyle w:val="affffb"/>
        </w:rPr>
        <w:t xml:space="preserve">Kazakh </w:t>
      </w:r>
      <w:r w:rsidR="00A70086" w:rsidRPr="0021632D">
        <w:rPr>
          <w:rStyle w:val="affffb"/>
        </w:rPr>
        <w:t xml:space="preserve">northern desert plains </w:t>
      </w:r>
      <w:r w:rsidR="00A70086" w:rsidRPr="00BB38B4">
        <w:rPr>
          <w:rStyle w:val="affffb"/>
          <w:b w:val="0"/>
          <w:bCs/>
        </w:rPr>
        <w:t>and mostly within</w:t>
      </w:r>
      <w:r w:rsidR="00A70086">
        <w:rPr>
          <w:rStyle w:val="affffb"/>
        </w:rPr>
        <w:t xml:space="preserve"> </w:t>
      </w:r>
      <w:r w:rsidR="00A70086" w:rsidRPr="0021632D">
        <w:rPr>
          <w:rStyle w:val="affffb"/>
        </w:rPr>
        <w:t xml:space="preserve">desert steppes </w:t>
      </w:r>
      <w:r w:rsidR="00A70086" w:rsidRPr="00BB38B4">
        <w:rPr>
          <w:rStyle w:val="affffb"/>
          <w:b w:val="0"/>
          <w:bCs/>
        </w:rPr>
        <w:t>(according to the WWF classification of eco-regions)</w:t>
      </w:r>
      <w:r w:rsidRPr="002B3F36">
        <w:t>, with continental climate influences that create strong seasonal contrasts in temperature and precipitation.</w:t>
      </w:r>
    </w:p>
    <w:p w14:paraId="38ACEEC7" w14:textId="77777777" w:rsidR="00F61F8E" w:rsidRPr="002B3F36" w:rsidRDefault="00F61F8E">
      <w:pPr>
        <w:pStyle w:val="ReportBodyTextNogap"/>
      </w:pPr>
    </w:p>
    <w:p w14:paraId="5D5125E0" w14:textId="77777777" w:rsidR="00F61F8E" w:rsidRPr="002B3F36" w:rsidRDefault="000F264B" w:rsidP="005A68AD">
      <w:pPr>
        <w:pStyle w:val="31"/>
      </w:pPr>
      <w:bookmarkStart w:id="1931" w:name="_Toc208973815"/>
      <w:bookmarkStart w:id="1932" w:name="_Toc208974015"/>
      <w:bookmarkStart w:id="1933" w:name="_Toc208974215"/>
      <w:bookmarkStart w:id="1934" w:name="_Toc208974417"/>
      <w:bookmarkStart w:id="1935" w:name="_Toc208974625"/>
      <w:bookmarkStart w:id="1936" w:name="_Toc210589454"/>
      <w:r w:rsidRPr="002B3F36">
        <w:t>Climate and Meteorology</w:t>
      </w:r>
      <w:bookmarkEnd w:id="1931"/>
      <w:bookmarkEnd w:id="1932"/>
      <w:bookmarkEnd w:id="1933"/>
      <w:bookmarkEnd w:id="1934"/>
      <w:bookmarkEnd w:id="1935"/>
      <w:bookmarkEnd w:id="1936"/>
    </w:p>
    <w:p w14:paraId="0D26FD8F" w14:textId="77777777" w:rsidR="00F61F8E" w:rsidRPr="002B3F36" w:rsidRDefault="00F61F8E">
      <w:pPr>
        <w:pStyle w:val="ReportBodyTextNogap"/>
      </w:pPr>
    </w:p>
    <w:p w14:paraId="2BDA221B" w14:textId="2C81B5D7" w:rsidR="00F61F8E" w:rsidRPr="002B3F36" w:rsidRDefault="000F264B">
      <w:pPr>
        <w:pStyle w:val="ReportBodyTextNogap"/>
      </w:pPr>
      <w:r w:rsidRPr="002B3F36">
        <w:t xml:space="preserve">The climate of both </w:t>
      </w:r>
      <w:r w:rsidR="003A184C">
        <w:rPr>
          <w:rStyle w:val="affffb"/>
        </w:rPr>
        <w:t>Karagandy</w:t>
      </w:r>
      <w:r w:rsidRPr="002B3F36">
        <w:rPr>
          <w:rStyle w:val="affffb"/>
        </w:rPr>
        <w:t xml:space="preserve"> and Ulytau rayons</w:t>
      </w:r>
      <w:r w:rsidRPr="002B3F36">
        <w:t xml:space="preserve"> is sharply continental, with </w:t>
      </w:r>
      <w:r w:rsidRPr="002B3F36">
        <w:rPr>
          <w:rStyle w:val="affffb"/>
        </w:rPr>
        <w:t>hot, dry summers</w:t>
      </w:r>
      <w:r w:rsidRPr="002B3F36">
        <w:t xml:space="preserve"> (average July temperatures reaching 23–26 °C) and </w:t>
      </w:r>
      <w:r w:rsidRPr="002B3F36">
        <w:rPr>
          <w:rStyle w:val="affffb"/>
        </w:rPr>
        <w:t>cold winters</w:t>
      </w:r>
      <w:r w:rsidRPr="002B3F36">
        <w:t xml:space="preserve"> (January averages of –16 to –18 °C). Annual precipitation ranges from </w:t>
      </w:r>
      <w:r w:rsidRPr="002B3F36">
        <w:rPr>
          <w:rStyle w:val="affffb"/>
        </w:rPr>
        <w:t>250–300 mm</w:t>
      </w:r>
      <w:r w:rsidRPr="002B3F36">
        <w:t xml:space="preserve">, falling mainly in spring and early summer. Strong winds are common, particularly in open steppe areas, contributing to </w:t>
      </w:r>
      <w:r w:rsidRPr="002B3F36">
        <w:rPr>
          <w:rStyle w:val="affffb"/>
        </w:rPr>
        <w:t>soil erosion, dust storms, and wind deflation risks</w:t>
      </w:r>
      <w:r w:rsidRPr="002B3F36">
        <w:t xml:space="preserve"> during dry months. Climatic variability has direct implications for water availability, vegetation growth, and wildlife movement in the project area.</w:t>
      </w:r>
    </w:p>
    <w:p w14:paraId="6A5B2066" w14:textId="77777777" w:rsidR="00F61F8E" w:rsidRPr="002B3F36" w:rsidRDefault="00F61F8E">
      <w:pPr>
        <w:pStyle w:val="ReportBodyTextNogap"/>
      </w:pPr>
    </w:p>
    <w:p w14:paraId="44F6EAE8" w14:textId="77777777" w:rsidR="00F61F8E" w:rsidRPr="002B3F36" w:rsidRDefault="000F264B" w:rsidP="005A68AD">
      <w:pPr>
        <w:pStyle w:val="31"/>
      </w:pPr>
      <w:bookmarkStart w:id="1937" w:name="_Toc208973816"/>
      <w:bookmarkStart w:id="1938" w:name="_Toc208974016"/>
      <w:bookmarkStart w:id="1939" w:name="_Toc208974216"/>
      <w:bookmarkStart w:id="1940" w:name="_Toc208974418"/>
      <w:bookmarkStart w:id="1941" w:name="_Toc208974626"/>
      <w:bookmarkStart w:id="1942" w:name="_Toc210589455"/>
      <w:r w:rsidRPr="002B3F36">
        <w:t>Soils and Geology</w:t>
      </w:r>
      <w:bookmarkEnd w:id="1937"/>
      <w:bookmarkEnd w:id="1938"/>
      <w:bookmarkEnd w:id="1939"/>
      <w:bookmarkEnd w:id="1940"/>
      <w:bookmarkEnd w:id="1941"/>
      <w:bookmarkEnd w:id="1942"/>
    </w:p>
    <w:p w14:paraId="4F9E97CD" w14:textId="77777777" w:rsidR="00F61F8E" w:rsidRPr="002B3F36" w:rsidRDefault="00F61F8E">
      <w:pPr>
        <w:pStyle w:val="ReportBodyTextNogap"/>
        <w:rPr>
          <w:rStyle w:val="ReportBodyTextNogapChar"/>
        </w:rPr>
      </w:pPr>
    </w:p>
    <w:p w14:paraId="1232854B" w14:textId="0729BCFF" w:rsidR="00F61F8E" w:rsidRPr="002B3F36" w:rsidRDefault="000F264B">
      <w:pPr>
        <w:pStyle w:val="ReportBodyTextNogap"/>
      </w:pPr>
      <w:r w:rsidRPr="002B3F36">
        <w:rPr>
          <w:rStyle w:val="ReportBodyTextNogapChar"/>
        </w:rPr>
        <w:t xml:space="preserve">Soils along the alignment are predominantly chestnut and light brown steppe soils, with localized saline and sandy patches. These soils are thin, low in organic matter, and prone to erosion, especially where disturbed by construction or grazing. Geologically, the area lies within the Kazakh Shield zone, with exposures of Precambrian crystalline rocks and Paleozoic sediments in the uplands. The terrain includes both stable plains and </w:t>
      </w:r>
      <w:r w:rsidRPr="002B3F36">
        <w:rPr>
          <w:rStyle w:val="ReportBodyTextNogapChar"/>
        </w:rPr>
        <w:lastRenderedPageBreak/>
        <w:t xml:space="preserve">geotechnically sensitive areas where slope instability, collapsible soils, or erosion potential may require engineering interventions. Borrow sources of sand, gravel, and ballast exist within the broader </w:t>
      </w:r>
      <w:r w:rsidR="003A184C">
        <w:rPr>
          <w:rStyle w:val="ReportBodyTextNogapChar"/>
        </w:rPr>
        <w:t>Karagandy</w:t>
      </w:r>
      <w:r w:rsidRPr="002B3F36">
        <w:rPr>
          <w:rStyle w:val="ReportBodyTextNogapChar"/>
        </w:rPr>
        <w:t>–Ulytau region, but their</w:t>
      </w:r>
      <w:r w:rsidRPr="002B3F36">
        <w:t xml:space="preserve"> environmental suitability requires site-specific assessment.</w:t>
      </w:r>
    </w:p>
    <w:p w14:paraId="37303E5A" w14:textId="77777777" w:rsidR="00F61F8E" w:rsidRPr="002B3F36" w:rsidRDefault="00F61F8E">
      <w:pPr>
        <w:pStyle w:val="ReportBodyTextNogap"/>
      </w:pPr>
    </w:p>
    <w:p w14:paraId="50D4CDB3" w14:textId="77777777" w:rsidR="00F61F8E" w:rsidRPr="002B3F36" w:rsidRDefault="000F264B" w:rsidP="005A68AD">
      <w:pPr>
        <w:pStyle w:val="31"/>
      </w:pPr>
      <w:bookmarkStart w:id="1943" w:name="_Toc208973817"/>
      <w:bookmarkStart w:id="1944" w:name="_Toc208974017"/>
      <w:bookmarkStart w:id="1945" w:name="_Toc208974217"/>
      <w:bookmarkStart w:id="1946" w:name="_Toc208974419"/>
      <w:bookmarkStart w:id="1947" w:name="_Toc208974627"/>
      <w:bookmarkStart w:id="1948" w:name="_Toc210589456"/>
      <w:r w:rsidRPr="002B3F36">
        <w:t>Hydrology and Water Resources</w:t>
      </w:r>
      <w:bookmarkEnd w:id="1943"/>
      <w:bookmarkEnd w:id="1944"/>
      <w:bookmarkEnd w:id="1945"/>
      <w:bookmarkEnd w:id="1946"/>
      <w:bookmarkEnd w:id="1947"/>
      <w:bookmarkEnd w:id="1948"/>
    </w:p>
    <w:p w14:paraId="0EE41F0D" w14:textId="77777777" w:rsidR="00F61F8E" w:rsidRPr="002B3F36" w:rsidRDefault="00F61F8E">
      <w:pPr>
        <w:pStyle w:val="ReportBodyTextNogap"/>
      </w:pPr>
    </w:p>
    <w:p w14:paraId="6087F316" w14:textId="77777777" w:rsidR="00F61F8E" w:rsidRPr="002B3F36" w:rsidRDefault="000F264B">
      <w:pPr>
        <w:pStyle w:val="ReportBodyTextNogap"/>
      </w:pPr>
      <w:r w:rsidRPr="002B3F36">
        <w:t xml:space="preserve">Surface water resources along the alignment are </w:t>
      </w:r>
      <w:r w:rsidRPr="002B3F36">
        <w:rPr>
          <w:rStyle w:val="affffb"/>
        </w:rPr>
        <w:t>scarce and highly seasonal</w:t>
      </w:r>
      <w:r w:rsidRPr="002B3F36">
        <w:t xml:space="preserve">, reflecting the semi-arid climate. Small rivers, such as the </w:t>
      </w:r>
      <w:r w:rsidRPr="002B3F36">
        <w:rPr>
          <w:rStyle w:val="affffb"/>
        </w:rPr>
        <w:t>Karazhal River</w:t>
      </w:r>
      <w:r w:rsidRPr="002B3F36">
        <w:t xml:space="preserve">, and ephemeral streams occur within the corridor, but flows are intermittent and dependent on snowmelt and seasonal rainfall. Shallow steppe lakes and depressions are also present, often saline, and serve as important habitats for migratory waterfowl. Groundwater occurs at variable depths, with limited aquifer potential; it is a critical resource for both communities and ecosystems. Water quality is sensitive to contamination from runoff, waste, and construction activities. The </w:t>
      </w:r>
      <w:r w:rsidRPr="002B3F36">
        <w:rPr>
          <w:rStyle w:val="affffb"/>
        </w:rPr>
        <w:t>hydrological network</w:t>
      </w:r>
      <w:r w:rsidRPr="002B3F36">
        <w:t xml:space="preserve"> is particularly fragile, with high vulnerability to disturbance from earthworks and linear infrastructure.</w:t>
      </w:r>
    </w:p>
    <w:p w14:paraId="5A858A20" w14:textId="77777777" w:rsidR="00F61F8E" w:rsidRPr="002B3F36" w:rsidRDefault="00F61F8E">
      <w:pPr>
        <w:pStyle w:val="ReportBodyTextNogap"/>
      </w:pPr>
    </w:p>
    <w:p w14:paraId="5010E67C" w14:textId="77777777" w:rsidR="00F61F8E" w:rsidRPr="002B3F36" w:rsidRDefault="000F264B" w:rsidP="005A68AD">
      <w:pPr>
        <w:pStyle w:val="31"/>
      </w:pPr>
      <w:bookmarkStart w:id="1949" w:name="_Toc208973818"/>
      <w:bookmarkStart w:id="1950" w:name="_Toc208974018"/>
      <w:bookmarkStart w:id="1951" w:name="_Toc208974218"/>
      <w:bookmarkStart w:id="1952" w:name="_Toc208974420"/>
      <w:bookmarkStart w:id="1953" w:name="_Toc208974628"/>
      <w:bookmarkStart w:id="1954" w:name="_Toc210589457"/>
      <w:r w:rsidRPr="002B3F36">
        <w:t>Air Quality and Noise</w:t>
      </w:r>
      <w:bookmarkEnd w:id="1949"/>
      <w:bookmarkEnd w:id="1950"/>
      <w:bookmarkEnd w:id="1951"/>
      <w:bookmarkEnd w:id="1952"/>
      <w:bookmarkEnd w:id="1953"/>
      <w:bookmarkEnd w:id="1954"/>
    </w:p>
    <w:p w14:paraId="3366FC5D" w14:textId="77777777" w:rsidR="00F61F8E" w:rsidRPr="002B3F36" w:rsidRDefault="00F61F8E">
      <w:pPr>
        <w:pStyle w:val="ReportBodyTextNogap"/>
      </w:pPr>
    </w:p>
    <w:p w14:paraId="10EC430C" w14:textId="3C5EA4EB" w:rsidR="00F61F8E" w:rsidRPr="002B3F36" w:rsidRDefault="000F264B">
      <w:pPr>
        <w:pStyle w:val="ReportBodyTextNogap"/>
      </w:pPr>
      <w:r w:rsidRPr="002B3F36">
        <w:t xml:space="preserve">Baseline air quality in the region is generally good, due to the low density of industrial and vehicular activity outside of settlements. However, localized emissions from mining and industrial hubs in </w:t>
      </w:r>
      <w:r w:rsidR="003A184C">
        <w:rPr>
          <w:rStyle w:val="affffb"/>
        </w:rPr>
        <w:t>Karagandy</w:t>
      </w:r>
      <w:r w:rsidRPr="002B3F36">
        <w:rPr>
          <w:rStyle w:val="affffb"/>
        </w:rPr>
        <w:t xml:space="preserve"> </w:t>
      </w:r>
      <w:r w:rsidR="003A184C">
        <w:rPr>
          <w:rStyle w:val="affffb"/>
        </w:rPr>
        <w:t>region</w:t>
      </w:r>
      <w:r w:rsidRPr="002B3F36">
        <w:t xml:space="preserve"> (notably Karazhal and Zhezkazgan) contribute to dust, SO</w:t>
      </w:r>
      <w:r w:rsidRPr="002B3F36">
        <w:rPr>
          <w:rFonts w:ascii="Cambria Math" w:hAnsi="Cambria Math" w:cs="Cambria Math"/>
        </w:rPr>
        <w:t>₂</w:t>
      </w:r>
      <w:r w:rsidRPr="002B3F36">
        <w:t xml:space="preserve">, and NOx levels. Noise levels are typically low in rural steppe environments, with background sound dominated by wind and natural sources. Construction of the railway will temporarily increase </w:t>
      </w:r>
      <w:r w:rsidRPr="002B3F36">
        <w:rPr>
          <w:rStyle w:val="affffb"/>
        </w:rPr>
        <w:t>dust, noise, and vibration</w:t>
      </w:r>
      <w:r w:rsidRPr="002B3F36">
        <w:t>, particularly near settlements, IBAs, and protected areas.</w:t>
      </w:r>
    </w:p>
    <w:p w14:paraId="52D4CCDE" w14:textId="77777777" w:rsidR="00F61F8E" w:rsidRPr="002B3F36" w:rsidRDefault="00F61F8E">
      <w:pPr>
        <w:pStyle w:val="ReportBodyTextNogap"/>
      </w:pPr>
    </w:p>
    <w:p w14:paraId="48C4529D" w14:textId="77777777" w:rsidR="00F61F8E" w:rsidRPr="002B3F36" w:rsidRDefault="000F264B" w:rsidP="005A68AD">
      <w:pPr>
        <w:pStyle w:val="31"/>
      </w:pPr>
      <w:bookmarkStart w:id="1955" w:name="_Toc208973819"/>
      <w:bookmarkStart w:id="1956" w:name="_Toc208974019"/>
      <w:bookmarkStart w:id="1957" w:name="_Toc208974219"/>
      <w:bookmarkStart w:id="1958" w:name="_Toc208974421"/>
      <w:bookmarkStart w:id="1959" w:name="_Toc208974629"/>
      <w:bookmarkStart w:id="1960" w:name="_Toc210589458"/>
      <w:r w:rsidRPr="002B3F36">
        <w:t>Natural Hazards and Sensitivities</w:t>
      </w:r>
      <w:bookmarkEnd w:id="1955"/>
      <w:bookmarkEnd w:id="1956"/>
      <w:bookmarkEnd w:id="1957"/>
      <w:bookmarkEnd w:id="1958"/>
      <w:bookmarkEnd w:id="1959"/>
      <w:bookmarkEnd w:id="1960"/>
    </w:p>
    <w:p w14:paraId="2EA23571" w14:textId="77777777" w:rsidR="00F61F8E" w:rsidRPr="002B3F36" w:rsidRDefault="00F61F8E">
      <w:pPr>
        <w:pStyle w:val="ReportBodyPar"/>
      </w:pPr>
    </w:p>
    <w:p w14:paraId="1FE8F2D0" w14:textId="77777777" w:rsidR="00F61F8E" w:rsidRPr="002B3F36" w:rsidRDefault="000F264B">
      <w:pPr>
        <w:pStyle w:val="ReportBodyPar"/>
      </w:pPr>
      <w:r w:rsidRPr="002B3F36">
        <w:t>Key physical sensitivities along the alignment include:</w:t>
      </w:r>
    </w:p>
    <w:p w14:paraId="46B7E955" w14:textId="77777777" w:rsidR="00F61F8E" w:rsidRPr="002B3F36" w:rsidRDefault="000F264B">
      <w:pPr>
        <w:pStyle w:val="Newbullet"/>
      </w:pPr>
      <w:r w:rsidRPr="002B3F36">
        <w:rPr>
          <w:rStyle w:val="affffb"/>
        </w:rPr>
        <w:t>Soil erosion and dust storms</w:t>
      </w:r>
      <w:r w:rsidRPr="002B3F36">
        <w:t xml:space="preserve"> due to sparse vegetation cover and strong winds.</w:t>
      </w:r>
    </w:p>
    <w:p w14:paraId="187F3E91" w14:textId="77777777" w:rsidR="00F61F8E" w:rsidRPr="002B3F36" w:rsidRDefault="000F264B">
      <w:pPr>
        <w:pStyle w:val="Newbullet"/>
      </w:pPr>
      <w:r w:rsidRPr="002B3F36">
        <w:rPr>
          <w:rStyle w:val="affffb"/>
        </w:rPr>
        <w:t>Seismicity</w:t>
      </w:r>
      <w:r w:rsidRPr="002B3F36">
        <w:t>: The area lies within a low-to-moderate seismic zone, requiring standard engineering design considerations.</w:t>
      </w:r>
    </w:p>
    <w:p w14:paraId="64900E99" w14:textId="77777777" w:rsidR="00F61F8E" w:rsidRPr="002B3F36" w:rsidRDefault="000F264B">
      <w:pPr>
        <w:pStyle w:val="Newbullet"/>
      </w:pPr>
      <w:r w:rsidRPr="002B3F36">
        <w:rPr>
          <w:rStyle w:val="affffb"/>
        </w:rPr>
        <w:t>Water scarcity</w:t>
      </w:r>
      <w:r w:rsidRPr="002B3F36">
        <w:t>: Semi-arid hydrological conditions make even small water bodies ecologically significant.</w:t>
      </w:r>
    </w:p>
    <w:p w14:paraId="058D0031" w14:textId="77777777" w:rsidR="00F61F8E" w:rsidRPr="002B3F36" w:rsidRDefault="000F264B">
      <w:pPr>
        <w:pStyle w:val="Newbullet"/>
      </w:pPr>
      <w:r w:rsidRPr="002B3F36">
        <w:rPr>
          <w:rStyle w:val="affffb"/>
        </w:rPr>
        <w:t>Steppe ecosystem fragility</w:t>
      </w:r>
      <w:r w:rsidRPr="002B3F36">
        <w:t>: Limited resilience of soils and vegetation to disturbance necessitates careful management of borrow pits, construction camps, and access roads.</w:t>
      </w:r>
    </w:p>
    <w:p w14:paraId="0D4D0DE7" w14:textId="77777777" w:rsidR="00F61F8E" w:rsidRPr="002B3F36" w:rsidRDefault="00F61F8E">
      <w:pPr>
        <w:pStyle w:val="ReportBodyTextNogap"/>
      </w:pPr>
    </w:p>
    <w:p w14:paraId="601B0FF0" w14:textId="77777777" w:rsidR="00F61F8E" w:rsidRPr="002B3F36" w:rsidRDefault="000F264B" w:rsidP="005A68AD">
      <w:pPr>
        <w:pStyle w:val="31"/>
      </w:pPr>
      <w:bookmarkStart w:id="1961" w:name="_Toc208973820"/>
      <w:bookmarkStart w:id="1962" w:name="_Toc208974020"/>
      <w:bookmarkStart w:id="1963" w:name="_Toc208974220"/>
      <w:bookmarkStart w:id="1964" w:name="_Toc208974422"/>
      <w:bookmarkStart w:id="1965" w:name="_Toc208974630"/>
      <w:bookmarkStart w:id="1966" w:name="_Toc210589459"/>
      <w:r w:rsidRPr="002B3F36">
        <w:t>Biodiversity</w:t>
      </w:r>
      <w:bookmarkEnd w:id="1961"/>
      <w:bookmarkEnd w:id="1962"/>
      <w:bookmarkEnd w:id="1963"/>
      <w:bookmarkEnd w:id="1964"/>
      <w:bookmarkEnd w:id="1965"/>
      <w:bookmarkEnd w:id="1966"/>
    </w:p>
    <w:p w14:paraId="18218695" w14:textId="77777777" w:rsidR="00F61F8E" w:rsidRPr="002B3F36" w:rsidRDefault="00F61F8E">
      <w:pPr>
        <w:pStyle w:val="Simple"/>
      </w:pPr>
    </w:p>
    <w:p w14:paraId="5934AF76" w14:textId="15E99EEB" w:rsidR="00F61F8E" w:rsidRPr="00A846C7" w:rsidRDefault="000F264B" w:rsidP="00E02069">
      <w:pPr>
        <w:pStyle w:val="ReportBodyPar"/>
      </w:pPr>
      <w:r w:rsidRPr="002B3F36">
        <w:t xml:space="preserve">The Ulytau and </w:t>
      </w:r>
      <w:r w:rsidR="003A184C">
        <w:t>Karagandy</w:t>
      </w:r>
      <w:r w:rsidRPr="002B3F36">
        <w:t xml:space="preserve"> regions, traversed by the proposed </w:t>
      </w:r>
      <w:r w:rsidR="003650DB" w:rsidRPr="002B3F36">
        <w:t xml:space="preserve">Mointy – Kyzylzhar </w:t>
      </w:r>
      <w:r w:rsidRPr="002B3F36">
        <w:t>Railway, encompass diverse ecosystems ranging from steppe and semi-desert to upland habitats. These environments support a broad spectrum of flora and fauna adapted to arid and continental climatic conditions, with ecological functioning closely tied to seasonal availability of water and grazing resources. The regions host endemic and regionally significant species such as the steppe eagle (</w:t>
      </w:r>
      <w:r w:rsidRPr="002B3F36">
        <w:rPr>
          <w:i/>
        </w:rPr>
        <w:t>Aquila nipalensis</w:t>
      </w:r>
      <w:r w:rsidRPr="002B3F36">
        <w:t>), golden eagle (</w:t>
      </w:r>
      <w:r w:rsidRPr="002B3F36">
        <w:rPr>
          <w:i/>
        </w:rPr>
        <w:t>Aquila chrysaetos</w:t>
      </w:r>
      <w:r w:rsidRPr="002B3F36">
        <w:t>), saker falcon (</w:t>
      </w:r>
      <w:r w:rsidRPr="002B3F36">
        <w:rPr>
          <w:i/>
        </w:rPr>
        <w:t>Falco cherrug</w:t>
      </w:r>
      <w:r w:rsidRPr="002B3F36">
        <w:t>), and various small mammals and reptiles. While the saiga antelope (</w:t>
      </w:r>
      <w:r w:rsidRPr="002B3F36">
        <w:rPr>
          <w:i/>
        </w:rPr>
        <w:t>Saiga tatarica</w:t>
      </w:r>
      <w:r w:rsidRPr="002B3F36">
        <w:t xml:space="preserve">) is a keystone species of the broader Betpak-Dala region, updated field and secondary assessments confirm that the current alignment does not intersect its known </w:t>
      </w:r>
      <w:r w:rsidRPr="002B3F36">
        <w:lastRenderedPageBreak/>
        <w:t>migration routes, thereby reducing risks to this critically endangered species.</w:t>
      </w:r>
      <w:r w:rsidR="000C6280" w:rsidRPr="002B3F36">
        <w:t xml:space="preserve"> </w:t>
      </w:r>
      <w:r w:rsidR="000C6280" w:rsidRPr="00A846C7">
        <w:rPr>
          <w:lang w:val="en"/>
        </w:rPr>
        <w:t xml:space="preserve">At the same time, saiga numbers are growing, they are regularly encountered in the project area, and they apparently cross its various sites during local feeding or seasonal migrations. Therefore, even if the species' main </w:t>
      </w:r>
      <w:r w:rsidR="000C6280" w:rsidRPr="00A846C7">
        <w:t>migration</w:t>
      </w:r>
      <w:r w:rsidR="000C6280" w:rsidRPr="00A846C7">
        <w:rPr>
          <w:lang w:val="en"/>
        </w:rPr>
        <w:t xml:space="preserve"> routes are not affected by the road, it is likely to impact local movements, which could harm the local population. This requires special measures to ensure saigas can cross the railway at the most likely sites.</w:t>
      </w:r>
    </w:p>
    <w:p w14:paraId="29B6C9DE" w14:textId="77777777" w:rsidR="00945E54" w:rsidRPr="00A846C7" w:rsidRDefault="00945E54" w:rsidP="00E02069">
      <w:pPr>
        <w:pStyle w:val="ReportBodyPar"/>
      </w:pPr>
    </w:p>
    <w:p w14:paraId="11E8BA6E" w14:textId="17CE34FF" w:rsidR="00945E54" w:rsidRPr="000F7CBE" w:rsidRDefault="000F7CBE" w:rsidP="00E02069">
      <w:pPr>
        <w:pStyle w:val="ReportBodyPar"/>
      </w:pPr>
      <w:r w:rsidRPr="000F7CBE">
        <w:rPr>
          <w:lang w:val="en"/>
        </w:rPr>
        <w:t xml:space="preserve">A </w:t>
      </w:r>
      <w:r>
        <w:rPr>
          <w:lang w:val="ru-RU"/>
        </w:rPr>
        <w:t>С</w:t>
      </w:r>
      <w:r w:rsidRPr="000F7CBE">
        <w:rPr>
          <w:lang w:val="en"/>
        </w:rPr>
        <w:t xml:space="preserve">ritical </w:t>
      </w:r>
      <w:r>
        <w:t>H</w:t>
      </w:r>
      <w:r w:rsidRPr="000F7CBE">
        <w:rPr>
          <w:lang w:val="en"/>
        </w:rPr>
        <w:t>abitat screening was conducted using all available materials. It confirmed the existence of sensitive areas and identified areas requiring special attention during construction and railway operation. It was confirmed that the Project's impact on critical habitats would not be excessive and could be minimized by implementing the measures recommended in the Biodiversity Management Plan (BMP).</w:t>
      </w:r>
    </w:p>
    <w:p w14:paraId="553C1796" w14:textId="77777777" w:rsidR="00F61F8E" w:rsidRPr="002B3F36" w:rsidRDefault="00F61F8E">
      <w:pPr>
        <w:pStyle w:val="a5"/>
        <w:spacing w:before="94"/>
        <w:ind w:left="145" w:right="81"/>
        <w:jc w:val="both"/>
        <w:rPr>
          <w:rFonts w:ascii="Arial" w:eastAsia="Calibri" w:hAnsi="Arial" w:cs="Arial"/>
          <w:sz w:val="24"/>
          <w:szCs w:val="24"/>
          <w:lang w:eastAsia="en-GB"/>
        </w:rPr>
      </w:pPr>
    </w:p>
    <w:p w14:paraId="7D61A789" w14:textId="77777777" w:rsidR="00F61F8E" w:rsidRPr="002B3F36" w:rsidRDefault="000F264B" w:rsidP="005A68AD">
      <w:pPr>
        <w:pStyle w:val="31"/>
      </w:pPr>
      <w:bookmarkStart w:id="1967" w:name="_Toc208973821"/>
      <w:bookmarkStart w:id="1968" w:name="_Toc208974021"/>
      <w:bookmarkStart w:id="1969" w:name="_Toc208974221"/>
      <w:bookmarkStart w:id="1970" w:name="_Toc208974423"/>
      <w:bookmarkStart w:id="1971" w:name="_Toc208974631"/>
      <w:bookmarkStart w:id="1972" w:name="_Toc210589460"/>
      <w:r w:rsidRPr="002B3F36">
        <w:t>Protected Areas and Key Biodiversity Areas</w:t>
      </w:r>
      <w:bookmarkEnd w:id="1967"/>
      <w:bookmarkEnd w:id="1968"/>
      <w:bookmarkEnd w:id="1969"/>
      <w:bookmarkEnd w:id="1970"/>
      <w:bookmarkEnd w:id="1971"/>
      <w:bookmarkEnd w:id="1972"/>
    </w:p>
    <w:p w14:paraId="42243AEA" w14:textId="5C7A90B5" w:rsidR="00F61F8E" w:rsidRPr="002B3F36" w:rsidRDefault="000F264B">
      <w:pPr>
        <w:pStyle w:val="ReportBodyPar"/>
      </w:pPr>
      <w:r w:rsidRPr="002B3F36">
        <w:t>The alignment crosses environmentally sensitive zones, including two designated Important Bird Areas (IBAs) - the Ortav Lowlands and Ayak-Bestau - as well a small section of Cluster 2 Andasai Sanctuary</w:t>
      </w:r>
      <w:r w:rsidR="000F7CBE">
        <w:t xml:space="preserve"> (Fig. 12, 13)</w:t>
      </w:r>
      <w:r w:rsidRPr="002B3F36">
        <w:t>. These sites serve as critical habitats for migratory and breeding birds of prey, steppe specialists, and wetland-dependent species. They are nationally recognized under Kazakhstan’s Red Book and internationally under the IUCN Red List and contribute to Kazakhstan’s obligations under the Convention on Biological Diversity (CBD). Maintaining the ecological integrity of these areas is essential for biodiversity connectivity and the provision of ecosystem services at the regional scale.</w:t>
      </w:r>
    </w:p>
    <w:p w14:paraId="28CED63A" w14:textId="77777777" w:rsidR="00F61F8E" w:rsidRPr="002B3F36" w:rsidRDefault="00F61F8E">
      <w:pPr>
        <w:pStyle w:val="ReportBodyPar"/>
      </w:pPr>
    </w:p>
    <w:p w14:paraId="21FD272F" w14:textId="7E15F3C5" w:rsidR="00F61F8E" w:rsidRPr="002B3F36" w:rsidRDefault="000F264B" w:rsidP="00C743AC">
      <w:pPr>
        <w:pStyle w:val="ALetteritems"/>
        <w:rPr>
          <w:rFonts w:cs="Arial"/>
        </w:rPr>
      </w:pPr>
      <w:r w:rsidRPr="002B3F36">
        <w:rPr>
          <w:rFonts w:cs="Arial"/>
        </w:rPr>
        <w:t xml:space="preserve">Ayak-Bestau </w:t>
      </w:r>
      <w:r w:rsidR="000F7CBE">
        <w:rPr>
          <w:rFonts w:cs="Arial"/>
        </w:rPr>
        <w:t xml:space="preserve">Hills </w:t>
      </w:r>
      <w:r w:rsidRPr="002B3F36">
        <w:rPr>
          <w:rFonts w:cs="Arial"/>
        </w:rPr>
        <w:t>IBA</w:t>
      </w:r>
    </w:p>
    <w:p w14:paraId="07D5028B" w14:textId="77777777" w:rsidR="00F61F8E" w:rsidRPr="002B3F36" w:rsidRDefault="000F264B">
      <w:pPr>
        <w:pStyle w:val="ReportBodyPar"/>
      </w:pPr>
      <w:r w:rsidRPr="002B3F36">
        <w:t>Basic Feature:</w:t>
      </w:r>
    </w:p>
    <w:p w14:paraId="11CF3CC4" w14:textId="3E826527" w:rsidR="00F61F8E" w:rsidRPr="002B3F36" w:rsidRDefault="000F264B" w:rsidP="00C743AC">
      <w:pPr>
        <w:pStyle w:val="ReportBodyPar"/>
        <w:ind w:left="990"/>
      </w:pPr>
      <w:r w:rsidRPr="002B3F36">
        <w:t>Ayak-Bestau</w:t>
      </w:r>
      <w:r w:rsidR="000F7CBE">
        <w:t xml:space="preserve"> Hills</w:t>
      </w:r>
      <w:r w:rsidRPr="002B3F36">
        <w:t xml:space="preserve"> IBA № KZ063</w:t>
      </w:r>
    </w:p>
    <w:p w14:paraId="565AF81E" w14:textId="77777777" w:rsidR="00F61F8E" w:rsidRPr="002B3F36" w:rsidRDefault="000F264B" w:rsidP="00C743AC">
      <w:pPr>
        <w:pStyle w:val="ReportBodyPar"/>
        <w:ind w:left="990"/>
      </w:pPr>
      <w:r w:rsidRPr="002B3F36">
        <w:t>Criteria: A1, A3</w:t>
      </w:r>
    </w:p>
    <w:p w14:paraId="7AED6EF9" w14:textId="77777777" w:rsidR="00F61F8E" w:rsidRPr="002B3F36" w:rsidRDefault="000F264B" w:rsidP="00C743AC">
      <w:pPr>
        <w:pStyle w:val="ReportBodyPar"/>
        <w:ind w:left="990"/>
      </w:pPr>
      <w:r w:rsidRPr="002B3F36">
        <w:t>Area: 340410 ha</w:t>
      </w:r>
    </w:p>
    <w:p w14:paraId="01C74756" w14:textId="77777777" w:rsidR="00F61F8E" w:rsidRPr="002B3F36" w:rsidRDefault="000F264B" w:rsidP="00C743AC">
      <w:pPr>
        <w:pStyle w:val="ReportBodyPar"/>
        <w:ind w:left="990"/>
      </w:pPr>
      <w:r w:rsidRPr="002B3F36">
        <w:t>Nature conservation status: not protected (as per BMP Report)</w:t>
      </w:r>
    </w:p>
    <w:p w14:paraId="550871E7" w14:textId="3D48D9B4" w:rsidR="00F61F8E" w:rsidRPr="002B3F36" w:rsidRDefault="000F264B">
      <w:pPr>
        <w:pStyle w:val="ReportBodyPar"/>
      </w:pPr>
      <w:r w:rsidRPr="002B3F36">
        <w:t xml:space="preserve">The Ayak-Bestau </w:t>
      </w:r>
      <w:r w:rsidR="000F7CBE">
        <w:t xml:space="preserve">Hills </w:t>
      </w:r>
      <w:r w:rsidRPr="002B3F36">
        <w:t>IBA is a small massif situated on the left bank of the Sarysu River, representing a mosaic of steppe and semi-desert habitats interspersed with ridges oriented in a latitudinal direction. These ridges are characterized by rock outcrops along slopes and peaks, while inter-valley depressions often support thickets of shrubs such as Spiraea and Caragana. The hydrological network is weakly developed; ephemeral streams generally desiccate by mid-summer, leaving only isolated stagnant pools in rocky basins. Salt flats are a recurrent feature in valley bottoms, contributing to the heterogeneity of the landscape. Overall, this setting exemplifies a dry steppe ecosystem with semi-desert intrusions, typical of the periphery of the Kazakh Lowlands.</w:t>
      </w:r>
    </w:p>
    <w:p w14:paraId="40068595" w14:textId="77777777" w:rsidR="00F61F8E" w:rsidRPr="002B3F36" w:rsidRDefault="00F61F8E">
      <w:pPr>
        <w:pStyle w:val="ReportBodyPar"/>
      </w:pPr>
    </w:p>
    <w:p w14:paraId="553F8DBA" w14:textId="31B309B0" w:rsidR="00F61F8E" w:rsidRPr="002B3F36" w:rsidRDefault="000F264B">
      <w:pPr>
        <w:pStyle w:val="ReportBodyPar"/>
      </w:pPr>
      <w:r w:rsidRPr="002B3F36">
        <w:t xml:space="preserve">From a biodiversity perspective, the massif supports globally threatened avifauna of high conservation significance under </w:t>
      </w:r>
      <w:r w:rsidR="00163238" w:rsidRPr="002B3F36">
        <w:t>WB PS</w:t>
      </w:r>
      <w:r w:rsidRPr="002B3F36">
        <w:t>6. The area is recognized as a mass nesting site for the lesser kestrel (</w:t>
      </w:r>
      <w:r w:rsidRPr="002B3F36">
        <w:rPr>
          <w:i/>
        </w:rPr>
        <w:t>Falco naumanni</w:t>
      </w:r>
      <w:r w:rsidRPr="002B3F36">
        <w:t>), which forms colonies of 5–10 pairs on virtually all available rock outcrops. It also provides critical habitat for the saker falcon (</w:t>
      </w:r>
      <w:r w:rsidRPr="002B3F36">
        <w:rPr>
          <w:i/>
        </w:rPr>
        <w:t>Falco cherrug</w:t>
      </w:r>
      <w:r w:rsidRPr="002B3F36">
        <w:t>) and the pallid harrier (</w:t>
      </w:r>
      <w:r w:rsidRPr="002B3F36">
        <w:rPr>
          <w:i/>
        </w:rPr>
        <w:t>Circus macrourus),</w:t>
      </w:r>
      <w:r w:rsidRPr="002B3F36">
        <w:t xml:space="preserve"> both of which are listed as globally threatened. The site further represents the southernmost extent of a large nesting population of the steppe eagle (Aquila nipalensis), while additional raptors include the eagle owl (</w:t>
      </w:r>
      <w:r w:rsidRPr="002B3F36">
        <w:rPr>
          <w:i/>
        </w:rPr>
        <w:t>Bubo bubo)</w:t>
      </w:r>
      <w:r w:rsidRPr="002B3F36">
        <w:t>, the long-legged buzzard (</w:t>
      </w:r>
      <w:r w:rsidRPr="002B3F36">
        <w:rPr>
          <w:i/>
        </w:rPr>
        <w:t>Buteo rufinus</w:t>
      </w:r>
      <w:r w:rsidRPr="002B3F36">
        <w:t>)</w:t>
      </w:r>
      <w:r w:rsidR="00F36C09" w:rsidRPr="002B3F36">
        <w:t xml:space="preserve"> - </w:t>
      </w:r>
      <w:r w:rsidRPr="002B3F36">
        <w:t>notably nesting both on cliffs and any powerline structures -and the short-toed snake eagle (</w:t>
      </w:r>
      <w:r w:rsidRPr="002B3F36">
        <w:rPr>
          <w:i/>
        </w:rPr>
        <w:t>Circaetus gallicus</w:t>
      </w:r>
      <w:r w:rsidRPr="002B3F36">
        <w:t>), recorded sporadically. In floodplain habitats, the pallid harrier (</w:t>
      </w:r>
      <w:r w:rsidRPr="002B3F36">
        <w:rPr>
          <w:i/>
        </w:rPr>
        <w:t>Circus macrourus</w:t>
      </w:r>
      <w:r w:rsidRPr="002B3F36">
        <w:t>) is frequent, though it is generally outnumbered by the Montagu’s harrier (</w:t>
      </w:r>
      <w:r w:rsidRPr="002B3F36">
        <w:rPr>
          <w:i/>
        </w:rPr>
        <w:t>Circus pygargus</w:t>
      </w:r>
      <w:r w:rsidRPr="002B3F36">
        <w:t>) in steppe and shrub-steppe biotopes. Other characteristic steppe avifauna recorded include the demoiselle crane (</w:t>
      </w:r>
      <w:r w:rsidRPr="002B3F36">
        <w:rPr>
          <w:i/>
        </w:rPr>
        <w:t xml:space="preserve">Grus </w:t>
      </w:r>
      <w:r w:rsidRPr="002B3F36">
        <w:rPr>
          <w:i/>
        </w:rPr>
        <w:lastRenderedPageBreak/>
        <w:t>virgo</w:t>
      </w:r>
      <w:r w:rsidRPr="002B3F36">
        <w:t>) and the black lark (</w:t>
      </w:r>
      <w:r w:rsidRPr="002B3F36">
        <w:rPr>
          <w:i/>
        </w:rPr>
        <w:t>Melanocorypha yeltoniensis</w:t>
      </w:r>
      <w:r w:rsidRPr="002B3F36">
        <w:t>), both species of regional and international conservation concern.</w:t>
      </w:r>
    </w:p>
    <w:p w14:paraId="022D084B" w14:textId="77777777" w:rsidR="00F61F8E" w:rsidRPr="002B3F36" w:rsidRDefault="00F61F8E">
      <w:pPr>
        <w:pStyle w:val="ReportBodyPar"/>
      </w:pPr>
    </w:p>
    <w:p w14:paraId="14A3D20E" w14:textId="7B239BED" w:rsidR="00F61F8E" w:rsidRPr="002B3F36" w:rsidRDefault="000F264B">
      <w:pPr>
        <w:pStyle w:val="ReportBodyPar"/>
      </w:pPr>
      <w:r w:rsidRPr="002B3F36">
        <w:t xml:space="preserve">No additional records of threatened mammal, reptile, or amphibian species have been reported for the massif; however, the ecological characteristics of the habitat suggest </w:t>
      </w:r>
      <w:r w:rsidR="000F7CBE">
        <w:t xml:space="preserve">the presense of some more typical species of plants and animals: </w:t>
      </w:r>
      <w:r w:rsidR="000F7CBE" w:rsidRPr="001B61B0">
        <w:rPr>
          <w:rFonts w:eastAsia="Times New Roman"/>
          <w:color w:val="222222"/>
          <w:lang w:eastAsia="en-PH"/>
        </w:rPr>
        <w:t>plants - species of wormwood, fescue, feather grass, caragana, spirea, sveda, tulips</w:t>
      </w:r>
      <w:r w:rsidR="000F7CBE">
        <w:rPr>
          <w:rFonts w:eastAsia="Times New Roman"/>
          <w:color w:val="222222"/>
          <w:lang w:eastAsia="en-PH"/>
        </w:rPr>
        <w:t>; m</w:t>
      </w:r>
      <w:r w:rsidR="000F7CBE" w:rsidRPr="001B61B0">
        <w:rPr>
          <w:rFonts w:eastAsia="Times New Roman"/>
          <w:color w:val="222222"/>
          <w:lang w:eastAsia="en-PH"/>
        </w:rPr>
        <w:t>ammals - saiga, corsac and tolay hare</w:t>
      </w:r>
      <w:r w:rsidR="000F7CBE">
        <w:rPr>
          <w:rFonts w:eastAsia="Times New Roman"/>
          <w:color w:val="222222"/>
          <w:lang w:eastAsia="en-PH"/>
        </w:rPr>
        <w:t>; b</w:t>
      </w:r>
      <w:r w:rsidR="000F7CBE" w:rsidRPr="001B61B0">
        <w:rPr>
          <w:rFonts w:eastAsia="Times New Roman"/>
          <w:color w:val="222222"/>
          <w:lang w:eastAsia="en-PH"/>
        </w:rPr>
        <w:t>irds - steppe eagle, golden eagle, bustard and larks</w:t>
      </w:r>
      <w:r w:rsidR="000F7CBE">
        <w:rPr>
          <w:rFonts w:eastAsia="Times New Roman"/>
          <w:color w:val="222222"/>
          <w:lang w:eastAsia="en-PH"/>
        </w:rPr>
        <w:t>; r</w:t>
      </w:r>
      <w:r w:rsidR="000F7CBE" w:rsidRPr="002E185F">
        <w:rPr>
          <w:rFonts w:eastAsia="Times New Roman"/>
          <w:color w:val="222222"/>
          <w:lang w:eastAsia="en-PH"/>
        </w:rPr>
        <w:t>eptiles - quick lizard, roundhead, and steppe viper</w:t>
      </w:r>
      <w:r w:rsidR="000F7CBE">
        <w:rPr>
          <w:rFonts w:eastAsia="Times New Roman"/>
          <w:color w:val="222222"/>
          <w:lang w:eastAsia="en-PH"/>
        </w:rPr>
        <w:t>.</w:t>
      </w:r>
      <w:r w:rsidRPr="002B3F36">
        <w:t xml:space="preserve"> Conservation pressures are presently low due to the area’s limited development and isolation. Livestock grazing occurs but at a low stocking density, and no industrial pressures or significant land conversion have been recorded. Under </w:t>
      </w:r>
      <w:r w:rsidR="00163238" w:rsidRPr="002B3F36">
        <w:t>WB PS</w:t>
      </w:r>
      <w:r w:rsidRPr="002B3F36">
        <w:t>6, the massif therefore constitutes a natural habitat with elements of potential critical habitat, given the mass nesting colonies of globally threatened raptors. Careful management and avoidance of disturbance during construction activities will be essential to safeguard its ecological integrity.</w:t>
      </w:r>
    </w:p>
    <w:p w14:paraId="6BBE2E64" w14:textId="77777777" w:rsidR="00F61F8E" w:rsidRPr="002B3F36" w:rsidRDefault="00F61F8E">
      <w:pPr>
        <w:pStyle w:val="ReportBodyPar"/>
      </w:pPr>
    </w:p>
    <w:p w14:paraId="7A0691DC" w14:textId="2021DD6B" w:rsidR="00F61F8E" w:rsidRPr="002B3F36" w:rsidRDefault="000F264B" w:rsidP="000E123E">
      <w:pPr>
        <w:pStyle w:val="ALetteritems"/>
        <w:rPr>
          <w:rFonts w:cs="Arial"/>
        </w:rPr>
      </w:pPr>
      <w:r w:rsidRPr="002B3F36">
        <w:rPr>
          <w:rFonts w:cs="Arial"/>
        </w:rPr>
        <w:t xml:space="preserve"> Ortau</w:t>
      </w:r>
      <w:r w:rsidR="008F1569">
        <w:rPr>
          <w:rFonts w:cs="Arial"/>
          <w:lang w:val="ru-RU"/>
        </w:rPr>
        <w:t xml:space="preserve"> </w:t>
      </w:r>
      <w:r w:rsidR="008F1569">
        <w:rPr>
          <w:rFonts w:cs="Arial"/>
        </w:rPr>
        <w:t>Upland Massif</w:t>
      </w:r>
    </w:p>
    <w:p w14:paraId="69169589" w14:textId="77777777" w:rsidR="00F61F8E" w:rsidRPr="002B3F36" w:rsidRDefault="000F264B">
      <w:pPr>
        <w:pStyle w:val="ReportBodyPar"/>
      </w:pPr>
      <w:r w:rsidRPr="002B3F36">
        <w:t>Basic Feature:</w:t>
      </w:r>
    </w:p>
    <w:p w14:paraId="2273A946" w14:textId="4E381156" w:rsidR="00F61F8E" w:rsidRPr="002B3F36" w:rsidRDefault="000F264B" w:rsidP="000E123E">
      <w:pPr>
        <w:pStyle w:val="ReportBodyPar"/>
        <w:ind w:left="990"/>
      </w:pPr>
      <w:r w:rsidRPr="002B3F36">
        <w:t xml:space="preserve">Ortau </w:t>
      </w:r>
      <w:r w:rsidR="008F1569">
        <w:t xml:space="preserve">Upland Massif </w:t>
      </w:r>
      <w:r w:rsidRPr="002B3F36">
        <w:t>IBA No. KZ064</w:t>
      </w:r>
    </w:p>
    <w:p w14:paraId="4A31A99C" w14:textId="77777777" w:rsidR="00F61F8E" w:rsidRPr="002B3F36" w:rsidRDefault="000F264B" w:rsidP="000E123E">
      <w:pPr>
        <w:pStyle w:val="ReportBodyPar"/>
        <w:ind w:left="990"/>
      </w:pPr>
      <w:r w:rsidRPr="002B3F36">
        <w:t>Criteria: A1, A3, A4ii</w:t>
      </w:r>
    </w:p>
    <w:p w14:paraId="6E44B4F0" w14:textId="77777777" w:rsidR="00F61F8E" w:rsidRPr="002B3F36" w:rsidRDefault="000F264B" w:rsidP="000E123E">
      <w:pPr>
        <w:pStyle w:val="ReportBodyPar"/>
        <w:ind w:left="990"/>
      </w:pPr>
      <w:r w:rsidRPr="002B3F36">
        <w:t>Area: 1071750 ha</w:t>
      </w:r>
    </w:p>
    <w:p w14:paraId="5CDE5146" w14:textId="77777777" w:rsidR="00F61F8E" w:rsidRPr="002B3F36" w:rsidRDefault="000F264B" w:rsidP="000E123E">
      <w:pPr>
        <w:pStyle w:val="ReportBodyPar"/>
        <w:ind w:left="990"/>
      </w:pPr>
      <w:r w:rsidRPr="002B3F36">
        <w:t>Nature conservation status: not protected</w:t>
      </w:r>
    </w:p>
    <w:p w14:paraId="57E0CE75" w14:textId="57FDE450" w:rsidR="00F61F8E" w:rsidRPr="002B3F36" w:rsidRDefault="000F264B">
      <w:pPr>
        <w:pStyle w:val="ReportBodyPar"/>
      </w:pPr>
      <w:r w:rsidRPr="002B3F36">
        <w:t xml:space="preserve">The Ortau </w:t>
      </w:r>
      <w:r w:rsidR="008F1569">
        <w:t>Upland Massif</w:t>
      </w:r>
      <w:r w:rsidRPr="002B3F36">
        <w:t>, located within the watershed of the Sarysu River basin and Lake Balkhash, form a rugged landscape dominated by extensive granite intrusions and low-mountain massifs. The area supports a diverse mosaic of habitats, including kolkov and uremic forests restricted to gorges and river valleys, as well as open steppe and semi-desert vegetation across intermontane plains. Forest stands are relatively small and fragmented, comprising predominantly aspen (</w:t>
      </w:r>
      <w:r w:rsidRPr="002B3F36">
        <w:rPr>
          <w:i/>
        </w:rPr>
        <w:t>Populus tremula</w:t>
      </w:r>
      <w:r w:rsidRPr="002B3F36">
        <w:t>), with minor representation of birch (</w:t>
      </w:r>
      <w:r w:rsidRPr="002B3F36">
        <w:rPr>
          <w:i/>
        </w:rPr>
        <w:t>Betula spp</w:t>
      </w:r>
      <w:r w:rsidRPr="002B3F36">
        <w:t>.), willow (</w:t>
      </w:r>
      <w:r w:rsidRPr="002B3F36">
        <w:rPr>
          <w:i/>
        </w:rPr>
        <w:t>Salix spp.</w:t>
      </w:r>
      <w:r w:rsidRPr="002B3F36">
        <w:t>), and bird cherry (</w:t>
      </w:r>
      <w:r w:rsidRPr="002B3F36">
        <w:rPr>
          <w:i/>
        </w:rPr>
        <w:t>Prunus padus</w:t>
      </w:r>
      <w:r w:rsidRPr="002B3F36">
        <w:t>), while the southern sector supports denser patches of pure aspen. Habitat distribution across the IBA reflects the heterogeneity of the terrain: open grassland communities occupy approximately 50% of the area, rocky outcrops and screes 30%, shrublands 13%, semi-desert patches 3%, forest 3%, and wetlands 1%, the latter confined to depressions and waterlogged hollows where tall grass meadows develop. This habitat diversity sustains a structurally complex ecological system typical of the Kazakh steppe biome.</w:t>
      </w:r>
    </w:p>
    <w:p w14:paraId="665D4B26" w14:textId="77777777" w:rsidR="00F61F8E" w:rsidRPr="002B3F36" w:rsidRDefault="00F61F8E">
      <w:pPr>
        <w:pStyle w:val="ReportBodyPar"/>
      </w:pPr>
    </w:p>
    <w:p w14:paraId="2418D92F" w14:textId="422CA342" w:rsidR="00F61F8E" w:rsidRPr="002B3F36" w:rsidRDefault="000F264B">
      <w:pPr>
        <w:pStyle w:val="ReportBodyPar"/>
      </w:pPr>
      <w:r w:rsidRPr="002B3F36">
        <w:t xml:space="preserve">Avifauna of the Ortau </w:t>
      </w:r>
      <w:r w:rsidR="008F1569">
        <w:t>Upland Massif</w:t>
      </w:r>
      <w:r w:rsidRPr="002B3F36">
        <w:t xml:space="preserve"> is of exceptional conservation significance under </w:t>
      </w:r>
      <w:r w:rsidR="00163238" w:rsidRPr="002B3F36">
        <w:t>WB PS</w:t>
      </w:r>
      <w:r w:rsidRPr="002B3F36">
        <w:t>6, with the area functioning as an Important Bird Area (IBA) and supporting globally threatened raptor populations. Of particular importance is the presence of a very large pallid harrier (</w:t>
      </w:r>
      <w:r w:rsidRPr="002B3F36">
        <w:rPr>
          <w:i/>
        </w:rPr>
        <w:t>Circus macrourus</w:t>
      </w:r>
      <w:r w:rsidRPr="002B3F36">
        <w:t>) breeding population, exceeding 2,000 pairs, marking the site as one of the most critical strongholds for the species across the Eurasian steppe. The area also sustains a stable and regionally significant population of the saker falcon (</w:t>
      </w:r>
      <w:r w:rsidRPr="002B3F36">
        <w:rPr>
          <w:i/>
        </w:rPr>
        <w:t>Falco cherrug</w:t>
      </w:r>
      <w:r w:rsidRPr="002B3F36">
        <w:t>), a species listed as Endangered on the IUCN Red List. Additional raptors recorded include the golden eagle (</w:t>
      </w:r>
      <w:r w:rsidRPr="002B3F36">
        <w:rPr>
          <w:i/>
        </w:rPr>
        <w:t>Aquila chrysaetos</w:t>
      </w:r>
      <w:r w:rsidRPr="002B3F36">
        <w:t>), short-toed snake eagle (</w:t>
      </w:r>
      <w:r w:rsidRPr="002B3F36">
        <w:rPr>
          <w:i/>
        </w:rPr>
        <w:t>Circaetus gallicus</w:t>
      </w:r>
      <w:r w:rsidRPr="002B3F36">
        <w:t>), booted eagle (</w:t>
      </w:r>
      <w:r w:rsidRPr="002B3F36">
        <w:rPr>
          <w:i/>
        </w:rPr>
        <w:t>Hieraaetus pennatus</w:t>
      </w:r>
      <w:r w:rsidRPr="002B3F36">
        <w:t>), long-legged buzzard (</w:t>
      </w:r>
      <w:r w:rsidRPr="002B3F36">
        <w:rPr>
          <w:i/>
        </w:rPr>
        <w:t>Buteo rufinus</w:t>
      </w:r>
      <w:r w:rsidRPr="002B3F36">
        <w:t>), and steppe kestrel (</w:t>
      </w:r>
      <w:r w:rsidRPr="002B3F36">
        <w:rPr>
          <w:i/>
        </w:rPr>
        <w:t>Falco naumanni</w:t>
      </w:r>
      <w:r w:rsidRPr="002B3F36">
        <w:t>), which nests colonially in granite outcrops. Forest patches provide breeding habitat for species such as the black stork (</w:t>
      </w:r>
      <w:r w:rsidRPr="002B3F36">
        <w:rPr>
          <w:i/>
        </w:rPr>
        <w:t>Ciconia nigra</w:t>
      </w:r>
      <w:r w:rsidRPr="002B3F36">
        <w:t>), sparrowhawk (</w:t>
      </w:r>
      <w:r w:rsidRPr="002B3F36">
        <w:rPr>
          <w:i/>
        </w:rPr>
        <w:t>Accipiter nisus</w:t>
      </w:r>
      <w:r w:rsidRPr="002B3F36">
        <w:t>), common kestrel (</w:t>
      </w:r>
      <w:r w:rsidRPr="002B3F36">
        <w:rPr>
          <w:i/>
        </w:rPr>
        <w:t>Falco tinnunculus</w:t>
      </w:r>
      <w:r w:rsidRPr="002B3F36">
        <w:t>), and long-eared owl (</w:t>
      </w:r>
      <w:r w:rsidRPr="002B3F36">
        <w:rPr>
          <w:i/>
        </w:rPr>
        <w:t>Asio otus</w:t>
      </w:r>
      <w:r w:rsidRPr="002B3F36">
        <w:t>), while riverine cliffs host nesting colonies of the ruddy shelduck (</w:t>
      </w:r>
      <w:r w:rsidRPr="002B3F36">
        <w:rPr>
          <w:i/>
        </w:rPr>
        <w:t>Tadorna ferruginea</w:t>
      </w:r>
      <w:r w:rsidRPr="002B3F36">
        <w:t>). Other steppe and shrubland specialists include the black grouse (</w:t>
      </w:r>
      <w:r w:rsidRPr="002B3F36">
        <w:rPr>
          <w:i/>
        </w:rPr>
        <w:t>Tetrao tetrix</w:t>
      </w:r>
      <w:r w:rsidRPr="002B3F36">
        <w:t>) and various harrier species, underscoring the site’s role as a key steppe biome bird assemblage area.</w:t>
      </w:r>
    </w:p>
    <w:p w14:paraId="68509486" w14:textId="77777777" w:rsidR="00F61F8E" w:rsidRPr="002B3F36" w:rsidRDefault="00F61F8E">
      <w:pPr>
        <w:pStyle w:val="ReportBodyPar"/>
      </w:pPr>
    </w:p>
    <w:p w14:paraId="765EB836" w14:textId="77777777" w:rsidR="00F61F8E" w:rsidRPr="002B3F36" w:rsidRDefault="000F264B">
      <w:pPr>
        <w:pStyle w:val="ReportBodyPar"/>
      </w:pPr>
      <w:r w:rsidRPr="002B3F36">
        <w:t>Mammalian fauna includes populations of the argali sheep (</w:t>
      </w:r>
      <w:r w:rsidRPr="002B3F36">
        <w:rPr>
          <w:i/>
        </w:rPr>
        <w:t>Ovis ammon collium</w:t>
      </w:r>
      <w:r w:rsidRPr="002B3F36">
        <w:t>), a species of regional conservation concern listed as Near Threatened (IUCN) and in the Red Book of Kazakhstan, which depends on rocky massifs for shelter and grazing. The broader predator-prey dynamics of the landscape are supported by species such as the steppe pika, hare, and grouse, which form the principal prey base for raptors and mammalian carnivores.</w:t>
      </w:r>
    </w:p>
    <w:p w14:paraId="2ACDE029" w14:textId="77777777" w:rsidR="00F61F8E" w:rsidRPr="002B3F36" w:rsidRDefault="00F61F8E">
      <w:pPr>
        <w:pStyle w:val="ReportBodyPar"/>
      </w:pPr>
    </w:p>
    <w:p w14:paraId="371D5824" w14:textId="77777777" w:rsidR="00F61F8E" w:rsidRPr="002B3F36" w:rsidRDefault="000F264B">
      <w:pPr>
        <w:pStyle w:val="ReportBodyPar"/>
      </w:pPr>
      <w:r w:rsidRPr="002B3F36">
        <w:t>While the landscape remains largely intact and lightly used, several conservation threats are present. Moderate livestock grazing is common but has not significantly degraded habitats. The principal risk arises from uncontrolled vegetation burning, which can result in forest fires, loss of juniper stands on granite outcrops, and the destruction of nesting sites, particularly for harriers. These fires also reduce prey availability for predators. In addition, illegal hunting of the saker falcon has been reported, posing a direct threat to this globally threatened species.</w:t>
      </w:r>
    </w:p>
    <w:p w14:paraId="7BCB2F59" w14:textId="77777777" w:rsidR="00F61F8E" w:rsidRPr="002B3F36" w:rsidRDefault="00F61F8E">
      <w:pPr>
        <w:pStyle w:val="ReportBodyPar"/>
      </w:pPr>
    </w:p>
    <w:p w14:paraId="3CE4541B" w14:textId="457FFEC8" w:rsidR="00F61F8E" w:rsidRPr="002B3F36" w:rsidRDefault="000F264B">
      <w:pPr>
        <w:pStyle w:val="ReportBodyPar"/>
      </w:pPr>
      <w:r w:rsidRPr="002B3F36">
        <w:t xml:space="preserve">In essence, the Ortau </w:t>
      </w:r>
      <w:r w:rsidR="008F1569">
        <w:t>Upland Massif</w:t>
      </w:r>
      <w:r w:rsidR="008F1569" w:rsidRPr="002B3F36">
        <w:t xml:space="preserve"> </w:t>
      </w:r>
      <w:r w:rsidRPr="002B3F36">
        <w:t xml:space="preserve">represent a natural habitat of high ecological integrity with strong potential to qualify as critical habitat under </w:t>
      </w:r>
      <w:r w:rsidR="00163238" w:rsidRPr="002B3F36">
        <w:t>WB PS</w:t>
      </w:r>
      <w:r w:rsidRPr="002B3F36">
        <w:t xml:space="preserve">6, given the site’s globally significant raptor populations (notably pallid harrier and saker falcon), presence of Red Book species, and its role in maintaining steppe biome bird assemblages. Management measures for the railway project in proximity to this area must prioritize avoidance of disturbance, robust fire management strategies, and the implementation of a strict anti-poaching and chance-find procedure to ensure compliance with </w:t>
      </w:r>
      <w:r w:rsidR="00163238" w:rsidRPr="002B3F36">
        <w:t>WB PS</w:t>
      </w:r>
      <w:r w:rsidRPr="002B3F36">
        <w:t>6 requirements.</w:t>
      </w:r>
    </w:p>
    <w:p w14:paraId="1E7B6382" w14:textId="77777777" w:rsidR="00F61F8E" w:rsidRPr="002B3F36" w:rsidRDefault="00F61F8E">
      <w:pPr>
        <w:pStyle w:val="ReportBodyPar"/>
      </w:pPr>
    </w:p>
    <w:p w14:paraId="7EA52194" w14:textId="77777777" w:rsidR="00F61F8E" w:rsidRPr="002B3F36" w:rsidRDefault="000F264B">
      <w:pPr>
        <w:pStyle w:val="ReportParagraph"/>
      </w:pPr>
      <w:r w:rsidRPr="002B3F36">
        <w:t>The alignment intersects two designated Important Bird and Biodiversity Areas (IBAs). The first crossing occurs between chainage km 46.0 and km 87.0, corresponding to IBA KZ063 (Ayak Bestau) along its northern boundary. The second involves IBA KZ064 (Ortau Lowlands), with the alignment traversing this site at two distinct segments: km 176.6–km 252.37 and km 260.9–km 271.0. The crossing points for the two IBAs are shown in the map below.</w:t>
      </w:r>
    </w:p>
    <w:p w14:paraId="2006232D" w14:textId="77777777" w:rsidR="00F61F8E" w:rsidRPr="002B3F36" w:rsidRDefault="00F61F8E">
      <w:pPr>
        <w:pStyle w:val="ReportParagraph"/>
      </w:pPr>
    </w:p>
    <w:p w14:paraId="26804B4B" w14:textId="77777777" w:rsidR="00F61F8E" w:rsidRPr="002B3F36" w:rsidRDefault="000F264B" w:rsidP="00D153B7">
      <w:pPr>
        <w:pStyle w:val="ReportParagraph"/>
        <w:jc w:val="center"/>
      </w:pPr>
      <w:r w:rsidRPr="002B3F36">
        <w:rPr>
          <w:noProof/>
        </w:rPr>
        <w:drawing>
          <wp:inline distT="0" distB="0" distL="0" distR="0" wp14:anchorId="501D7E97" wp14:editId="48144B89">
            <wp:extent cx="6213475" cy="3218815"/>
            <wp:effectExtent l="19050" t="19050" r="15875" b="19685"/>
            <wp:docPr id="103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49" cstate="print"/>
                    <a:srcRect/>
                    <a:stretch/>
                  </pic:blipFill>
                  <pic:spPr>
                    <a:xfrm>
                      <a:off x="0" y="0"/>
                      <a:ext cx="6213475" cy="3218815"/>
                    </a:xfrm>
                    <a:prstGeom prst="rect">
                      <a:avLst/>
                    </a:prstGeom>
                    <a:ln w="3175">
                      <a:solidFill>
                        <a:schemeClr val="tx1"/>
                      </a:solidFill>
                    </a:ln>
                  </pic:spPr>
                </pic:pic>
              </a:graphicData>
            </a:graphic>
          </wp:inline>
        </w:drawing>
      </w:r>
    </w:p>
    <w:p w14:paraId="22D53CD6" w14:textId="5A5E1665" w:rsidR="00F61F8E" w:rsidRPr="002B3F36" w:rsidRDefault="00EE44C4" w:rsidP="008F08BA">
      <w:pPr>
        <w:pStyle w:val="FigureCaption"/>
        <w:rPr>
          <w:rFonts w:cs="Arial"/>
        </w:rPr>
      </w:pPr>
      <w:bookmarkStart w:id="1973" w:name="_Toc210589601"/>
      <w:r w:rsidRPr="002B3F36">
        <w:rPr>
          <w:rFonts w:cs="Arial"/>
        </w:rPr>
        <w:t xml:space="preserve">Figure </w:t>
      </w:r>
      <w:r w:rsidR="00CF113E" w:rsidRPr="002B3F36">
        <w:rPr>
          <w:rFonts w:cs="Arial"/>
        </w:rPr>
        <w:fldChar w:fldCharType="begin"/>
      </w:r>
      <w:r w:rsidR="00CF113E" w:rsidRPr="002B3F36">
        <w:rPr>
          <w:rFonts w:cs="Arial"/>
        </w:rPr>
        <w:instrText xml:space="preserve"> SEQ Figure \* ARABIC </w:instrText>
      </w:r>
      <w:r w:rsidR="00CF113E" w:rsidRPr="002B3F36">
        <w:rPr>
          <w:rFonts w:cs="Arial"/>
        </w:rPr>
        <w:fldChar w:fldCharType="separate"/>
      </w:r>
      <w:r w:rsidR="002B3F36">
        <w:rPr>
          <w:rFonts w:cs="Arial"/>
          <w:noProof/>
        </w:rPr>
        <w:t>12</w:t>
      </w:r>
      <w:r w:rsidR="00CF113E" w:rsidRPr="002B3F36">
        <w:rPr>
          <w:rFonts w:cs="Arial"/>
        </w:rPr>
        <w:fldChar w:fldCharType="end"/>
      </w:r>
      <w:r w:rsidRPr="002B3F36">
        <w:rPr>
          <w:rFonts w:cs="Arial"/>
        </w:rPr>
        <w:t>: Railway Alignment Crossing at 2 IBAs</w:t>
      </w:r>
      <w:bookmarkEnd w:id="1973"/>
    </w:p>
    <w:p w14:paraId="698BA73F" w14:textId="77777777" w:rsidR="00F61F8E" w:rsidRPr="002B3F36" w:rsidRDefault="00F61F8E">
      <w:pPr>
        <w:pStyle w:val="ReportBodyPar"/>
      </w:pPr>
    </w:p>
    <w:p w14:paraId="544585B2" w14:textId="77777777" w:rsidR="00F61F8E" w:rsidRPr="002B3F36" w:rsidRDefault="000F264B" w:rsidP="005A68AD">
      <w:pPr>
        <w:pStyle w:val="31"/>
      </w:pPr>
      <w:bookmarkStart w:id="1974" w:name="_Toc208973822"/>
      <w:bookmarkStart w:id="1975" w:name="_Toc208974022"/>
      <w:bookmarkStart w:id="1976" w:name="_Toc208974222"/>
      <w:bookmarkStart w:id="1977" w:name="_Toc208974424"/>
      <w:bookmarkStart w:id="1978" w:name="_Toc208974632"/>
      <w:bookmarkStart w:id="1979" w:name="_Toc210589461"/>
      <w:bookmarkStart w:id="1980" w:name="_Toc206218439"/>
      <w:r w:rsidRPr="002B3F36">
        <w:lastRenderedPageBreak/>
        <w:t>The Andasai Nature Sanctuary</w:t>
      </w:r>
      <w:bookmarkEnd w:id="1974"/>
      <w:bookmarkEnd w:id="1975"/>
      <w:bookmarkEnd w:id="1976"/>
      <w:bookmarkEnd w:id="1977"/>
      <w:bookmarkEnd w:id="1978"/>
      <w:bookmarkEnd w:id="1979"/>
      <w:r w:rsidRPr="002B3F36">
        <w:t xml:space="preserve"> </w:t>
      </w:r>
      <w:bookmarkEnd w:id="1980"/>
    </w:p>
    <w:p w14:paraId="0A26ED50" w14:textId="77777777" w:rsidR="00F61F8E" w:rsidRPr="002B3F36" w:rsidRDefault="00F61F8E">
      <w:pPr>
        <w:pStyle w:val="ReportBodyPar"/>
      </w:pPr>
    </w:p>
    <w:p w14:paraId="126ABBE8" w14:textId="56197B3E" w:rsidR="00F61F8E" w:rsidRPr="002B3F36" w:rsidRDefault="000F264B">
      <w:pPr>
        <w:pStyle w:val="ReportBodyPar"/>
      </w:pPr>
      <w:r w:rsidRPr="002B3F36">
        <w:t>Based on initial assessment, the Greenfield Project crosses Andasa</w:t>
      </w:r>
      <w:r w:rsidR="007E279F" w:rsidRPr="002B3F36">
        <w:t>i</w:t>
      </w:r>
      <w:r w:rsidRPr="002B3F36">
        <w:t xml:space="preserve"> Sanctuary Cluster 2 at km260.6 to km277.1, while it is 11km away from Cluster 1. Activities within or near its boundaries are subject to regulatory oversight, and any encroachment from infrastructure projects—such as railway development—requires environmental approvals, including biodiversity assessments, and the implementation of mitigation measures aligned with both national law and international standards like WB Performance Standard 6 (PS6) </w:t>
      </w:r>
    </w:p>
    <w:p w14:paraId="23B75C58" w14:textId="77777777" w:rsidR="00F61F8E" w:rsidRPr="002B3F36" w:rsidRDefault="00F61F8E">
      <w:pPr>
        <w:pStyle w:val="ReportBodyTextNogap"/>
      </w:pPr>
    </w:p>
    <w:p w14:paraId="4C5E6420" w14:textId="3EA630EF" w:rsidR="00F61F8E" w:rsidRPr="002B3F36" w:rsidRDefault="000F264B">
      <w:pPr>
        <w:pStyle w:val="ReportBodyTextNogap"/>
      </w:pPr>
      <w:r w:rsidRPr="002B3F36">
        <w:t xml:space="preserve">Andasai’s importance lies in its role as a regional ecological corridor, contributing to the continuity of steppe habitats and offering seasonal refuge for wildlife. However, as a zakaznik, it does not enjoy the highest level of protection. Some regulated land use is permitted, and its enforcement is typically less stringent than in state nature reserves or national parks. Moreover, the presence of the A17 </w:t>
      </w:r>
      <w:r w:rsidR="003A184C">
        <w:t>Karagandy</w:t>
      </w:r>
      <w:r w:rsidRPr="002B3F36">
        <w:t>–Zhezkazgan highway and consistent vehicular traffic near the area acts as a deterrent for larger mammals, reducing their frequency of movement through the sanctuary and diminishing its function as a high-density wildlife zone.</w:t>
      </w:r>
    </w:p>
    <w:p w14:paraId="5C33F664" w14:textId="77777777" w:rsidR="00F61F8E" w:rsidRPr="002B3F36" w:rsidRDefault="00F61F8E">
      <w:pPr>
        <w:pStyle w:val="ReportBodyTextNogap"/>
      </w:pPr>
    </w:p>
    <w:p w14:paraId="50804134" w14:textId="0C0DB621" w:rsidR="00F61F8E" w:rsidRPr="002B3F36" w:rsidRDefault="000F264B">
      <w:pPr>
        <w:pStyle w:val="ReportBodyTextNogap"/>
      </w:pPr>
      <w:r w:rsidRPr="002B3F36">
        <w:t xml:space="preserve">The Andasai State Nature Sanctuary does not rank among Kazakhstan’s most strictly protected or internationally recognized areas, but it still holds moderate ecological and conservation value, particularly in maintaining steppe biodiversity. </w:t>
      </w:r>
      <w:r w:rsidR="00B1169C" w:rsidRPr="00A846C7">
        <w:t xml:space="preserve">This part of the Sanctuary has been designated not for Saiga. But </w:t>
      </w:r>
      <w:r w:rsidR="00B6240E" w:rsidRPr="00A846C7">
        <w:rPr>
          <w:rFonts w:eastAsia="Times New Roman"/>
          <w:color w:val="222222"/>
          <w:lang w:val="en" w:eastAsia="en-PH"/>
        </w:rPr>
        <w:t>currently</w:t>
      </w:r>
      <w:r w:rsidR="00B1169C" w:rsidRPr="00A846C7">
        <w:rPr>
          <w:rFonts w:eastAsia="Times New Roman"/>
          <w:color w:val="222222"/>
          <w:lang w:val="en" w:eastAsia="en-PH"/>
        </w:rPr>
        <w:t xml:space="preserve">, the saiga's population in Kazakhstan as whole is rapidly growing (it has already surpassed historical peaks from the mid-20th century) and is filling its former range. Saiga has always existed in the areas under consideration, but virtually disappeared during the deep population decline of the early 2000s. </w:t>
      </w:r>
      <w:r w:rsidR="00C04002" w:rsidRPr="008D5118">
        <w:rPr>
          <w:rFonts w:eastAsia="Times New Roman"/>
          <w:color w:val="222222"/>
          <w:highlight w:val="green"/>
          <w:lang w:val="en" w:eastAsia="en-PH"/>
        </w:rPr>
        <w:t xml:space="preserve">It has now repopulated these areas, and although precise data on the species' numbers </w:t>
      </w:r>
      <w:r w:rsidR="00C04002">
        <w:rPr>
          <w:rFonts w:eastAsia="Times New Roman"/>
          <w:color w:val="222222"/>
          <w:highlight w:val="green"/>
          <w:lang w:val="en" w:eastAsia="en-PH"/>
        </w:rPr>
        <w:t xml:space="preserve">in the project area </w:t>
      </w:r>
      <w:r w:rsidR="00C04002" w:rsidRPr="008D5118">
        <w:rPr>
          <w:rFonts w:eastAsia="Times New Roman"/>
          <w:color w:val="222222"/>
          <w:highlight w:val="green"/>
          <w:lang w:val="en" w:eastAsia="en-PH"/>
        </w:rPr>
        <w:t xml:space="preserve">are unavailable, according to </w:t>
      </w:r>
      <w:r w:rsidR="00C04002">
        <w:rPr>
          <w:rFonts w:eastAsia="Times New Roman"/>
          <w:color w:val="222222"/>
          <w:highlight w:val="green"/>
          <w:lang w:val="en" w:eastAsia="en-PH"/>
        </w:rPr>
        <w:t xml:space="preserve">our </w:t>
      </w:r>
      <w:r w:rsidR="00C04002" w:rsidRPr="008D5118">
        <w:rPr>
          <w:rFonts w:eastAsia="Times New Roman"/>
          <w:color w:val="222222"/>
          <w:highlight w:val="green"/>
          <w:lang w:val="en" w:eastAsia="en-PH"/>
        </w:rPr>
        <w:t>data and information from local residents and the regional wildlife inspectorate, it is already quite common.</w:t>
      </w:r>
      <w:r w:rsidR="00C04002">
        <w:rPr>
          <w:rFonts w:eastAsia="Times New Roman"/>
          <w:color w:val="222222"/>
          <w:highlight w:val="green"/>
          <w:lang w:val="en" w:eastAsia="en-PH"/>
        </w:rPr>
        <w:t xml:space="preserve"> The region is a part of the area of Betpakdala population of saiga with total numbers up to 1 600 000 individuals accoring to official counts of 2025. </w:t>
      </w:r>
      <w:r w:rsidR="00C04002" w:rsidRPr="000B53A0">
        <w:rPr>
          <w:rFonts w:eastAsia="Times New Roman"/>
          <w:color w:val="222222"/>
          <w:highlight w:val="green"/>
          <w:lang w:val="en" w:eastAsia="en-PH"/>
        </w:rPr>
        <w:t>Migration routes can vary from year to year depending on food supply and weather conditions, especially when the species' population is high</w:t>
      </w:r>
      <w:r w:rsidR="00C04002">
        <w:rPr>
          <w:rFonts w:eastAsia="Times New Roman"/>
          <w:color w:val="222222"/>
          <w:highlight w:val="green"/>
          <w:lang w:val="en" w:eastAsia="en-PH"/>
        </w:rPr>
        <w:t xml:space="preserve"> and e</w:t>
      </w:r>
      <w:r w:rsidR="00C04002" w:rsidRPr="000B53A0">
        <w:rPr>
          <w:rFonts w:eastAsia="Times New Roman"/>
          <w:color w:val="222222"/>
          <w:highlight w:val="green"/>
          <w:lang w:val="en" w:eastAsia="en-PH"/>
        </w:rPr>
        <w:t>nsuring freedom of migration throughout the species' range is essential</w:t>
      </w:r>
      <w:r w:rsidR="00C04002">
        <w:rPr>
          <w:rFonts w:eastAsia="Times New Roman"/>
          <w:color w:val="222222"/>
          <w:highlight w:val="green"/>
          <w:lang w:val="en" w:eastAsia="en-PH"/>
        </w:rPr>
        <w:t>. Th</w:t>
      </w:r>
      <w:r w:rsidR="00C04002" w:rsidRPr="008D5118">
        <w:rPr>
          <w:rFonts w:eastAsia="Times New Roman"/>
          <w:color w:val="222222"/>
          <w:highlight w:val="green"/>
          <w:lang w:val="en" w:eastAsia="en-PH"/>
        </w:rPr>
        <w:t>erefore, it is imperative to consider the need to ensure its migration across the railway under construction</w:t>
      </w:r>
      <w:r w:rsidR="00C04002" w:rsidRPr="008D5118">
        <w:rPr>
          <w:rFonts w:eastAsia="Times New Roman"/>
          <w:color w:val="222222"/>
          <w:highlight w:val="green"/>
          <w:lang w:eastAsia="en-PH"/>
        </w:rPr>
        <w:t xml:space="preserve"> and this should be noted and considered in any other mitigation.</w:t>
      </w:r>
      <w:r w:rsidR="00C04002" w:rsidRPr="008D5118">
        <w:t xml:space="preserve"> </w:t>
      </w:r>
    </w:p>
    <w:p w14:paraId="52BF5BB8" w14:textId="77777777" w:rsidR="00F61F8E" w:rsidRPr="002B3F36" w:rsidRDefault="00F61F8E">
      <w:pPr>
        <w:pStyle w:val="ReportBodyTextNogap"/>
      </w:pPr>
    </w:p>
    <w:p w14:paraId="122E9503" w14:textId="1FCDA02B" w:rsidR="00F61F8E" w:rsidRPr="002B3F36" w:rsidRDefault="000F264B">
      <w:pPr>
        <w:pStyle w:val="ReportBodyTextNogap"/>
      </w:pPr>
      <w:r w:rsidRPr="002B3F36">
        <w:t xml:space="preserve">The small area of the Andasai Sanctuary intersected by the project alignment represents an area incorporated into the sanctuary boundaries only in recent years. Based on current spatial estimates, the alignment traverses between chainage km 260.6 and km 277.1, corresponding to approximately 16.6 km within the Andasai Cluster 2 zone. This represents a relatively small fraction of Cluster 2 and is negligible when considered against the total extent of the Andasai Sanctuary. The alignment segment is illustrated in the </w:t>
      </w:r>
      <w:r w:rsidR="00DB026A">
        <w:t>F</w:t>
      </w:r>
      <w:r w:rsidRPr="002B3F36">
        <w:t>igure below.</w:t>
      </w:r>
    </w:p>
    <w:p w14:paraId="392CAB52" w14:textId="77777777" w:rsidR="00F61F8E" w:rsidRPr="002B3F36" w:rsidRDefault="00F61F8E">
      <w:pPr>
        <w:pStyle w:val="ReportParagraph"/>
      </w:pPr>
    </w:p>
    <w:p w14:paraId="01B5428F" w14:textId="77777777" w:rsidR="00F61F8E" w:rsidRPr="002B3F36" w:rsidRDefault="000F264B" w:rsidP="00D153B7">
      <w:pPr>
        <w:pStyle w:val="ReportParagraph"/>
        <w:jc w:val="center"/>
      </w:pPr>
      <w:r w:rsidRPr="002B3F36">
        <w:rPr>
          <w:noProof/>
        </w:rPr>
        <w:lastRenderedPageBreak/>
        <w:drawing>
          <wp:inline distT="0" distB="0" distL="0" distR="0" wp14:anchorId="6CBEC287" wp14:editId="7B1F459A">
            <wp:extent cx="6213475" cy="2917190"/>
            <wp:effectExtent l="19050" t="19050" r="15875" b="16510"/>
            <wp:docPr id="103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
                    <pic:cNvPicPr/>
                  </pic:nvPicPr>
                  <pic:blipFill>
                    <a:blip r:embed="rId50" cstate="print"/>
                    <a:srcRect/>
                    <a:stretch/>
                  </pic:blipFill>
                  <pic:spPr>
                    <a:xfrm>
                      <a:off x="0" y="0"/>
                      <a:ext cx="6213475" cy="2917190"/>
                    </a:xfrm>
                    <a:prstGeom prst="rect">
                      <a:avLst/>
                    </a:prstGeom>
                    <a:ln w="3175">
                      <a:solidFill>
                        <a:schemeClr val="tx1"/>
                      </a:solidFill>
                    </a:ln>
                  </pic:spPr>
                </pic:pic>
              </a:graphicData>
            </a:graphic>
          </wp:inline>
        </w:drawing>
      </w:r>
    </w:p>
    <w:p w14:paraId="21C70C4B" w14:textId="0510D4DB" w:rsidR="00F61F8E" w:rsidRPr="002B3F36" w:rsidRDefault="008D7058" w:rsidP="008F08BA">
      <w:pPr>
        <w:pStyle w:val="FigureCaption"/>
        <w:rPr>
          <w:rFonts w:cs="Arial"/>
          <w:color w:val="1F497D"/>
          <w:sz w:val="18"/>
          <w:szCs w:val="18"/>
        </w:rPr>
      </w:pPr>
      <w:bookmarkStart w:id="1981" w:name="_Toc210589602"/>
      <w:r w:rsidRPr="002B3F36">
        <w:rPr>
          <w:rFonts w:cs="Arial"/>
        </w:rPr>
        <w:t xml:space="preserve">Figure </w:t>
      </w:r>
      <w:r w:rsidR="00CF113E" w:rsidRPr="002B3F36">
        <w:rPr>
          <w:rFonts w:cs="Arial"/>
        </w:rPr>
        <w:fldChar w:fldCharType="begin"/>
      </w:r>
      <w:r w:rsidR="00CF113E" w:rsidRPr="002B3F36">
        <w:rPr>
          <w:rFonts w:cs="Arial"/>
        </w:rPr>
        <w:instrText xml:space="preserve"> SEQ Figure \* ARABIC </w:instrText>
      </w:r>
      <w:r w:rsidR="00CF113E" w:rsidRPr="002B3F36">
        <w:rPr>
          <w:rFonts w:cs="Arial"/>
        </w:rPr>
        <w:fldChar w:fldCharType="separate"/>
      </w:r>
      <w:r w:rsidR="002B3F36">
        <w:rPr>
          <w:rFonts w:cs="Arial"/>
          <w:noProof/>
        </w:rPr>
        <w:t>13</w:t>
      </w:r>
      <w:r w:rsidR="00CF113E" w:rsidRPr="002B3F36">
        <w:rPr>
          <w:rFonts w:cs="Arial"/>
        </w:rPr>
        <w:fldChar w:fldCharType="end"/>
      </w:r>
      <w:r w:rsidR="000F264B" w:rsidRPr="002B3F36">
        <w:rPr>
          <w:rFonts w:cs="Arial"/>
        </w:rPr>
        <w:t>: Railway Alignment Crossing at Andasai Cluster 2</w:t>
      </w:r>
      <w:bookmarkEnd w:id="1981"/>
    </w:p>
    <w:p w14:paraId="6C2F5065" w14:textId="64A757C5" w:rsidR="00F61F8E" w:rsidRPr="002B3F36" w:rsidRDefault="00F61F8E">
      <w:pPr>
        <w:pStyle w:val="ReportBodyTextNogap"/>
      </w:pPr>
    </w:p>
    <w:p w14:paraId="02DF0666" w14:textId="6C550D0A" w:rsidR="000977A6" w:rsidRPr="002B3F36" w:rsidRDefault="000977A6" w:rsidP="005A68AD">
      <w:pPr>
        <w:pStyle w:val="31"/>
      </w:pPr>
      <w:bookmarkStart w:id="1982" w:name="_Toc208973823"/>
      <w:bookmarkStart w:id="1983" w:name="_Toc208974023"/>
      <w:bookmarkStart w:id="1984" w:name="_Toc208974223"/>
      <w:bookmarkStart w:id="1985" w:name="_Toc208974425"/>
      <w:bookmarkStart w:id="1986" w:name="_Toc208974633"/>
      <w:bookmarkStart w:id="1987" w:name="_Toc210589462"/>
      <w:bookmarkStart w:id="1988" w:name="_Hlk208320199"/>
      <w:r w:rsidRPr="002B3F36">
        <w:t>Natural, Modified and Critical Habitat</w:t>
      </w:r>
      <w:bookmarkEnd w:id="1982"/>
      <w:bookmarkEnd w:id="1983"/>
      <w:bookmarkEnd w:id="1984"/>
      <w:bookmarkEnd w:id="1985"/>
      <w:bookmarkEnd w:id="1986"/>
      <w:bookmarkEnd w:id="1987"/>
    </w:p>
    <w:p w14:paraId="71503A48" w14:textId="4CE44BF0" w:rsidR="000977A6" w:rsidRPr="002B3F36" w:rsidRDefault="000977A6" w:rsidP="000977A6">
      <w:pPr>
        <w:pStyle w:val="ReportBodyPar"/>
      </w:pPr>
    </w:p>
    <w:p w14:paraId="6D420B27" w14:textId="116AD8E4" w:rsidR="006D637E" w:rsidRPr="002B3F36" w:rsidRDefault="006D637E" w:rsidP="009B4CDB">
      <w:pPr>
        <w:pStyle w:val="ReportBodyPar"/>
        <w:numPr>
          <w:ilvl w:val="0"/>
          <w:numId w:val="85"/>
        </w:numPr>
        <w:rPr>
          <w:b/>
        </w:rPr>
      </w:pPr>
      <w:r w:rsidRPr="002B3F36">
        <w:rPr>
          <w:b/>
        </w:rPr>
        <w:t xml:space="preserve">Natural </w:t>
      </w:r>
      <w:r w:rsidR="00EF5811" w:rsidRPr="002B3F36">
        <w:rPr>
          <w:b/>
        </w:rPr>
        <w:t>Habitats</w:t>
      </w:r>
    </w:p>
    <w:p w14:paraId="7CE06A8C" w14:textId="5715C719" w:rsidR="006D637E" w:rsidRPr="002B3F36" w:rsidRDefault="006D637E" w:rsidP="000977A6">
      <w:pPr>
        <w:pStyle w:val="ReportBodyPar"/>
      </w:pPr>
    </w:p>
    <w:p w14:paraId="033D03F1" w14:textId="6D97B855" w:rsidR="006D637E" w:rsidRPr="002B3F36" w:rsidRDefault="006D637E" w:rsidP="006D637E">
      <w:pPr>
        <w:pStyle w:val="ReportBodyPar"/>
      </w:pPr>
      <w:r w:rsidRPr="002B3F36">
        <w:t xml:space="preserve">In the context of </w:t>
      </w:r>
      <w:r w:rsidR="002F3827" w:rsidRPr="002B3F36">
        <w:t xml:space="preserve">WB </w:t>
      </w:r>
      <w:r w:rsidRPr="002B3F36">
        <w:t>Performance Standard 6 (PS6), natural habitats are defined as areas composed of viable assemblages of native species where human activity has not significantly altered primary ecological functions. These ecosystems maintain their native biodiversity structure and ecological processes, supporting species interactions, genetic diversity, and ecosystem services such as soil stability, water filtration, and climate regulation. In contrast, modified habitats are areas altered by human activity—such as agriculture, grazing, or settlements—where some ecological functions persist, but native biodiversity has been significantly reduced or fragmented.</w:t>
      </w:r>
    </w:p>
    <w:p w14:paraId="0B833619" w14:textId="77777777" w:rsidR="00EF5811" w:rsidRPr="002B3F36" w:rsidRDefault="00EF5811" w:rsidP="00EF5811">
      <w:pPr>
        <w:pStyle w:val="ReportBodyPar"/>
      </w:pPr>
    </w:p>
    <w:p w14:paraId="59CBD634" w14:textId="2E864313" w:rsidR="00B465EA" w:rsidRDefault="00EF5811" w:rsidP="00F82096">
      <w:pPr>
        <w:widowControl/>
        <w:autoSpaceDE/>
        <w:autoSpaceDN/>
        <w:jc w:val="both"/>
        <w:rPr>
          <w:rFonts w:ascii="Arial" w:eastAsia="Calibri" w:hAnsi="Arial" w:cs="Arial"/>
          <w:sz w:val="24"/>
          <w:szCs w:val="24"/>
          <w:lang w:eastAsia="en-GB"/>
        </w:rPr>
      </w:pPr>
      <w:r w:rsidRPr="002B3F36">
        <w:rPr>
          <w:rFonts w:ascii="Arial" w:eastAsia="Calibri" w:hAnsi="Arial" w:cs="Arial"/>
          <w:sz w:val="24"/>
          <w:szCs w:val="24"/>
          <w:lang w:eastAsia="en-GB"/>
        </w:rPr>
        <w:t xml:space="preserve">For the </w:t>
      </w:r>
      <w:r w:rsidR="003650DB" w:rsidRPr="002B3F36">
        <w:rPr>
          <w:rFonts w:ascii="Arial" w:eastAsia="Calibri" w:hAnsi="Arial" w:cs="Arial"/>
          <w:sz w:val="24"/>
          <w:szCs w:val="24"/>
          <w:lang w:eastAsia="en-GB"/>
        </w:rPr>
        <w:t xml:space="preserve">Mointy – Kyzylzhar </w:t>
      </w:r>
      <w:r w:rsidRPr="002B3F36">
        <w:rPr>
          <w:rFonts w:ascii="Arial" w:eastAsia="Calibri" w:hAnsi="Arial" w:cs="Arial"/>
          <w:sz w:val="24"/>
          <w:szCs w:val="24"/>
          <w:lang w:eastAsia="en-GB"/>
        </w:rPr>
        <w:t xml:space="preserve">railway project, the alignment alternatives intersect a mosaic of natural steppe ecosystems, riverine habitats, and previously modified areas with agricultural land and settlements. </w:t>
      </w:r>
      <w:r w:rsidR="00B465EA" w:rsidRPr="00A846C7">
        <w:rPr>
          <w:rFonts w:ascii="Arial" w:eastAsia="Calibri" w:hAnsi="Arial" w:cs="Arial"/>
          <w:sz w:val="24"/>
          <w:szCs w:val="24"/>
          <w:lang w:eastAsia="en-GB"/>
        </w:rPr>
        <w:t>While majority of sections of the alignment inevitably pass through natural habitats (more than 90%), including parts of the Andasai Sanctuary (Cluster 2) and Important Bird Areas (IBAs), small part of segments traverse modified landscapes where human presence has already transformed native vegetation and fauna dynamics. Understanding this distinction is essential for determining where avoidance, minimization, restoration, or offsetting measures are required under PS6.</w:t>
      </w:r>
      <w:r w:rsidR="00B465EA" w:rsidRPr="002B3F36">
        <w:rPr>
          <w:rFonts w:ascii="Arial" w:eastAsia="Calibri" w:hAnsi="Arial" w:cs="Arial"/>
          <w:sz w:val="24"/>
          <w:szCs w:val="24"/>
          <w:lang w:eastAsia="en-GB"/>
        </w:rPr>
        <w:t xml:space="preserve"> </w:t>
      </w:r>
    </w:p>
    <w:p w14:paraId="6FC8053E" w14:textId="77777777" w:rsidR="00DB026A" w:rsidRPr="002B3F36" w:rsidRDefault="00DB026A" w:rsidP="00F82096">
      <w:pPr>
        <w:widowControl/>
        <w:autoSpaceDE/>
        <w:autoSpaceDN/>
        <w:jc w:val="both"/>
        <w:rPr>
          <w:rFonts w:ascii="Arial" w:eastAsia="Calibri" w:hAnsi="Arial" w:cs="Arial"/>
          <w:sz w:val="24"/>
          <w:szCs w:val="24"/>
          <w:lang w:eastAsia="en-GB"/>
        </w:rPr>
      </w:pPr>
    </w:p>
    <w:p w14:paraId="56CCDD03" w14:textId="457767B9" w:rsidR="006D637E" w:rsidRPr="002B3F36" w:rsidRDefault="00B1169C" w:rsidP="006D637E">
      <w:pPr>
        <w:pStyle w:val="ReportBodyPar"/>
      </w:pPr>
      <w:r w:rsidRPr="002B3F36">
        <w:rPr>
          <w:noProof/>
        </w:rPr>
        <w:lastRenderedPageBreak/>
        <w:drawing>
          <wp:inline distT="0" distB="0" distL="0" distR="0" wp14:anchorId="1B33997E" wp14:editId="040EC3BA">
            <wp:extent cx="6172200" cy="4363085"/>
            <wp:effectExtent l="0" t="0" r="0" b="0"/>
            <wp:docPr id="231724702" name="Рисунок 21"/>
            <wp:cNvGraphicFramePr/>
            <a:graphic xmlns:a="http://schemas.openxmlformats.org/drawingml/2006/main">
              <a:graphicData uri="http://schemas.openxmlformats.org/drawingml/2006/picture">
                <pic:pic xmlns:pic="http://schemas.openxmlformats.org/drawingml/2006/picture">
                  <pic:nvPicPr>
                    <pic:cNvPr id="231724702" name="Рисунок 2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72200" cy="4363085"/>
                    </a:xfrm>
                    <a:prstGeom prst="rect">
                      <a:avLst/>
                    </a:prstGeom>
                    <a:noFill/>
                    <a:ln>
                      <a:noFill/>
                    </a:ln>
                  </pic:spPr>
                </pic:pic>
              </a:graphicData>
            </a:graphic>
          </wp:inline>
        </w:drawing>
      </w:r>
    </w:p>
    <w:p w14:paraId="249B0777" w14:textId="70879813" w:rsidR="00E02069" w:rsidRPr="002B3F36" w:rsidRDefault="00E02069" w:rsidP="00E02069">
      <w:pPr>
        <w:pStyle w:val="FigureCaption"/>
        <w:rPr>
          <w:rFonts w:cs="Arial"/>
        </w:rPr>
      </w:pPr>
      <w:bookmarkStart w:id="1989" w:name="_Toc210589603"/>
      <w:r w:rsidRPr="002B3F36">
        <w:rPr>
          <w:rFonts w:cs="Arial"/>
        </w:rPr>
        <w:t xml:space="preserve">Figure </w:t>
      </w:r>
      <w:r w:rsidRPr="002B3F36">
        <w:rPr>
          <w:rFonts w:cs="Arial"/>
        </w:rPr>
        <w:fldChar w:fldCharType="begin"/>
      </w:r>
      <w:r w:rsidRPr="002B3F36">
        <w:rPr>
          <w:rFonts w:cs="Arial"/>
        </w:rPr>
        <w:instrText xml:space="preserve"> SEQ Figure \* ARABIC </w:instrText>
      </w:r>
      <w:r w:rsidRPr="002B3F36">
        <w:rPr>
          <w:rFonts w:cs="Arial"/>
        </w:rPr>
        <w:fldChar w:fldCharType="separate"/>
      </w:r>
      <w:r w:rsidR="002B3F36">
        <w:rPr>
          <w:rFonts w:cs="Arial"/>
          <w:noProof/>
        </w:rPr>
        <w:t>14</w:t>
      </w:r>
      <w:r w:rsidRPr="002B3F36">
        <w:rPr>
          <w:rFonts w:cs="Arial"/>
        </w:rPr>
        <w:fldChar w:fldCharType="end"/>
      </w:r>
      <w:r w:rsidRPr="002B3F36">
        <w:rPr>
          <w:rFonts w:cs="Arial"/>
        </w:rPr>
        <w:t>: Natural and Modified Habitats affected by the Project</w:t>
      </w:r>
      <w:bookmarkEnd w:id="1989"/>
    </w:p>
    <w:p w14:paraId="10D3040B" w14:textId="77777777" w:rsidR="00B1169C" w:rsidRPr="002B3F36" w:rsidRDefault="00B1169C" w:rsidP="006D637E">
      <w:pPr>
        <w:pStyle w:val="ReportBodyPar"/>
      </w:pPr>
    </w:p>
    <w:p w14:paraId="2EAB4088" w14:textId="1C2B1987" w:rsidR="00EF5811" w:rsidRPr="002B3F36" w:rsidRDefault="00EF5811" w:rsidP="00EF5811">
      <w:pPr>
        <w:pStyle w:val="ReportBodyPar"/>
      </w:pPr>
      <w:r w:rsidRPr="002B3F36">
        <w:t xml:space="preserve">Railway construction can affect natural habitats directly through land clearing, soil disturbance, and habitat fragmentation, and indirectly through noise, vibration, water runoff, and potential barrier effects on wildlife movement. In areas like the Andasai Sanctuary and IBAs, where ecosystems retain high ecological integrity and support critical </w:t>
      </w:r>
      <w:r w:rsidR="007E279F" w:rsidRPr="002B3F36">
        <w:t>species, including</w:t>
      </w:r>
      <w:r w:rsidRPr="002B3F36">
        <w:t xml:space="preserve"> migratory birds and steppe fauna</w:t>
      </w:r>
      <w:r w:rsidR="009A6EE0" w:rsidRPr="002B3F36">
        <w:t xml:space="preserve"> - </w:t>
      </w:r>
      <w:r w:rsidRPr="002B3F36">
        <w:t>the project must apply the mitigation hierarchy mandated by PS6:</w:t>
      </w:r>
    </w:p>
    <w:p w14:paraId="33F11BFB" w14:textId="77777777" w:rsidR="00EF5811" w:rsidRPr="002B3F36" w:rsidRDefault="00EF5811" w:rsidP="009B4CDB">
      <w:pPr>
        <w:pStyle w:val="numbereditemsinpar"/>
        <w:numPr>
          <w:ilvl w:val="0"/>
          <w:numId w:val="86"/>
        </w:numPr>
      </w:pPr>
      <w:r w:rsidRPr="002B3F36">
        <w:t>Avoidance – Prioritize alignments and construction methods that prevent habitat disturbance where feasible.</w:t>
      </w:r>
    </w:p>
    <w:p w14:paraId="63D7D910" w14:textId="77777777" w:rsidR="00EF5811" w:rsidRPr="002B3F36" w:rsidRDefault="00EF5811" w:rsidP="009B4CDB">
      <w:pPr>
        <w:pStyle w:val="numbereditemsinpar"/>
        <w:numPr>
          <w:ilvl w:val="0"/>
          <w:numId w:val="86"/>
        </w:numPr>
      </w:pPr>
      <w:r w:rsidRPr="002B3F36">
        <w:t>Minimization – Where avoidance is impossible, reduce the spatial footprint, construction intensity, and duration of disturbance.</w:t>
      </w:r>
    </w:p>
    <w:p w14:paraId="5CC0396C" w14:textId="77777777" w:rsidR="00EF5811" w:rsidRPr="002B3F36" w:rsidRDefault="00EF5811" w:rsidP="009B4CDB">
      <w:pPr>
        <w:pStyle w:val="numbereditemsinpar"/>
        <w:numPr>
          <w:ilvl w:val="0"/>
          <w:numId w:val="86"/>
        </w:numPr>
      </w:pPr>
      <w:r w:rsidRPr="002B3F36">
        <w:t>Restoration – Rehabilitate temporarily disturbed areas post-construction.</w:t>
      </w:r>
    </w:p>
    <w:p w14:paraId="07DCB19D" w14:textId="77777777" w:rsidR="00EF5811" w:rsidRPr="002B3F36" w:rsidRDefault="00EF5811" w:rsidP="009B4CDB">
      <w:pPr>
        <w:pStyle w:val="numbereditemsinpar"/>
        <w:numPr>
          <w:ilvl w:val="0"/>
          <w:numId w:val="86"/>
        </w:numPr>
      </w:pPr>
      <w:r w:rsidRPr="002B3F36">
        <w:t>Offsets – Where residual impacts remain, implement biodiversity offsets achieving no net loss or net gain for critical habitats.</w:t>
      </w:r>
    </w:p>
    <w:p w14:paraId="31CE2E72" w14:textId="42084F62" w:rsidR="006D637E" w:rsidRPr="002B3F36" w:rsidRDefault="006D637E" w:rsidP="006D637E">
      <w:pPr>
        <w:pStyle w:val="ReportBodyPar"/>
      </w:pPr>
    </w:p>
    <w:p w14:paraId="2287F360" w14:textId="77777777" w:rsidR="00241C90" w:rsidRPr="002B3F36" w:rsidRDefault="00241C90" w:rsidP="00241C90">
      <w:pPr>
        <w:pStyle w:val="ReportBodyPar"/>
      </w:pPr>
      <w:r w:rsidRPr="002B3F36">
        <w:t>The distinction between natural and modified habitats informs not only route selection but also the Environmental and Social Management Plan (ESMP), the Biodiversity Management Plan (BMP), and site-specific Construction Environmental Action Plans (CEAPs). Baseline biodiversity surveys—covering flora, fauna, avifauna, and ecosystem services—feed into GIS-based sensitivity mapping to define habitat management zones along the alignment. This integrated approach ensures that railway infrastructure development proceeds while adhering to WB PS6, balancing Kazakhstan’s strategic connectivity goals with its international commitments on biodiversity conservation.</w:t>
      </w:r>
    </w:p>
    <w:p w14:paraId="54907687" w14:textId="77777777" w:rsidR="00241C90" w:rsidRPr="002B3F36" w:rsidRDefault="00241C90" w:rsidP="00241C90">
      <w:pPr>
        <w:pStyle w:val="ReportBodyPar"/>
      </w:pPr>
    </w:p>
    <w:p w14:paraId="451FEBEA" w14:textId="77777777" w:rsidR="00241C90" w:rsidRPr="002B3F36" w:rsidRDefault="00241C90" w:rsidP="00241C90">
      <w:pPr>
        <w:pStyle w:val="ReportBodyPar"/>
      </w:pPr>
      <w:r w:rsidRPr="002B3F36">
        <w:t xml:space="preserve">For the Mointy – Kyzylzhar railway project, the World Bank Group (WBG) requires a clear determination of natural and modified habitats within the project’s Area of Influence (AOI) to </w:t>
      </w:r>
      <w:r w:rsidRPr="002B3F36">
        <w:lastRenderedPageBreak/>
        <w:t>establish which specific WBG biodiversity requirements apply, such as the need to achieve no net loss in natural habitats or to develop a comprehensive Biodiversity Management Plan (BMP) for critical habitats.</w:t>
      </w:r>
    </w:p>
    <w:p w14:paraId="74AA45CC" w14:textId="77777777" w:rsidR="00241C90" w:rsidRPr="002B3F36" w:rsidRDefault="00241C90" w:rsidP="00241C90">
      <w:pPr>
        <w:pStyle w:val="ReportBodyPar"/>
      </w:pPr>
    </w:p>
    <w:p w14:paraId="4344A27D" w14:textId="77777777" w:rsidR="00241C90" w:rsidRPr="002B3F36" w:rsidRDefault="00241C90" w:rsidP="00241C90">
      <w:pPr>
        <w:pStyle w:val="ReportBodyPar"/>
      </w:pPr>
      <w:r w:rsidRPr="002B3F36">
        <w:t>For this project, the AOI will encompass the railway alignment, all associated infrastructure components (e.g., access roads, borrow pits, construction camps, stations), and a 5 km buffer zone on either side of the entire corridor. The project footprint includes 50-100 m on either side of the railway. This approach ensures that the assessment captures both direct and indirect ecological impacts arising from construction and operation while remaining proportionate to the project footprint. Table below presents the summary of impact on natural and modified habitats of the project.</w:t>
      </w:r>
    </w:p>
    <w:p w14:paraId="3B1A6728" w14:textId="77777777" w:rsidR="00241C90" w:rsidRPr="002B3F36" w:rsidRDefault="00241C90" w:rsidP="00241C90">
      <w:pPr>
        <w:pStyle w:val="ReportBodyPar"/>
      </w:pPr>
    </w:p>
    <w:p w14:paraId="7EF449E3" w14:textId="33CF49DD" w:rsidR="00241C90" w:rsidRPr="002B3F36" w:rsidRDefault="00241C90" w:rsidP="00241C90">
      <w:pPr>
        <w:pStyle w:val="CaptionTable"/>
      </w:pPr>
      <w:bookmarkStart w:id="1990" w:name="_Toc210589560"/>
      <w:r w:rsidRPr="002B3F36">
        <w:t xml:space="preserve">Table </w:t>
      </w:r>
      <w:r w:rsidRPr="002B3F36">
        <w:fldChar w:fldCharType="begin"/>
      </w:r>
      <w:r w:rsidRPr="002B3F36">
        <w:instrText>SEQ Table \* ARABIC</w:instrText>
      </w:r>
      <w:r w:rsidRPr="002B3F36">
        <w:fldChar w:fldCharType="separate"/>
      </w:r>
      <w:r w:rsidR="00A023DA">
        <w:rPr>
          <w:noProof/>
        </w:rPr>
        <w:t>16</w:t>
      </w:r>
      <w:r w:rsidRPr="002B3F36">
        <w:fldChar w:fldCharType="end"/>
      </w:r>
      <w:r w:rsidRPr="002B3F36">
        <w:t>: Summary of Natural and Modified Habitats in the Project Area</w:t>
      </w:r>
      <w:bookmarkEnd w:id="1990"/>
    </w:p>
    <w:tbl>
      <w:tblPr>
        <w:tblW w:w="4996" w:type="pct"/>
        <w:tblInd w:w="-10" w:type="dxa"/>
        <w:shd w:val="clear" w:color="auto" w:fill="FFFFFF"/>
        <w:tblCellMar>
          <w:left w:w="0" w:type="dxa"/>
          <w:right w:w="0" w:type="dxa"/>
        </w:tblCellMar>
        <w:tblLook w:val="04A0" w:firstRow="1" w:lastRow="0" w:firstColumn="1" w:lastColumn="0" w:noHBand="0" w:noVBand="1"/>
      </w:tblPr>
      <w:tblGrid>
        <w:gridCol w:w="1731"/>
        <w:gridCol w:w="4396"/>
        <w:gridCol w:w="1630"/>
        <w:gridCol w:w="1935"/>
      </w:tblGrid>
      <w:tr w:rsidR="00241C90" w:rsidRPr="002B3F36" w14:paraId="3CE06EC7" w14:textId="77777777" w:rsidTr="00241C90">
        <w:trPr>
          <w:trHeight w:val="446"/>
          <w:tblHeader/>
        </w:trPr>
        <w:tc>
          <w:tcPr>
            <w:tcW w:w="893"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CC379EE" w14:textId="77777777" w:rsidR="00241C90" w:rsidRPr="002B3F36" w:rsidRDefault="00241C90" w:rsidP="00241C90">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Category</w:t>
            </w:r>
          </w:p>
        </w:tc>
        <w:tc>
          <w:tcPr>
            <w:tcW w:w="226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2299206" w14:textId="77777777" w:rsidR="00241C90" w:rsidRPr="002B3F36" w:rsidRDefault="00241C90" w:rsidP="00241C90">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Justification</w:t>
            </w:r>
          </w:p>
        </w:tc>
        <w:tc>
          <w:tcPr>
            <w:tcW w:w="841"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FD3E60B" w14:textId="77777777" w:rsidR="00241C90" w:rsidRPr="002B3F36" w:rsidRDefault="00241C90" w:rsidP="00241C90">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Area in AOI</w:t>
            </w:r>
          </w:p>
        </w:tc>
        <w:tc>
          <w:tcPr>
            <w:tcW w:w="99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F2D0332" w14:textId="77777777" w:rsidR="00241C90" w:rsidRPr="002B3F36" w:rsidRDefault="00241C90" w:rsidP="00FA2D6E">
            <w:pPr>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Area in project footprint</w:t>
            </w:r>
          </w:p>
        </w:tc>
      </w:tr>
      <w:tr w:rsidR="00241C90" w:rsidRPr="002B3F36" w14:paraId="6522AC36" w14:textId="77777777" w:rsidTr="00241C90">
        <w:trPr>
          <w:trHeight w:val="223"/>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906AB6D"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Natural</w:t>
            </w:r>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FEB33FC"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All areas not treated as Modified Habitat</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D363E03" w14:textId="77777777" w:rsidR="00241C90" w:rsidRPr="002B3F36" w:rsidRDefault="00241C90" w:rsidP="00F82096">
            <w:pPr>
              <w:jc w:val="cente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330 000 ha</w:t>
            </w:r>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4F5CF69" w14:textId="77777777" w:rsidR="00241C90" w:rsidRPr="002B3F36" w:rsidRDefault="00241C90" w:rsidP="00F82096">
            <w:pPr>
              <w:jc w:val="cente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3 300 ha</w:t>
            </w:r>
          </w:p>
        </w:tc>
      </w:tr>
      <w:tr w:rsidR="00241C90" w:rsidRPr="002B3F36" w14:paraId="7653241E" w14:textId="77777777" w:rsidTr="00241C90">
        <w:trPr>
          <w:trHeight w:val="1117"/>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E356EE0"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Modified</w:t>
            </w:r>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2EB90B7"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Existing human settlements, croplands, and railroads. A 1km buffer was added to these to acknowledge areas subject to greater noise, light, grazing and other disturbance from human activities.</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1BBABD" w14:textId="77777777" w:rsidR="00241C90" w:rsidRPr="002B3F36" w:rsidRDefault="00241C90" w:rsidP="00F82096">
            <w:pPr>
              <w:jc w:val="cente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17 600 ha</w:t>
            </w:r>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D79A9B" w14:textId="77777777" w:rsidR="00241C90" w:rsidRPr="002B3F36" w:rsidRDefault="00241C90" w:rsidP="00F82096">
            <w:pPr>
              <w:jc w:val="cente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80 ha</w:t>
            </w:r>
          </w:p>
        </w:tc>
      </w:tr>
      <w:tr w:rsidR="00241C90" w:rsidRPr="002B3F36" w14:paraId="38CE1923" w14:textId="77777777" w:rsidTr="00241C90">
        <w:trPr>
          <w:trHeight w:val="446"/>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E9D94BF"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Total (Natural + Modified)</w:t>
            </w:r>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E605B59"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9D37D4" w14:textId="77777777" w:rsidR="00241C90" w:rsidRPr="002B3F36" w:rsidRDefault="00241C90" w:rsidP="00F82096">
            <w:pPr>
              <w:jc w:val="cente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347 600 ha</w:t>
            </w:r>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7739954" w14:textId="77777777" w:rsidR="00241C90" w:rsidRPr="002B3F36" w:rsidRDefault="00241C90" w:rsidP="00F82096">
            <w:pPr>
              <w:jc w:val="cente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3 380 ha</w:t>
            </w:r>
          </w:p>
        </w:tc>
      </w:tr>
    </w:tbl>
    <w:p w14:paraId="731FB5A2" w14:textId="77777777" w:rsidR="00241C90" w:rsidRPr="002B3F36" w:rsidRDefault="00241C90" w:rsidP="006D637E">
      <w:pPr>
        <w:pStyle w:val="ReportBodyPar"/>
      </w:pPr>
    </w:p>
    <w:p w14:paraId="29AF0C25" w14:textId="77777777" w:rsidR="006D637E" w:rsidRPr="002B3F36" w:rsidRDefault="006D637E" w:rsidP="009B4CDB">
      <w:pPr>
        <w:pStyle w:val="ReportBodyPar"/>
        <w:numPr>
          <w:ilvl w:val="0"/>
          <w:numId w:val="85"/>
        </w:numPr>
        <w:rPr>
          <w:b/>
        </w:rPr>
      </w:pPr>
      <w:r w:rsidRPr="002B3F36">
        <w:rPr>
          <w:b/>
        </w:rPr>
        <w:t>Modified Habitats and Opportunities for Rehabilitation</w:t>
      </w:r>
    </w:p>
    <w:p w14:paraId="3B71A08A" w14:textId="77777777" w:rsidR="006D637E" w:rsidRPr="002B3F36" w:rsidRDefault="006D637E" w:rsidP="006D637E">
      <w:pPr>
        <w:pStyle w:val="ReportBodyPar"/>
      </w:pPr>
    </w:p>
    <w:p w14:paraId="11289159" w14:textId="15C83A28" w:rsidR="006D637E" w:rsidRPr="002B3F36" w:rsidRDefault="006D637E" w:rsidP="006D637E">
      <w:pPr>
        <w:pStyle w:val="ReportBodyPar"/>
      </w:pPr>
      <w:r w:rsidRPr="002B3F36">
        <w:t>In contrast</w:t>
      </w:r>
      <w:r w:rsidR="00EF5811" w:rsidRPr="002B3F36">
        <w:t xml:space="preserve"> to natural habitats</w:t>
      </w:r>
      <w:r w:rsidRPr="002B3F36">
        <w:t>, the modified habitats along the alignment—such as grazing lands and agricultural fields—present fewer biodiversity sensitivities. Nevertheless, even in altered landscapes, PS6 requires maintaining ecological functionality and avoiding unnecessary degradation. For instance, construction in modified habitats should still integrate erosion control measures, surface water management, and vegetation re-establishment to prevent secondary impacts such as sedimentation or invasive species spread. Furthermore, the project offers opportunities for ecological enhancement in degraded areas through native vegetation planting, shelterbelt development, or wildlife crossing infrastructure that reconnects fragmented habitats.</w:t>
      </w:r>
    </w:p>
    <w:p w14:paraId="5C5CB42F" w14:textId="77777777" w:rsidR="006D637E" w:rsidRPr="002B3F36" w:rsidRDefault="006D637E" w:rsidP="006D637E">
      <w:pPr>
        <w:pStyle w:val="ReportBodyPar"/>
      </w:pPr>
    </w:p>
    <w:p w14:paraId="6B795965" w14:textId="352B4A97" w:rsidR="006D637E" w:rsidRPr="002B3F36" w:rsidRDefault="006D637E" w:rsidP="009B4CDB">
      <w:pPr>
        <w:pStyle w:val="ReportBodyPar"/>
        <w:numPr>
          <w:ilvl w:val="0"/>
          <w:numId w:val="85"/>
        </w:numPr>
        <w:rPr>
          <w:b/>
        </w:rPr>
      </w:pPr>
      <w:r w:rsidRPr="002B3F36">
        <w:rPr>
          <w:b/>
        </w:rPr>
        <w:t>Critical Habitats and Railway Design Considerations</w:t>
      </w:r>
    </w:p>
    <w:p w14:paraId="29676E3B" w14:textId="77777777" w:rsidR="006D637E" w:rsidRPr="002B3F36" w:rsidRDefault="006D637E" w:rsidP="006D637E">
      <w:pPr>
        <w:pStyle w:val="ReportBodyPar"/>
      </w:pPr>
    </w:p>
    <w:p w14:paraId="7FFC8EB1" w14:textId="6B56A7C3" w:rsidR="006D637E" w:rsidRPr="002B3F36" w:rsidRDefault="006D637E" w:rsidP="006D637E">
      <w:pPr>
        <w:pStyle w:val="ReportBodyPar"/>
      </w:pPr>
      <w:r w:rsidRPr="002B3F36">
        <w:t xml:space="preserve">Under PS6, critical habitats include areas supporting </w:t>
      </w:r>
      <w:r w:rsidR="53EC8378" w:rsidRPr="002B3F36">
        <w:t>threatened</w:t>
      </w:r>
      <w:r w:rsidRPr="002B3F36">
        <w:t xml:space="preserve"> species, </w:t>
      </w:r>
      <w:r w:rsidR="58988DB7" w:rsidRPr="002B3F36">
        <w:t xml:space="preserve">restricted range </w:t>
      </w:r>
      <w:r w:rsidRPr="002B3F36">
        <w:t xml:space="preserve">species, </w:t>
      </w:r>
      <w:r w:rsidR="4127ECA2" w:rsidRPr="002B3F36">
        <w:t xml:space="preserve">threatened or unique ecosystems, important concentrations of </w:t>
      </w:r>
      <w:r w:rsidRPr="002B3F36">
        <w:t xml:space="preserve">migratory </w:t>
      </w:r>
      <w:r w:rsidR="372225E7" w:rsidRPr="002B3F36">
        <w:t>species</w:t>
      </w:r>
      <w:r w:rsidRPr="002B3F36">
        <w:t xml:space="preserve">, and key </w:t>
      </w:r>
      <w:r w:rsidR="125C6E68" w:rsidRPr="002B3F36">
        <w:t>evolutionary processes</w:t>
      </w:r>
      <w:r w:rsidRPr="002B3F36">
        <w:t>. The proximity of the alignment to IBAs and the Andasai Sanctuary elevates biodiversity risk classification in certain sections. Railway design therefore incorporates measures such as wildlife underpasses or overpasses, fencing to guide animal movement, and seasonal construction scheduling to minimize disturbance during sensitive periods such as breeding or migration seasons. These measures align the project with PS6 requirements for no net loss in natural habitats and net gains in critical habitats, ensuring long-term ecological resilience.</w:t>
      </w:r>
    </w:p>
    <w:p w14:paraId="7AF292C3" w14:textId="46F53B8D" w:rsidR="009A6EE0" w:rsidRPr="002B3F36" w:rsidRDefault="009A6EE0" w:rsidP="006D637E">
      <w:pPr>
        <w:pStyle w:val="ReportBodyPar"/>
      </w:pPr>
    </w:p>
    <w:p w14:paraId="64B54B7C" w14:textId="7E27EA61" w:rsidR="009A6EE0" w:rsidRPr="002B3F36" w:rsidRDefault="009A6EE0" w:rsidP="009A6EE0">
      <w:pPr>
        <w:pStyle w:val="ReportBodyPar"/>
      </w:pPr>
      <w:r w:rsidRPr="002B3F36">
        <w:t xml:space="preserve">For the </w:t>
      </w:r>
      <w:r w:rsidR="003650DB" w:rsidRPr="002B3F36">
        <w:t xml:space="preserve">Mointy – Kyzylzhar </w:t>
      </w:r>
      <w:r w:rsidRPr="002B3F36">
        <w:t>railway project, the World Bank Group (WBG) requires a formal determination of Critical Habitat to establish applicable biodiversity obligations, such as achieving net gains in critical habitats and preparing Biodiversity Action Plans (BAPs) where necessary.</w:t>
      </w:r>
    </w:p>
    <w:p w14:paraId="1A1DB0A9" w14:textId="77777777" w:rsidR="009A6EE0" w:rsidRPr="002B3F36" w:rsidRDefault="009A6EE0" w:rsidP="009A6EE0">
      <w:pPr>
        <w:pStyle w:val="ReportBodyPar"/>
      </w:pPr>
    </w:p>
    <w:p w14:paraId="000F0A5B" w14:textId="77777777" w:rsidR="009A6EE0" w:rsidRPr="002B3F36" w:rsidRDefault="009A6EE0" w:rsidP="009A6EE0">
      <w:pPr>
        <w:pStyle w:val="ReportBodyPar"/>
      </w:pPr>
      <w:r w:rsidRPr="002B3F36">
        <w:lastRenderedPageBreak/>
        <w:t>In particular, two Key Biodiversity Areas (KBAs) require careful consideration. The Ayak-Bestau Hills qualify under criterion A1c (supporting ≥0.1% of the global population and ≥5 reproductive units) for the Steppe Eagle, which may meet Critical Habitat thresholds as a nationally or regionally significant population, especially if this species remains listed in the most recent Kazakhstan Red Data Book. Similarly, the Ortau upland massif qualifies under criterion D1a (supporting ≥1% of the global population over a season and during more than one life history stage) for the Pallid Harrier, which meets Critical Habitat criteria as a globally significant concentration.</w:t>
      </w:r>
    </w:p>
    <w:p w14:paraId="5C0CF90F" w14:textId="77777777" w:rsidR="009A6EE0" w:rsidRPr="002B3F36" w:rsidRDefault="009A6EE0" w:rsidP="009A6EE0">
      <w:pPr>
        <w:pStyle w:val="ReportBodyPar"/>
      </w:pPr>
    </w:p>
    <w:p w14:paraId="48FA5BAD" w14:textId="677E1774" w:rsidR="009A6EE0" w:rsidRPr="002B3F36" w:rsidRDefault="009A6EE0" w:rsidP="009A6EE0">
      <w:pPr>
        <w:pStyle w:val="ReportBodyPar"/>
      </w:pPr>
      <w:r w:rsidRPr="002B3F36">
        <w:t xml:space="preserve">Given these sensitivities, </w:t>
      </w:r>
      <w:r w:rsidR="006971D5" w:rsidRPr="002B3F36">
        <w:t xml:space="preserve">a </w:t>
      </w:r>
      <w:r w:rsidRPr="002B3F36">
        <w:t xml:space="preserve">screening </w:t>
      </w:r>
      <w:r w:rsidR="006971D5" w:rsidRPr="002B3F36">
        <w:t>was conducted in alignment</w:t>
      </w:r>
      <w:r w:rsidRPr="002B3F36">
        <w:t xml:space="preserve"> with </w:t>
      </w:r>
      <w:r w:rsidR="006971D5" w:rsidRPr="002B3F36">
        <w:t xml:space="preserve">WB </w:t>
      </w:r>
      <w:r w:rsidRPr="002B3F36">
        <w:t xml:space="preserve">Performance Standard 6 (PS6) and WBG Environmental, Health, and Safety (EHS) Guidelines, applying internationally recognized thresholds and national species conservation data to confirm whether these KBAs, or any other locations within the railway corridor + 5 km buffer, trigger Critical Habitat classification. This determination will inform requirements for mitigation hierarchy application, Biodiversity Management Plans, and, where applicable, Biodiversity Action Plans to achieve no net loss or net gain in biodiversity values. A result of the relevant analysis is shown </w:t>
      </w:r>
      <w:r w:rsidR="00D153B7" w:rsidRPr="002B3F36">
        <w:t xml:space="preserve">in the Table </w:t>
      </w:r>
      <w:r w:rsidRPr="002B3F36">
        <w:t>below.</w:t>
      </w:r>
    </w:p>
    <w:p w14:paraId="053A4087" w14:textId="77777777" w:rsidR="00D153B7" w:rsidRPr="002B3F36" w:rsidRDefault="00D153B7" w:rsidP="009A6EE0">
      <w:pPr>
        <w:pStyle w:val="ReportBodyPar"/>
      </w:pPr>
    </w:p>
    <w:p w14:paraId="12633280" w14:textId="3D83F039" w:rsidR="009A6EE0" w:rsidRPr="002B3F36" w:rsidRDefault="00D153B7" w:rsidP="00D153B7">
      <w:pPr>
        <w:pStyle w:val="TableCaption"/>
      </w:pPr>
      <w:bookmarkStart w:id="1991" w:name="_Toc210589561"/>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2B3F36">
        <w:rPr>
          <w:noProof/>
        </w:rPr>
        <w:t>17</w:t>
      </w:r>
      <w:r w:rsidR="00CF113E" w:rsidRPr="002B3F36">
        <w:fldChar w:fldCharType="end"/>
      </w:r>
      <w:r w:rsidRPr="002B3F36">
        <w:t>:</w:t>
      </w:r>
      <w:r w:rsidRPr="002B3F36">
        <w:rPr>
          <w:i/>
          <w:iCs/>
          <w:sz w:val="22"/>
          <w:szCs w:val="22"/>
        </w:rPr>
        <w:t xml:space="preserve"> </w:t>
      </w:r>
      <w:r w:rsidRPr="002B3F36">
        <w:t>Assessment of Biodiversity Value and Potential Critical Habitat</w:t>
      </w:r>
      <w:bookmarkEnd w:id="1991"/>
    </w:p>
    <w:tbl>
      <w:tblPr>
        <w:tblW w:w="0" w:type="auto"/>
        <w:shd w:val="clear" w:color="auto" w:fill="FFFFFF"/>
        <w:tblCellMar>
          <w:left w:w="0" w:type="dxa"/>
          <w:right w:w="0" w:type="dxa"/>
        </w:tblCellMar>
        <w:tblLook w:val="04A0" w:firstRow="1" w:lastRow="0" w:firstColumn="1" w:lastColumn="0" w:noHBand="0" w:noVBand="1"/>
      </w:tblPr>
      <w:tblGrid>
        <w:gridCol w:w="1595"/>
        <w:gridCol w:w="904"/>
        <w:gridCol w:w="1301"/>
        <w:gridCol w:w="1534"/>
        <w:gridCol w:w="1109"/>
        <w:gridCol w:w="3257"/>
      </w:tblGrid>
      <w:tr w:rsidR="00241C90" w:rsidRPr="002B3F36" w14:paraId="2769ED99" w14:textId="77777777" w:rsidTr="00241C90">
        <w:trPr>
          <w:cantSplit/>
          <w:tblHeader/>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0D578A93" w14:textId="77777777" w:rsidR="00241C90" w:rsidRPr="002B3F36" w:rsidRDefault="00241C90" w:rsidP="00241C90">
            <w:pPr>
              <w:spacing w:before="100" w:beforeAutospacing="1" w:after="100" w:afterAutospacing="1"/>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Biodiversity value</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726BD4A2" w14:textId="77777777" w:rsidR="00241C90" w:rsidRPr="002B3F36" w:rsidRDefault="00241C90" w:rsidP="00241C90">
            <w:pPr>
              <w:spacing w:before="100" w:beforeAutospacing="1" w:after="100" w:afterAutospacing="1"/>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IUCN status</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2DC943A3" w14:textId="77777777" w:rsidR="00241C90" w:rsidRPr="002B3F36" w:rsidRDefault="00241C90" w:rsidP="00241C90">
            <w:pPr>
              <w:spacing w:before="100" w:beforeAutospacing="1" w:after="100" w:afterAutospacing="1"/>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Present in screening area?</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1D349690" w14:textId="77777777" w:rsidR="00241C90" w:rsidRPr="002B3F36" w:rsidRDefault="00241C90" w:rsidP="00241C90">
            <w:pPr>
              <w:spacing w:before="100" w:beforeAutospacing="1" w:after="100" w:afterAutospacing="1"/>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Potential CH trigger</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0580DDB2" w14:textId="77777777" w:rsidR="00241C90" w:rsidRPr="002B3F36" w:rsidRDefault="00241C90" w:rsidP="00241C90">
            <w:pPr>
              <w:spacing w:before="100" w:beforeAutospacing="1" w:after="100" w:afterAutospacing="1"/>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Potential for CH?</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3BC59ECD" w14:textId="77777777" w:rsidR="00241C90" w:rsidRPr="002B3F36" w:rsidRDefault="00241C90" w:rsidP="00241C90">
            <w:pPr>
              <w:spacing w:before="100" w:beforeAutospacing="1" w:after="100" w:afterAutospacing="1"/>
              <w:jc w:val="center"/>
              <w:rPr>
                <w:rFonts w:ascii="Arial" w:eastAsia="Times New Roman" w:hAnsi="Arial" w:cs="Arial"/>
                <w:color w:val="222222"/>
                <w:sz w:val="20"/>
                <w:szCs w:val="20"/>
                <w:lang w:eastAsia="en-PH"/>
              </w:rPr>
            </w:pPr>
            <w:r w:rsidRPr="002B3F36">
              <w:rPr>
                <w:rFonts w:ascii="Arial" w:eastAsia="Times New Roman" w:hAnsi="Arial" w:cs="Arial"/>
                <w:b/>
                <w:bCs/>
                <w:color w:val="222222"/>
                <w:sz w:val="20"/>
                <w:szCs w:val="20"/>
                <w:lang w:eastAsia="en-PH"/>
              </w:rPr>
              <w:t>Justification</w:t>
            </w:r>
          </w:p>
        </w:tc>
      </w:tr>
      <w:tr w:rsidR="00241C90" w:rsidRPr="002B3F36" w14:paraId="77657B89"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5CCD93B" w14:textId="77777777" w:rsidR="00241C90" w:rsidRPr="002B3F36" w:rsidRDefault="00241C90" w:rsidP="00241C90">
            <w:pPr>
              <w:rPr>
                <w:rFonts w:ascii="Arial" w:eastAsia="TimesNewRomanPSMT" w:hAnsi="Arial" w:cs="Arial"/>
                <w:b/>
                <w:bCs/>
                <w:color w:val="000000"/>
                <w:sz w:val="20"/>
                <w:szCs w:val="20"/>
              </w:rPr>
            </w:pPr>
            <w:r w:rsidRPr="002B3F36">
              <w:rPr>
                <w:rFonts w:ascii="Arial" w:eastAsia="Times New Roman" w:hAnsi="Arial" w:cs="Arial"/>
                <w:color w:val="222222"/>
                <w:sz w:val="20"/>
                <w:szCs w:val="20"/>
                <w:lang w:eastAsia="en-PH"/>
              </w:rPr>
              <w:t xml:space="preserve">Steppe Eagle </w:t>
            </w:r>
            <w:r w:rsidRPr="002B3F36">
              <w:rPr>
                <w:rFonts w:ascii="Arial" w:eastAsia="TimesNewRomanPSMT" w:hAnsi="Arial" w:cs="Arial"/>
                <w:color w:val="000000" w:themeColor="text1"/>
                <w:sz w:val="20"/>
                <w:szCs w:val="20"/>
              </w:rPr>
              <w:t>(</w:t>
            </w:r>
            <w:r w:rsidRPr="002B3F36">
              <w:rPr>
                <w:rFonts w:ascii="Arial" w:eastAsia="TimesNewRomanPSMT" w:hAnsi="Arial" w:cs="Arial"/>
                <w:i/>
                <w:iCs/>
                <w:color w:val="000000" w:themeColor="text1"/>
                <w:sz w:val="20"/>
                <w:szCs w:val="20"/>
              </w:rPr>
              <w:t>Aquila nipalensis</w:t>
            </w:r>
            <w:r w:rsidRPr="002B3F36">
              <w:rPr>
                <w:rFonts w:ascii="Arial" w:eastAsia="TimesNewRomanPSMT" w:hAnsi="Arial" w:cs="Arial"/>
                <w:color w:val="000000" w:themeColor="text1"/>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EB66D5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EN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78CC82A"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EE7EA3E"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CR/EN species</w:t>
            </w:r>
          </w:p>
          <w:p w14:paraId="52123772" w14:textId="77777777" w:rsidR="00241C90" w:rsidRPr="002B3F36" w:rsidRDefault="00241C90" w:rsidP="00241C90">
            <w:pPr>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Category 5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FE5F20C"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38383D6" w14:textId="77777777" w:rsidR="00241C90" w:rsidRPr="002B3F36" w:rsidRDefault="00241C90" w:rsidP="00241C90">
            <w:pPr>
              <w:jc w:val="both"/>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KBA designated for species which overlaps project. Species is also nationally threatened and this site is considered regionally/nationally important.</w:t>
            </w:r>
          </w:p>
        </w:tc>
      </w:tr>
      <w:tr w:rsidR="00241C90" w:rsidRPr="002B3F36" w14:paraId="104E5FEF"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B412BF6" w14:textId="77777777" w:rsidR="00241C90" w:rsidRPr="002B3F36" w:rsidRDefault="00241C90" w:rsidP="00241C90">
            <w:pPr>
              <w:jc w:val="both"/>
              <w:rPr>
                <w:rFonts w:ascii="Arial" w:eastAsia="TimesNewRomanPSMT" w:hAnsi="Arial" w:cs="Arial"/>
                <w:color w:val="000000"/>
                <w:sz w:val="20"/>
                <w:szCs w:val="20"/>
                <w:lang w:val="ru-RU"/>
              </w:rPr>
            </w:pPr>
            <w:r w:rsidRPr="002B3F36">
              <w:rPr>
                <w:rFonts w:ascii="Arial" w:eastAsia="TimesNewRomanPSMT" w:hAnsi="Arial" w:cs="Arial"/>
                <w:color w:val="000000"/>
                <w:sz w:val="20"/>
                <w:szCs w:val="20"/>
              </w:rPr>
              <w:t>Golden Eagle (</w:t>
            </w:r>
            <w:r w:rsidRPr="002B3F36">
              <w:rPr>
                <w:rFonts w:ascii="Arial" w:eastAsia="TimesNewRomanPSMT" w:hAnsi="Arial" w:cs="Arial"/>
                <w:i/>
                <w:color w:val="000000"/>
                <w:sz w:val="20"/>
                <w:szCs w:val="20"/>
              </w:rPr>
              <w:t>Aquila chrysaetos</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E40332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FF6BD7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7CEC8A9"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Category 3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2F4B3BD"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0A04A47" w14:textId="77777777" w:rsidR="00241C90" w:rsidRPr="002B3F36" w:rsidRDefault="00241C90" w:rsidP="00241C90">
            <w:pPr>
              <w:jc w:val="both"/>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and this site is considered regionally/nationally important.</w:t>
            </w:r>
          </w:p>
        </w:tc>
      </w:tr>
      <w:tr w:rsidR="00241C90" w:rsidRPr="002B3F36" w14:paraId="4F1FB763"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C31B02" w14:textId="77777777" w:rsidR="00241C90" w:rsidRPr="002B3F36" w:rsidRDefault="00241C90" w:rsidP="00241C90">
            <w:pPr>
              <w:jc w:val="both"/>
              <w:rPr>
                <w:rFonts w:ascii="Arial" w:eastAsia="TimesNewRomanPSMT" w:hAnsi="Arial" w:cs="Arial"/>
                <w:i/>
                <w:color w:val="000000"/>
                <w:sz w:val="20"/>
                <w:szCs w:val="20"/>
                <w:lang w:val="ru-RU"/>
              </w:rPr>
            </w:pPr>
            <w:r w:rsidRPr="002B3F36">
              <w:rPr>
                <w:rFonts w:ascii="Arial" w:eastAsia="TimesNewRomanPSMT" w:hAnsi="Arial" w:cs="Arial"/>
                <w:color w:val="000000"/>
                <w:sz w:val="20"/>
                <w:szCs w:val="20"/>
              </w:rPr>
              <w:t>Imperial Eagle (</w:t>
            </w:r>
            <w:r w:rsidRPr="002B3F36">
              <w:rPr>
                <w:rFonts w:ascii="Arial" w:eastAsia="TimesNewRomanPSMT" w:hAnsi="Arial" w:cs="Arial"/>
                <w:i/>
                <w:color w:val="000000"/>
                <w:sz w:val="20"/>
                <w:szCs w:val="20"/>
              </w:rPr>
              <w:t>Aquila heliaca</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CEFE4A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VU</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A22EA9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88DED6F"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Category 3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7DA819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4AAFFB0"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and this site is considered regionally/nationally important.</w:t>
            </w:r>
          </w:p>
        </w:tc>
      </w:tr>
      <w:tr w:rsidR="00241C90" w:rsidRPr="002B3F36" w14:paraId="1FA0A241"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0ECB3080" w14:textId="77777777" w:rsidR="00241C90" w:rsidRPr="002B3F36" w:rsidRDefault="00241C90" w:rsidP="00241C90">
            <w:pPr>
              <w:jc w:val="both"/>
              <w:rPr>
                <w:rFonts w:ascii="Arial" w:eastAsia="TimesNewRomanPSMT" w:hAnsi="Arial" w:cs="Arial"/>
                <w:color w:val="000000"/>
                <w:sz w:val="20"/>
                <w:szCs w:val="20"/>
              </w:rPr>
            </w:pPr>
            <w:r w:rsidRPr="002B3F36">
              <w:rPr>
                <w:rFonts w:ascii="Arial" w:eastAsia="TimesNewRomanPSMT" w:hAnsi="Arial" w:cs="Arial"/>
                <w:color w:val="000000"/>
                <w:sz w:val="20"/>
                <w:szCs w:val="20"/>
              </w:rPr>
              <w:t>Booted Eagle (</w:t>
            </w:r>
            <w:r w:rsidRPr="002B3F36">
              <w:rPr>
                <w:rFonts w:ascii="Arial" w:eastAsia="TimesNewRomanPSMT" w:hAnsi="Arial" w:cs="Arial"/>
                <w:i/>
                <w:color w:val="000000"/>
                <w:sz w:val="20"/>
                <w:szCs w:val="20"/>
              </w:rPr>
              <w:t>Hieraaetus pennatus</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41068AE"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xml:space="preserve">LC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48CAE4F"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 but not registered during survey</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407D109"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Category 3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AEB12E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741BA9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but the site is not critical for it</w:t>
            </w:r>
          </w:p>
        </w:tc>
      </w:tr>
      <w:tr w:rsidR="00241C90" w:rsidRPr="002B3F36" w14:paraId="75D5400A"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07D5833" w14:textId="77777777" w:rsidR="00241C90" w:rsidRPr="002B3F36" w:rsidRDefault="00241C90" w:rsidP="00241C90">
            <w:pPr>
              <w:jc w:val="both"/>
              <w:rPr>
                <w:rFonts w:ascii="Arial" w:eastAsia="TimesNewRomanPSMT" w:hAnsi="Arial" w:cs="Arial"/>
                <w:color w:val="000000"/>
                <w:sz w:val="20"/>
                <w:szCs w:val="20"/>
              </w:rPr>
            </w:pPr>
            <w:r w:rsidRPr="002B3F36">
              <w:rPr>
                <w:rFonts w:ascii="Arial" w:eastAsia="TimesNewRomanPSMT" w:hAnsi="Arial" w:cs="Arial"/>
                <w:color w:val="000000"/>
                <w:sz w:val="20"/>
                <w:szCs w:val="20"/>
              </w:rPr>
              <w:t>Short-Toed Eagle (</w:t>
            </w:r>
            <w:r w:rsidRPr="002B3F36">
              <w:rPr>
                <w:rFonts w:ascii="Arial" w:eastAsia="TimesNewRomanPSMT" w:hAnsi="Arial" w:cs="Arial"/>
                <w:i/>
                <w:color w:val="000000"/>
                <w:sz w:val="20"/>
                <w:szCs w:val="20"/>
              </w:rPr>
              <w:t>Circaetus gallicus</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3AD8C66"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3EFDFE1"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 but not registered during survey</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46C5E68"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Category 3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C6E80F0"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6556A20"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but the site is not critical for it</w:t>
            </w:r>
          </w:p>
        </w:tc>
      </w:tr>
      <w:tr w:rsidR="00241C90" w:rsidRPr="002B3F36" w14:paraId="4142A1A6"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1106A77D" w14:textId="77777777" w:rsidR="00241C90" w:rsidRPr="002B3F36" w:rsidRDefault="00241C90" w:rsidP="00241C90">
            <w:pPr>
              <w:jc w:val="both"/>
              <w:rPr>
                <w:rFonts w:ascii="Arial" w:eastAsia="TimesNewRomanPSMT" w:hAnsi="Arial" w:cs="Arial"/>
                <w:color w:val="000000"/>
                <w:sz w:val="20"/>
                <w:szCs w:val="20"/>
              </w:rPr>
            </w:pPr>
            <w:r w:rsidRPr="002B3F36">
              <w:rPr>
                <w:rFonts w:ascii="Arial" w:eastAsia="Times New Roman" w:hAnsi="Arial" w:cs="Arial"/>
                <w:color w:val="222222"/>
                <w:sz w:val="20"/>
                <w:szCs w:val="20"/>
                <w:lang w:eastAsia="en-PH"/>
              </w:rPr>
              <w:t>Saker falcon (</w:t>
            </w:r>
            <w:r w:rsidRPr="002B3F36">
              <w:rPr>
                <w:rFonts w:ascii="Arial" w:eastAsia="Times New Roman" w:hAnsi="Arial" w:cs="Arial"/>
                <w:i/>
                <w:color w:val="222222"/>
                <w:sz w:val="20"/>
                <w:szCs w:val="20"/>
                <w:lang w:eastAsia="en-PH"/>
              </w:rPr>
              <w:t>Falco cherrug</w:t>
            </w:r>
            <w:r w:rsidRPr="002B3F36">
              <w:rPr>
                <w:rFonts w:ascii="Arial" w:eastAsia="Times New Roman" w:hAnsi="Arial" w:cs="Arial"/>
                <w:color w:val="222222"/>
                <w:sz w:val="20"/>
                <w:szCs w:val="20"/>
                <w:lang w:eastAsia="en-PH"/>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7541098"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EN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F0D7B2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33B2CAA"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Category 1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02D3BF7"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262542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and this site is considered regionally/nationally important.</w:t>
            </w:r>
          </w:p>
        </w:tc>
      </w:tr>
      <w:tr w:rsidR="00241C90" w:rsidRPr="002B3F36" w14:paraId="32F58621"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34403C8A" w14:textId="77777777" w:rsidR="00241C90" w:rsidRPr="002B3F36" w:rsidRDefault="00241C90" w:rsidP="00241C90">
            <w:pPr>
              <w:jc w:val="both"/>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lastRenderedPageBreak/>
              <w:t>Black Stork (</w:t>
            </w:r>
            <w:r w:rsidRPr="002B3F36">
              <w:rPr>
                <w:rFonts w:ascii="Arial" w:eastAsia="TimesNewRomanPSMT" w:hAnsi="Arial" w:cs="Arial"/>
                <w:i/>
                <w:color w:val="000000"/>
                <w:sz w:val="20"/>
                <w:szCs w:val="20"/>
              </w:rPr>
              <w:t>Ciconia nigra</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F5F4ECE"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65EF20E"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 but not registered during survey</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378C5ED"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Category 3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B4DC978"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236FF86"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but the site is not critical for it</w:t>
            </w:r>
          </w:p>
        </w:tc>
      </w:tr>
      <w:tr w:rsidR="00241C90" w:rsidRPr="002B3F36" w14:paraId="68580FCC"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102780A6" w14:textId="77777777" w:rsidR="00241C90" w:rsidRPr="002B3F36" w:rsidRDefault="00241C90" w:rsidP="00241C90">
            <w:pPr>
              <w:jc w:val="both"/>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Demoiselle Crane (</w:t>
            </w:r>
            <w:r w:rsidRPr="002B3F36">
              <w:rPr>
                <w:rFonts w:ascii="Arial" w:eastAsia="TimesNewRomanPSMT" w:hAnsi="Arial" w:cs="Arial"/>
                <w:i/>
                <w:color w:val="000000"/>
                <w:sz w:val="20"/>
                <w:szCs w:val="20"/>
              </w:rPr>
              <w:t>Anthropoides virgo</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67F1FE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LC – Global</w:t>
            </w:r>
          </w:p>
          <w:p w14:paraId="65F85C60"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EN – in Europe</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3FCBF3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 but not registered during survey</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23F9F5C"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Category 5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DD136C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E2E7C01"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but the site is not critical for it</w:t>
            </w:r>
          </w:p>
        </w:tc>
      </w:tr>
      <w:tr w:rsidR="00241C90" w:rsidRPr="002B3F36" w14:paraId="15E365BA"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1562F25C" w14:textId="77777777" w:rsidR="00241C90" w:rsidRPr="002B3F36" w:rsidRDefault="00241C90" w:rsidP="00241C90">
            <w:pPr>
              <w:jc w:val="both"/>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Eagle Owl (</w:t>
            </w:r>
            <w:r w:rsidRPr="002B3F36">
              <w:rPr>
                <w:rFonts w:ascii="Arial" w:eastAsia="TimesNewRomanPSMT" w:hAnsi="Arial" w:cs="Arial"/>
                <w:i/>
                <w:color w:val="000000"/>
                <w:sz w:val="20"/>
                <w:szCs w:val="20"/>
              </w:rPr>
              <w:t>Bubo bubo</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FF86075"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6992259"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 but not registered during survey</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BC792DC"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Category 4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259FCA8"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13E80E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but the site is not critical for it</w:t>
            </w:r>
          </w:p>
        </w:tc>
      </w:tr>
      <w:tr w:rsidR="00241C90" w:rsidRPr="002B3F36" w14:paraId="7BC0DB30"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FC23B34" w14:textId="77777777" w:rsidR="00241C90" w:rsidRPr="002B3F36" w:rsidRDefault="00241C90" w:rsidP="00241C90">
            <w:pPr>
              <w:jc w:val="both"/>
              <w:rPr>
                <w:rFonts w:ascii="Arial" w:eastAsia="TimesNewRomanPSMT" w:hAnsi="Arial" w:cs="Arial"/>
                <w:color w:val="000000"/>
                <w:sz w:val="20"/>
                <w:szCs w:val="20"/>
                <w:lang w:val="ru-RU"/>
              </w:rPr>
            </w:pPr>
            <w:r w:rsidRPr="002B3F36">
              <w:rPr>
                <w:rFonts w:ascii="Arial" w:eastAsia="TimesNewRomanPSMT" w:hAnsi="Arial" w:cs="Arial"/>
                <w:color w:val="000000"/>
                <w:sz w:val="20"/>
                <w:szCs w:val="20"/>
              </w:rPr>
              <w:t>Lapwing (</w:t>
            </w:r>
            <w:r w:rsidRPr="002B3F36">
              <w:rPr>
                <w:rFonts w:ascii="Arial" w:eastAsia="TimesNewRomanPSMT" w:hAnsi="Arial" w:cs="Arial"/>
                <w:i/>
                <w:color w:val="000000"/>
                <w:sz w:val="20"/>
                <w:szCs w:val="20"/>
              </w:rPr>
              <w:t>Vanellus vanellus</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966214A"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E18073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AD8F7E8"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NT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0AB6AF5"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B32ED27"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The territory is not key for the reproduction of the species</w:t>
            </w:r>
          </w:p>
        </w:tc>
      </w:tr>
      <w:tr w:rsidR="00241C90" w:rsidRPr="002B3F36" w14:paraId="6DB3DE63"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0A5CCEE" w14:textId="77777777" w:rsidR="00241C90" w:rsidRPr="002B3F36" w:rsidRDefault="00241C90" w:rsidP="00241C90">
            <w:pPr>
              <w:jc w:val="both"/>
              <w:rPr>
                <w:rFonts w:ascii="Arial" w:eastAsia="TimesNewRomanPSMT" w:hAnsi="Arial" w:cs="Arial"/>
                <w:color w:val="000000"/>
                <w:sz w:val="20"/>
                <w:szCs w:val="20"/>
              </w:rPr>
            </w:pPr>
            <w:r w:rsidRPr="002B3F36">
              <w:rPr>
                <w:rFonts w:ascii="Arial" w:eastAsia="TimesNewRomanPSMT" w:hAnsi="Arial" w:cs="Arial"/>
                <w:color w:val="000000"/>
                <w:sz w:val="20"/>
                <w:szCs w:val="20"/>
              </w:rPr>
              <w:t>Little Bustard (</w:t>
            </w:r>
            <w:r w:rsidRPr="002B3F36">
              <w:rPr>
                <w:rFonts w:ascii="Arial" w:eastAsia="TimesNewRomanPSMT" w:hAnsi="Arial" w:cs="Arial"/>
                <w:i/>
                <w:color w:val="000000"/>
                <w:sz w:val="20"/>
                <w:szCs w:val="20"/>
              </w:rPr>
              <w:t>Tetrax tetrax</w:t>
            </w:r>
            <w:r w:rsidRPr="002B3F3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3B3901D"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AAC979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A3FE9F3" w14:textId="77777777" w:rsidR="00241C90" w:rsidRPr="002B3F36" w:rsidRDefault="00241C90" w:rsidP="00241C90">
            <w:pPr>
              <w:spacing w:before="100" w:beforeAutospacing="1" w:after="100" w:afterAutospacing="1"/>
              <w:rPr>
                <w:rFonts w:ascii="Arial" w:eastAsia="TimesNewRomanPSMT" w:hAnsi="Arial" w:cs="Arial"/>
                <w:color w:val="000000"/>
                <w:sz w:val="20"/>
                <w:szCs w:val="20"/>
              </w:rPr>
            </w:pPr>
            <w:r w:rsidRPr="002B3F36">
              <w:rPr>
                <w:rFonts w:ascii="Arial" w:eastAsia="TimesNewRomanPSMT" w:hAnsi="Arial" w:cs="Arial"/>
                <w:color w:val="000000"/>
                <w:sz w:val="20"/>
                <w:szCs w:val="20"/>
              </w:rPr>
              <w:t>NT/ Category 2 of the Red Book of the Republic of Kazakhstan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0FED96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E650B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Species is nationally threatened and this site is considered regionally/nationally important.</w:t>
            </w:r>
          </w:p>
        </w:tc>
      </w:tr>
      <w:tr w:rsidR="00241C90" w:rsidRPr="002B3F36" w14:paraId="728F2C30" w14:textId="77777777" w:rsidTr="00241C90">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8676E9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Common Hamster (</w:t>
            </w:r>
            <w:r w:rsidRPr="002B3F36">
              <w:rPr>
                <w:rFonts w:ascii="Arial" w:eastAsia="Times New Roman" w:hAnsi="Arial" w:cs="Arial"/>
                <w:i/>
                <w:iCs/>
                <w:color w:val="222222"/>
                <w:sz w:val="20"/>
                <w:szCs w:val="20"/>
                <w:lang w:eastAsia="en-PH"/>
              </w:rPr>
              <w:t>Cricetus cricetus</w:t>
            </w:r>
            <w:r w:rsidRPr="002B3F36">
              <w:rPr>
                <w:rFonts w:ascii="Arial" w:eastAsia="Times New Roman" w:hAnsi="Arial" w:cs="Arial"/>
                <w:color w:val="222222"/>
                <w:sz w:val="20"/>
                <w:szCs w:val="20"/>
                <w:lang w:eastAsia="en-PH"/>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30B06DA"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CR</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912AB2A"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Possible</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C3D5F85"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CR/EN species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986557F"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18ABD5A"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Known range and habitat preferences are not present in screening area</w:t>
            </w:r>
          </w:p>
        </w:tc>
      </w:tr>
      <w:tr w:rsidR="00241C90" w:rsidRPr="002B3F36" w14:paraId="1233957D" w14:textId="77777777" w:rsidTr="00241C90">
        <w:trPr>
          <w:cantSplit/>
        </w:trPr>
        <w:tc>
          <w:tcPr>
            <w:tcW w:w="0" w:type="auto"/>
            <w:tcBorders>
              <w:top w:val="nil"/>
              <w:left w:val="single" w:sz="8" w:space="0" w:color="auto"/>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799F2F6F"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Saiga (</w:t>
            </w:r>
            <w:r w:rsidRPr="002B3F36">
              <w:rPr>
                <w:rFonts w:ascii="Arial" w:eastAsia="Times New Roman" w:hAnsi="Arial" w:cs="Arial"/>
                <w:i/>
                <w:iCs/>
                <w:color w:val="222222"/>
                <w:sz w:val="20"/>
                <w:szCs w:val="20"/>
                <w:lang w:eastAsia="en-PH"/>
              </w:rPr>
              <w:t>Saiga tatarica</w:t>
            </w:r>
            <w:r w:rsidRPr="002B3F36">
              <w:rPr>
                <w:rFonts w:ascii="Arial" w:eastAsia="Times New Roman" w:hAnsi="Arial" w:cs="Arial"/>
                <w:color w:val="222222"/>
                <w:sz w:val="20"/>
                <w:szCs w:val="20"/>
                <w:lang w:eastAsia="en-PH"/>
              </w:rPr>
              <w:t>)</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6AEBBB38"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NT</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707A43F5"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1D8E0E82"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Migratory species</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6DCF587B"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6825CEC"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Not currently present in significant numbers in screening area to meet thresholds of 1% of global population. Ongoing recolonization continues and the number is growing and so the species should be treated as a priority even if it does not trigger Critical Habitat.</w:t>
            </w:r>
          </w:p>
        </w:tc>
      </w:tr>
      <w:tr w:rsidR="00241C90" w:rsidRPr="002B3F36" w14:paraId="7CA3F7FE" w14:textId="77777777" w:rsidTr="00241C90">
        <w:trPr>
          <w:cantSplit/>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FFAA86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Argali (</w:t>
            </w:r>
            <w:r w:rsidRPr="002B3F36">
              <w:rPr>
                <w:rFonts w:ascii="Arial" w:hAnsi="Arial" w:cs="Arial"/>
                <w:i/>
                <w:sz w:val="20"/>
                <w:szCs w:val="20"/>
              </w:rPr>
              <w:t>Ovis ammon</w:t>
            </w:r>
            <w:r w:rsidRPr="002B3F36">
              <w:rPr>
                <w:rFonts w:ascii="Arial" w:eastAsia="Times New Roman" w:hAnsi="Arial" w:cs="Arial"/>
                <w:color w:val="222222"/>
                <w:sz w:val="20"/>
                <w:szCs w:val="20"/>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E1ABED9"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3185F5A"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 but not registered during survey</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690ED556"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791B35AE"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3E75491"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The construction site does not affect the main habitats of the local Argali population.</w:t>
            </w:r>
          </w:p>
        </w:tc>
      </w:tr>
      <w:tr w:rsidR="00241C90" w:rsidRPr="002B3F36" w14:paraId="5C63C39B" w14:textId="77777777" w:rsidTr="00241C90">
        <w:trPr>
          <w:cantSplit/>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96DC9C1" w14:textId="77777777" w:rsidR="00241C90" w:rsidRPr="002B3F36" w:rsidRDefault="00241C90" w:rsidP="00241C90">
            <w:pPr>
              <w:spacing w:before="100" w:beforeAutospacing="1" w:after="100" w:afterAutospacing="1"/>
              <w:rPr>
                <w:rFonts w:ascii="Arial" w:eastAsia="Times New Roman" w:hAnsi="Arial" w:cs="Arial"/>
                <w:i/>
                <w:color w:val="222222"/>
                <w:sz w:val="20"/>
                <w:szCs w:val="20"/>
                <w:lang w:val="ru-RU" w:eastAsia="en-PH"/>
              </w:rPr>
            </w:pPr>
            <w:r w:rsidRPr="002B3F36">
              <w:rPr>
                <w:rFonts w:ascii="Arial" w:hAnsi="Arial" w:cs="Arial"/>
                <w:i/>
                <w:color w:val="000000"/>
                <w:sz w:val="20"/>
                <w:szCs w:val="20"/>
              </w:rPr>
              <w:t>Tulipa patens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43E1BBF7"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45F4DE2D"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DFC5051"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Red Book of the Republic of Kazakhstan</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3A229D0"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6F2AEA19"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The species is scattered and sporadic along the entire railway line.</w:t>
            </w:r>
          </w:p>
        </w:tc>
      </w:tr>
      <w:tr w:rsidR="00241C90" w:rsidRPr="002B3F36" w14:paraId="6506AB7D" w14:textId="77777777" w:rsidTr="00241C90">
        <w:trPr>
          <w:cantSplit/>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7A53FB54"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NewRomanPSMT" w:hAnsi="Arial" w:cs="Arial"/>
                <w:i/>
                <w:color w:val="000000"/>
                <w:sz w:val="20"/>
                <w:szCs w:val="20"/>
                <w:lang w:val="en-GB"/>
              </w:rPr>
              <w:t>Haloxylon aphyllum</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02DDC68C"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val="ru-RU" w:eastAsia="en-PH"/>
              </w:rPr>
            </w:pPr>
            <w:r w:rsidRPr="002B3F36">
              <w:rPr>
                <w:rFonts w:ascii="Arial" w:eastAsia="Times New Roman" w:hAnsi="Arial" w:cs="Arial"/>
                <w:color w:val="222222"/>
                <w:sz w:val="20"/>
                <w:szCs w:val="20"/>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116943F"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Yes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A41EEE3"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NewRomanPSMT" w:hAnsi="Arial" w:cs="Arial"/>
                <w:color w:val="000000"/>
                <w:sz w:val="20"/>
                <w:szCs w:val="20"/>
              </w:rPr>
              <w:t>M</w:t>
            </w:r>
            <w:r w:rsidRPr="002B3F36">
              <w:rPr>
                <w:rFonts w:ascii="Arial" w:eastAsia="TimesNewRomanPSMT" w:hAnsi="Arial" w:cs="Arial"/>
                <w:color w:val="000000"/>
                <w:sz w:val="20"/>
                <w:szCs w:val="20"/>
                <w:lang w:val="en-GB"/>
              </w:rPr>
              <w:t>oratorium for cut down</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E763536"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No</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7E41BAD" w14:textId="77777777" w:rsidR="00241C90" w:rsidRPr="002B3F36" w:rsidRDefault="00241C90" w:rsidP="00241C90">
            <w:pPr>
              <w:spacing w:before="100" w:beforeAutospacing="1" w:after="100" w:afterAutospacing="1"/>
              <w:rPr>
                <w:rFonts w:ascii="Arial" w:eastAsia="Times New Roman" w:hAnsi="Arial" w:cs="Arial"/>
                <w:color w:val="222222"/>
                <w:sz w:val="20"/>
                <w:szCs w:val="20"/>
                <w:lang w:eastAsia="en-PH"/>
              </w:rPr>
            </w:pPr>
            <w:r w:rsidRPr="002B3F36">
              <w:rPr>
                <w:rFonts w:ascii="Arial" w:eastAsia="Times New Roman" w:hAnsi="Arial" w:cs="Arial"/>
                <w:color w:val="222222"/>
                <w:sz w:val="20"/>
                <w:szCs w:val="20"/>
                <w:lang w:eastAsia="en-PH"/>
              </w:rPr>
              <w:t xml:space="preserve">Only </w:t>
            </w:r>
            <w:r w:rsidRPr="002B3F36">
              <w:rPr>
                <w:rFonts w:ascii="Arial" w:eastAsia="TimesNewRomanPSMT" w:hAnsi="Arial" w:cs="Arial"/>
                <w:color w:val="000000"/>
                <w:sz w:val="20"/>
                <w:szCs w:val="20"/>
                <w:lang w:val="en-GB"/>
              </w:rPr>
              <w:t>a few individual trees on the site.</w:t>
            </w:r>
            <w:r w:rsidRPr="002B3F36">
              <w:rPr>
                <w:rFonts w:ascii="Arial" w:eastAsia="TimesNewRomanPSMT" w:hAnsi="Arial" w:cs="Arial"/>
                <w:color w:val="000000"/>
                <w:sz w:val="20"/>
                <w:szCs w:val="20"/>
              </w:rPr>
              <w:t xml:space="preserve"> The territory is not included in the key distribution area of the species</w:t>
            </w:r>
          </w:p>
        </w:tc>
      </w:tr>
    </w:tbl>
    <w:p w14:paraId="79B330A3" w14:textId="6A5DDEEA" w:rsidR="00241C90" w:rsidRPr="002B3F36" w:rsidRDefault="00241C90" w:rsidP="009A6EE0">
      <w:pPr>
        <w:pStyle w:val="ReportBodyPar"/>
      </w:pPr>
    </w:p>
    <w:p w14:paraId="1B4DCE57" w14:textId="3C3828C6" w:rsidR="009A6EE0" w:rsidRPr="002B3F36" w:rsidRDefault="009A6EE0" w:rsidP="009A6EE0">
      <w:pPr>
        <w:pStyle w:val="ReportBodyPar"/>
      </w:pPr>
      <w:r w:rsidRPr="002B3F36">
        <w:t xml:space="preserve">The biodiversity data </w:t>
      </w:r>
      <w:r w:rsidR="005B3E0F" w:rsidRPr="002B3F36">
        <w:t xml:space="preserve">above </w:t>
      </w:r>
      <w:r w:rsidRPr="002B3F36">
        <w:t xml:space="preserve">indicate that several nationally and globally threatened species occur within or near the </w:t>
      </w:r>
      <w:r w:rsidR="003650DB" w:rsidRPr="002B3F36">
        <w:t xml:space="preserve">Mointy – Kyzylzhar </w:t>
      </w:r>
      <w:r w:rsidRPr="002B3F36">
        <w:t xml:space="preserve">railway corridor, including the Steppe Eagle (EN), Golden Eagle, Imperial Eagle, and Little Bustard, with parts of the alignment overlapping designated Key Biodiversity Areas (KBAs) such as the Ayak-Bestau Hills and Ortau upland massif. These KBAs are recognized for hosting significant breeding and seasonal populations of raptors, potentially meeting Critical Habitat (CH) thresholds under </w:t>
      </w:r>
      <w:r w:rsidR="00163238" w:rsidRPr="002B3F36">
        <w:t>WB PS</w:t>
      </w:r>
      <w:r w:rsidRPr="002B3F36">
        <w:t>6.</w:t>
      </w:r>
    </w:p>
    <w:p w14:paraId="12F1AD29" w14:textId="77777777" w:rsidR="009A6EE0" w:rsidRPr="002B3F36" w:rsidRDefault="009A6EE0" w:rsidP="009A6EE0">
      <w:pPr>
        <w:pStyle w:val="ReportBodyPar"/>
      </w:pPr>
    </w:p>
    <w:p w14:paraId="5C8CB14B" w14:textId="77777777" w:rsidR="009A6EE0" w:rsidRPr="002B3F36" w:rsidRDefault="009A6EE0" w:rsidP="009A6EE0">
      <w:pPr>
        <w:pStyle w:val="ReportBodyPar"/>
      </w:pPr>
      <w:r w:rsidRPr="002B3F36">
        <w:lastRenderedPageBreak/>
        <w:t>While other species such as Saiga and Argali are either absent, present in low numbers, or do not meet the 1% global population or ecological function criteria, their historical presence and potential for recolonization warrant conservation attention even if formal CH thresholds are not triggered. Plant species like Tulipa patens and Haloxylon aphyllum occur only sporadically or outside main distribution areas and thus do not trigger CH criteria.</w:t>
      </w:r>
    </w:p>
    <w:p w14:paraId="1C7A7B51" w14:textId="77777777" w:rsidR="009A6EE0" w:rsidRPr="002B3F36" w:rsidRDefault="009A6EE0" w:rsidP="009A6EE0">
      <w:pPr>
        <w:pStyle w:val="ReportBodyPar"/>
      </w:pPr>
    </w:p>
    <w:p w14:paraId="3FE0386E" w14:textId="51810201" w:rsidR="009A6EE0" w:rsidRPr="002B3F36" w:rsidRDefault="009A6EE0" w:rsidP="009A6EE0">
      <w:pPr>
        <w:pStyle w:val="ReportBodyPar"/>
      </w:pPr>
      <w:r w:rsidRPr="002B3F36">
        <w:t xml:space="preserve">Overall, the data strongly suggest that Critical Habitat classification is likely triggered for at least some sections of the corridor, particularly those overlapping KBAs with raptor breeding populations. Under </w:t>
      </w:r>
      <w:r w:rsidR="00163238" w:rsidRPr="002B3F36">
        <w:t>WB PS</w:t>
      </w:r>
      <w:r w:rsidRPr="002B3F36">
        <w:t>6, this imposes obligations for no net loss in natural habitats and net gains in Critical Habitats through strict adherence to the mitigation hierarchy.</w:t>
      </w:r>
    </w:p>
    <w:p w14:paraId="46CFCEEA" w14:textId="77777777" w:rsidR="009A6EE0" w:rsidRPr="002B3F36" w:rsidRDefault="009A6EE0" w:rsidP="006D637E">
      <w:pPr>
        <w:pStyle w:val="ReportBodyPar"/>
      </w:pPr>
    </w:p>
    <w:p w14:paraId="268F1B75" w14:textId="503F045B" w:rsidR="005B3E0F" w:rsidRPr="002B3F36" w:rsidRDefault="005B3E0F" w:rsidP="006D637E">
      <w:pPr>
        <w:pStyle w:val="ReportBodyPar"/>
      </w:pPr>
      <w:r w:rsidRPr="002B3F36">
        <w:t>The following can be considered to further the conservation efforts:</w:t>
      </w:r>
    </w:p>
    <w:p w14:paraId="2E9BA1D1" w14:textId="5D36C48A" w:rsidR="005B3E0F" w:rsidRPr="002B3F36" w:rsidRDefault="005B3E0F" w:rsidP="005B3E0F">
      <w:pPr>
        <w:pStyle w:val="BulletinPar"/>
        <w:ind w:left="540"/>
      </w:pPr>
      <w:r w:rsidRPr="002B3F36">
        <w:t xml:space="preserve">A Critical Habitat Assessment (CHA) should be undertaken for the </w:t>
      </w:r>
      <w:r w:rsidR="003650DB" w:rsidRPr="002B3F36">
        <w:t xml:space="preserve">Mointy – Kyzylzhar </w:t>
      </w:r>
      <w:r w:rsidRPr="002B3F36">
        <w:t xml:space="preserve">railway, covering the alignment, associated facilities, and a five-kilometer buffer to confirm whether </w:t>
      </w:r>
      <w:r w:rsidR="00163238" w:rsidRPr="002B3F36">
        <w:t>WB PS</w:t>
      </w:r>
      <w:r w:rsidRPr="002B3F36">
        <w:t>6 Critical Habitat criteria are met, particularly in the Ayak-Bestau Hills and Ortau upland massif KBAs.</w:t>
      </w:r>
    </w:p>
    <w:p w14:paraId="23F42C68" w14:textId="6B819D15" w:rsidR="005B3E0F" w:rsidRPr="002B3F36" w:rsidRDefault="005B3E0F" w:rsidP="005B3E0F">
      <w:pPr>
        <w:pStyle w:val="BulletinPar"/>
        <w:ind w:left="540"/>
      </w:pPr>
      <w:r w:rsidRPr="002B3F36">
        <w:t>Where Critical Habitats are confirmed, a Biodiversity Action Plan (BAP) must be developed to ensure no net loss and net gains through the mitigation hierarchy—avoiding impacts where possible, minimizing unavoidable impacts, restoring disturbed areas, and applying offsets for residual impacts.</w:t>
      </w:r>
      <w:r w:rsidR="00241C90" w:rsidRPr="002B3F36">
        <w:t xml:space="preserve"> Given likelihood Critical Habitat as identified by this screening, a BAP should be developed by the project unless confirmed otherwise by the proposed Critical Habitat Assessment.</w:t>
      </w:r>
    </w:p>
    <w:p w14:paraId="7B9958CF" w14:textId="71C7BF31" w:rsidR="005B3E0F" w:rsidRPr="002B3F36" w:rsidRDefault="005B3E0F" w:rsidP="005B3E0F">
      <w:pPr>
        <w:pStyle w:val="BulletinPar"/>
        <w:ind w:left="540"/>
      </w:pPr>
      <w:r w:rsidRPr="002B3F36">
        <w:t xml:space="preserve">Where and when </w:t>
      </w:r>
      <w:r w:rsidR="007E279F" w:rsidRPr="002B3F36">
        <w:t>feasible</w:t>
      </w:r>
      <w:r w:rsidRPr="002B3F36">
        <w:t xml:space="preserve"> Project restrict construction during breeding or migration periods, and incorporate wildlife crossings, buffer zones, and erosion controls to maintain ecological connectivity.</w:t>
      </w:r>
    </w:p>
    <w:p w14:paraId="16FB2486" w14:textId="694DAB95" w:rsidR="006D637E" w:rsidRPr="002B3F36" w:rsidRDefault="005B3E0F" w:rsidP="005B3E0F">
      <w:pPr>
        <w:pStyle w:val="BulletinPar"/>
        <w:ind w:left="540"/>
      </w:pPr>
      <w:r w:rsidRPr="002B3F36">
        <w:t>Long-term biodiversity monitoring and stakeholder engagement with environmental agencies, species experts, and NGOs will be essential to align mitigation measures with national conservation priorities and ensure adaptive management throughout the project lifecycle.</w:t>
      </w:r>
    </w:p>
    <w:p w14:paraId="391B031F" w14:textId="77777777" w:rsidR="00235D4A" w:rsidRPr="002B3F36" w:rsidRDefault="00235D4A" w:rsidP="000977A6">
      <w:pPr>
        <w:pStyle w:val="ReportBodyPar"/>
      </w:pPr>
    </w:p>
    <w:p w14:paraId="61CB7E34" w14:textId="77777777" w:rsidR="00325285" w:rsidRPr="002B3F36" w:rsidRDefault="000F264B" w:rsidP="005A68AD">
      <w:pPr>
        <w:pStyle w:val="31"/>
      </w:pPr>
      <w:bookmarkStart w:id="1992" w:name="_Toc210589463"/>
      <w:bookmarkStart w:id="1993" w:name="_Toc208973824"/>
      <w:bookmarkStart w:id="1994" w:name="_Toc208974024"/>
      <w:bookmarkStart w:id="1995" w:name="_Toc208974224"/>
      <w:bookmarkStart w:id="1996" w:name="_Toc208974426"/>
      <w:bookmarkStart w:id="1997" w:name="_Toc208974634"/>
      <w:bookmarkEnd w:id="1988"/>
      <w:r w:rsidRPr="002B3F36">
        <w:t>Biological Features</w:t>
      </w:r>
      <w:bookmarkEnd w:id="1992"/>
    </w:p>
    <w:p w14:paraId="63445E32" w14:textId="77777777" w:rsidR="00325285" w:rsidRPr="002B3F36" w:rsidRDefault="00325285" w:rsidP="00325285">
      <w:pPr>
        <w:pStyle w:val="ReportBodyPar"/>
      </w:pPr>
    </w:p>
    <w:p w14:paraId="053B1F85" w14:textId="280786F0" w:rsidR="00325285" w:rsidRPr="002B3F36" w:rsidRDefault="009143D2" w:rsidP="00325285">
      <w:pPr>
        <w:pStyle w:val="ReportBodyPar"/>
      </w:pPr>
      <w:r w:rsidRPr="002B3F36">
        <w:t xml:space="preserve">The Biological Features section provides an overview of the ecological characteristics within the </w:t>
      </w:r>
      <w:r w:rsidR="003650DB" w:rsidRPr="002B3F36">
        <w:t xml:space="preserve">Mointy – Kyzylzhar </w:t>
      </w:r>
      <w:r w:rsidRPr="002B3F36">
        <w:t xml:space="preserve">Railway Project corridor, developed in line with </w:t>
      </w:r>
      <w:r w:rsidR="00F95BD8" w:rsidRPr="002B3F36">
        <w:t>WB</w:t>
      </w:r>
      <w:r w:rsidRPr="002B3F36">
        <w:t xml:space="preserve"> Performance Standard 6 (PS6) on Biodiversity Conservation, the WBG General EHS Guidelines (2007), and Kazakhstan’s Environmental Code (2021). It summarizes baseline conditions for flora</w:t>
      </w:r>
      <w:r w:rsidR="00E938F7" w:rsidRPr="002B3F36">
        <w:t xml:space="preserve">, </w:t>
      </w:r>
      <w:r w:rsidRPr="002B3F36">
        <w:t>fauna, habitats, and protected areas, serving as the foundation for assessing potential impacts, defining mitigation measures, and ensuring compliance with national regulations and international biodiversity safeguards throughout the project lifecycle.</w:t>
      </w:r>
      <w:r w:rsidR="00E938F7" w:rsidRPr="002B3F36">
        <w:t xml:space="preserve"> </w:t>
      </w:r>
    </w:p>
    <w:p w14:paraId="773E00C2" w14:textId="20B01228" w:rsidR="00235D4A" w:rsidRPr="002B3F36" w:rsidRDefault="00235D4A" w:rsidP="00325285">
      <w:pPr>
        <w:pStyle w:val="ReportBodyPar"/>
      </w:pPr>
    </w:p>
    <w:p w14:paraId="60C3754F" w14:textId="2BD4D8B2" w:rsidR="00235D4A" w:rsidRPr="002B3F36" w:rsidRDefault="00235D4A" w:rsidP="00235D4A">
      <w:pPr>
        <w:pStyle w:val="ReportBodyPar"/>
        <w:rPr>
          <w:lang w:val="en"/>
        </w:rPr>
      </w:pPr>
      <w:r w:rsidRPr="002B3F36">
        <w:rPr>
          <w:lang w:val="en"/>
        </w:rPr>
        <w:t xml:space="preserve">Species protected at national and international </w:t>
      </w:r>
      <w:r w:rsidRPr="002B3F36">
        <w:t xml:space="preserve">(IUCN) </w:t>
      </w:r>
      <w:r w:rsidRPr="002B3F36">
        <w:rPr>
          <w:lang w:val="en"/>
        </w:rPr>
        <w:t xml:space="preserve">level are listed in the </w:t>
      </w:r>
      <w:r w:rsidR="00127AC2" w:rsidRPr="002B3F36">
        <w:rPr>
          <w:lang w:val="en"/>
        </w:rPr>
        <w:t>T</w:t>
      </w:r>
      <w:r w:rsidRPr="002B3F36">
        <w:rPr>
          <w:lang w:val="en"/>
        </w:rPr>
        <w:t xml:space="preserve">able </w:t>
      </w:r>
      <w:r w:rsidR="00127AC2" w:rsidRPr="002B3F36">
        <w:rPr>
          <w:lang w:val="en"/>
        </w:rPr>
        <w:t>below</w:t>
      </w:r>
      <w:r w:rsidR="00CA7817" w:rsidRPr="00A846C7">
        <w:t xml:space="preserve">. </w:t>
      </w:r>
      <w:r w:rsidR="00CA7817" w:rsidRPr="6AAA0662">
        <w:t>These will be treated as priority species for the project during impact assessment and mitigation</w:t>
      </w:r>
      <w:r w:rsidRPr="002B3F36">
        <w:rPr>
          <w:lang w:val="en"/>
        </w:rPr>
        <w:t>.</w:t>
      </w:r>
    </w:p>
    <w:p w14:paraId="2B838ACB" w14:textId="1740669E" w:rsidR="00B465EA" w:rsidRPr="002B3F36" w:rsidRDefault="00B465EA" w:rsidP="00FD0EBA">
      <w:pPr>
        <w:pStyle w:val="ReportBodyPar"/>
      </w:pPr>
    </w:p>
    <w:p w14:paraId="44C38597" w14:textId="55ED775C" w:rsidR="00B45B77" w:rsidRDefault="00B45B77" w:rsidP="00B45B77">
      <w:pPr>
        <w:pStyle w:val="CaptionTable"/>
      </w:pPr>
      <w:bookmarkStart w:id="1998" w:name="_Toc210589562"/>
      <w:r w:rsidRPr="002B3F36">
        <w:t xml:space="preserve">Table </w:t>
      </w:r>
      <w:r w:rsidRPr="002B3F36">
        <w:fldChar w:fldCharType="begin"/>
      </w:r>
      <w:r w:rsidRPr="002B3F36">
        <w:instrText>SEQ Table \* ARABIC</w:instrText>
      </w:r>
      <w:r w:rsidRPr="002B3F36">
        <w:fldChar w:fldCharType="separate"/>
      </w:r>
      <w:r w:rsidR="00A023DA">
        <w:rPr>
          <w:noProof/>
        </w:rPr>
        <w:t>18</w:t>
      </w:r>
      <w:r w:rsidRPr="002B3F36">
        <w:fldChar w:fldCharType="end"/>
      </w:r>
      <w:r w:rsidRPr="002B3F36">
        <w:t xml:space="preserve">: </w:t>
      </w:r>
      <w:r w:rsidR="00235D4A" w:rsidRPr="002B3F36">
        <w:t>Species threatened at National and International Level</w:t>
      </w:r>
      <w:bookmarkEnd w:id="1998"/>
    </w:p>
    <w:tbl>
      <w:tblPr>
        <w:tblW w:w="0" w:type="auto"/>
        <w:shd w:val="clear" w:color="auto" w:fill="FFFFFF"/>
        <w:tblCellMar>
          <w:left w:w="0" w:type="dxa"/>
          <w:right w:w="0" w:type="dxa"/>
        </w:tblCellMar>
        <w:tblLook w:val="04A0" w:firstRow="1" w:lastRow="0" w:firstColumn="1" w:lastColumn="0" w:noHBand="0" w:noVBand="1"/>
      </w:tblPr>
      <w:tblGrid>
        <w:gridCol w:w="3192"/>
        <w:gridCol w:w="2254"/>
        <w:gridCol w:w="4254"/>
      </w:tblGrid>
      <w:tr w:rsidR="009B6A50" w:rsidRPr="008D5118" w14:paraId="7EF8ED59" w14:textId="77777777" w:rsidTr="009B6A50">
        <w:trPr>
          <w:cantSplit/>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250FE6BE"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b/>
                <w:bCs/>
                <w:color w:val="222222"/>
                <w:sz w:val="24"/>
                <w:szCs w:val="24"/>
                <w:lang w:eastAsia="en-PH"/>
              </w:rPr>
              <w:t>Species</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6E13CC54"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b/>
                <w:bCs/>
                <w:color w:val="222222"/>
                <w:sz w:val="24"/>
                <w:szCs w:val="24"/>
                <w:lang w:eastAsia="en-PH"/>
              </w:rPr>
              <w:t>IUCN status</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0892B365" w14:textId="77777777" w:rsidR="009B6A50" w:rsidRPr="008D5118" w:rsidRDefault="009B6A50" w:rsidP="009B6A50">
            <w:pPr>
              <w:spacing w:before="100" w:beforeAutospacing="1" w:after="100" w:afterAutospacing="1"/>
              <w:rPr>
                <w:rFonts w:ascii="Arial" w:eastAsia="Times New Roman" w:hAnsi="Arial" w:cs="Arial"/>
                <w:b/>
                <w:color w:val="222222"/>
                <w:sz w:val="24"/>
                <w:szCs w:val="24"/>
                <w:lang w:eastAsia="en-PH"/>
              </w:rPr>
            </w:pPr>
            <w:r w:rsidRPr="008D5118">
              <w:rPr>
                <w:rFonts w:ascii="Arial" w:eastAsia="Times New Roman" w:hAnsi="Arial" w:cs="Arial"/>
                <w:b/>
                <w:color w:val="222222"/>
                <w:sz w:val="24"/>
                <w:szCs w:val="24"/>
                <w:lang w:eastAsia="en-PH"/>
              </w:rPr>
              <w:t>National protection status</w:t>
            </w:r>
          </w:p>
        </w:tc>
      </w:tr>
      <w:tr w:rsidR="009B6A50" w:rsidRPr="008D5118" w14:paraId="219FB74A"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EB6705C" w14:textId="77777777" w:rsidR="009B6A50" w:rsidRPr="008D5118" w:rsidRDefault="009B6A50" w:rsidP="009B6A50">
            <w:pPr>
              <w:rPr>
                <w:rFonts w:ascii="Arial" w:eastAsia="TimesNewRomanPSMT" w:hAnsi="Arial" w:cs="Arial"/>
                <w:b/>
                <w:color w:val="000000"/>
                <w:sz w:val="24"/>
                <w:szCs w:val="24"/>
              </w:rPr>
            </w:pPr>
            <w:r w:rsidRPr="008D5118">
              <w:rPr>
                <w:rFonts w:ascii="Arial" w:eastAsia="Times New Roman" w:hAnsi="Arial" w:cs="Arial"/>
                <w:color w:val="222222"/>
                <w:sz w:val="24"/>
                <w:szCs w:val="24"/>
                <w:lang w:eastAsia="en-PH"/>
              </w:rPr>
              <w:t xml:space="preserve">Steppe Eagle </w:t>
            </w:r>
            <w:r w:rsidRPr="008D5118">
              <w:rPr>
                <w:rFonts w:ascii="Arial" w:eastAsia="TimesNewRomanPSMT" w:hAnsi="Arial" w:cs="Arial"/>
                <w:color w:val="000000"/>
                <w:sz w:val="24"/>
                <w:szCs w:val="24"/>
              </w:rPr>
              <w:t>(</w:t>
            </w:r>
            <w:r w:rsidRPr="008D5118">
              <w:rPr>
                <w:rFonts w:ascii="Arial" w:eastAsia="TimesNewRomanPSMT" w:hAnsi="Arial" w:cs="Arial"/>
                <w:i/>
                <w:color w:val="000000"/>
                <w:sz w:val="24"/>
                <w:szCs w:val="24"/>
              </w:rPr>
              <w:t>Aquila nipalensis</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8014B2C"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EN</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4AD90FA"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Category 5 of the Red Book of the Republic of Kazakhstan</w:t>
            </w:r>
          </w:p>
        </w:tc>
      </w:tr>
      <w:tr w:rsidR="009B6A50" w:rsidRPr="008D5118" w14:paraId="60A8891B"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7475E04" w14:textId="77777777" w:rsidR="009B6A50" w:rsidRPr="008D5118" w:rsidRDefault="009B6A50" w:rsidP="009B6A50">
            <w:pPr>
              <w:jc w:val="both"/>
              <w:rPr>
                <w:rFonts w:ascii="Arial" w:eastAsia="TimesNewRomanPSMT" w:hAnsi="Arial" w:cs="Arial"/>
                <w:color w:val="000000"/>
                <w:sz w:val="24"/>
                <w:szCs w:val="24"/>
              </w:rPr>
            </w:pPr>
            <w:r w:rsidRPr="008D5118">
              <w:rPr>
                <w:rFonts w:ascii="Arial" w:eastAsia="TimesNewRomanPSMT" w:hAnsi="Arial" w:cs="Arial"/>
                <w:color w:val="000000"/>
                <w:sz w:val="24"/>
                <w:szCs w:val="24"/>
              </w:rPr>
              <w:t>Golden Eagle (</w:t>
            </w:r>
            <w:r w:rsidRPr="008D5118">
              <w:rPr>
                <w:rFonts w:ascii="Arial" w:eastAsia="TimesNewRomanPSMT" w:hAnsi="Arial" w:cs="Arial"/>
                <w:i/>
                <w:color w:val="000000"/>
                <w:sz w:val="24"/>
                <w:szCs w:val="24"/>
              </w:rPr>
              <w:t>Aquila chrysaetos</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7EE618B"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210422"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Category 3 of the Red Book of the Republic of Kazakhstan</w:t>
            </w:r>
          </w:p>
        </w:tc>
      </w:tr>
      <w:tr w:rsidR="009B6A50" w:rsidRPr="008D5118" w14:paraId="55A1CDEE"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CA0BB48" w14:textId="77777777" w:rsidR="009B6A50" w:rsidRPr="008D5118" w:rsidRDefault="009B6A50" w:rsidP="009B6A50">
            <w:pPr>
              <w:jc w:val="both"/>
              <w:rPr>
                <w:rFonts w:ascii="Arial" w:eastAsia="TimesNewRomanPSMT" w:hAnsi="Arial" w:cs="Arial"/>
                <w:i/>
                <w:color w:val="000000"/>
                <w:sz w:val="24"/>
                <w:szCs w:val="24"/>
              </w:rPr>
            </w:pPr>
            <w:r w:rsidRPr="008D5118">
              <w:rPr>
                <w:rFonts w:ascii="Arial" w:eastAsia="TimesNewRomanPSMT" w:hAnsi="Arial" w:cs="Arial"/>
                <w:color w:val="000000"/>
                <w:sz w:val="24"/>
                <w:szCs w:val="24"/>
              </w:rPr>
              <w:lastRenderedPageBreak/>
              <w:t>Imperial Eagle (</w:t>
            </w:r>
            <w:r w:rsidRPr="008D5118">
              <w:rPr>
                <w:rFonts w:ascii="Arial" w:eastAsia="TimesNewRomanPSMT" w:hAnsi="Arial" w:cs="Arial"/>
                <w:i/>
                <w:color w:val="000000"/>
                <w:sz w:val="24"/>
                <w:szCs w:val="24"/>
              </w:rPr>
              <w:t>Aquila heliaca</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3D9743"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VU</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EE0EAF0"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Category 3 of the Red Book of the Republic of Kazakhstan</w:t>
            </w:r>
          </w:p>
        </w:tc>
      </w:tr>
      <w:tr w:rsidR="009B6A50" w:rsidRPr="008D5118" w14:paraId="6F003352"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B660E02" w14:textId="77777777" w:rsidR="009B6A50" w:rsidRPr="008D5118" w:rsidRDefault="009B6A50" w:rsidP="009B6A50">
            <w:pPr>
              <w:jc w:val="both"/>
              <w:rPr>
                <w:rFonts w:ascii="Arial" w:eastAsia="TimesNewRomanPSMT" w:hAnsi="Arial" w:cs="Arial"/>
                <w:color w:val="000000"/>
                <w:sz w:val="24"/>
                <w:szCs w:val="24"/>
              </w:rPr>
            </w:pPr>
            <w:r w:rsidRPr="008D5118">
              <w:rPr>
                <w:rFonts w:ascii="Arial" w:eastAsia="TimesNewRomanPSMT" w:hAnsi="Arial" w:cs="Arial"/>
                <w:color w:val="000000"/>
                <w:sz w:val="24"/>
                <w:szCs w:val="24"/>
              </w:rPr>
              <w:t>Booted Eagle (</w:t>
            </w:r>
            <w:r w:rsidRPr="008D5118">
              <w:rPr>
                <w:rFonts w:ascii="Arial" w:eastAsia="TimesNewRomanPSMT" w:hAnsi="Arial" w:cs="Arial"/>
                <w:i/>
                <w:color w:val="000000"/>
                <w:sz w:val="24"/>
                <w:szCs w:val="24"/>
              </w:rPr>
              <w:t>Hieraaetus pennatus</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53447CE"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1B384F3"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3 of the Red Book of the Republic of Kazakhstan</w:t>
            </w:r>
          </w:p>
        </w:tc>
      </w:tr>
      <w:tr w:rsidR="009B6A50" w:rsidRPr="008D5118" w14:paraId="6D300D39"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5BDB0D8" w14:textId="77777777" w:rsidR="009B6A50" w:rsidRPr="008D5118" w:rsidRDefault="009B6A50" w:rsidP="009B6A50">
            <w:pPr>
              <w:jc w:val="both"/>
              <w:rPr>
                <w:rFonts w:ascii="Arial" w:eastAsia="TimesNewRomanPSMT" w:hAnsi="Arial" w:cs="Arial"/>
                <w:color w:val="000000"/>
                <w:sz w:val="24"/>
                <w:szCs w:val="24"/>
              </w:rPr>
            </w:pPr>
            <w:r w:rsidRPr="008D5118">
              <w:rPr>
                <w:rFonts w:ascii="Arial" w:eastAsia="TimesNewRomanPSMT" w:hAnsi="Arial" w:cs="Arial"/>
                <w:color w:val="000000"/>
                <w:sz w:val="24"/>
                <w:szCs w:val="24"/>
              </w:rPr>
              <w:t>Short-Toed Eagle (</w:t>
            </w:r>
            <w:r w:rsidRPr="008D5118">
              <w:rPr>
                <w:rFonts w:ascii="Arial" w:eastAsia="TimesNewRomanPSMT" w:hAnsi="Arial" w:cs="Arial"/>
                <w:i/>
                <w:color w:val="000000"/>
                <w:sz w:val="24"/>
                <w:szCs w:val="24"/>
              </w:rPr>
              <w:t>Circaetus gallicus</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9364994"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B17708"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3 of the Red Book of the Republic of Kazakhstan</w:t>
            </w:r>
          </w:p>
        </w:tc>
      </w:tr>
      <w:tr w:rsidR="009B6A50" w:rsidRPr="008D5118" w14:paraId="76BCABE0"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7784110" w14:textId="77777777" w:rsidR="009B6A50" w:rsidRPr="008D5118" w:rsidRDefault="009B6A50" w:rsidP="009B6A50">
            <w:pPr>
              <w:jc w:val="both"/>
              <w:rPr>
                <w:rFonts w:ascii="Arial" w:eastAsia="TimesNewRomanPSMT" w:hAnsi="Arial" w:cs="Arial"/>
                <w:color w:val="000000"/>
                <w:sz w:val="24"/>
                <w:szCs w:val="24"/>
              </w:rPr>
            </w:pPr>
            <w:r w:rsidRPr="008D5118">
              <w:rPr>
                <w:rFonts w:ascii="Arial" w:eastAsia="Times New Roman" w:hAnsi="Arial" w:cs="Arial"/>
                <w:color w:val="222222"/>
                <w:sz w:val="24"/>
                <w:szCs w:val="24"/>
                <w:lang w:eastAsia="en-PH"/>
              </w:rPr>
              <w:t>Saker falcon (</w:t>
            </w:r>
            <w:r w:rsidRPr="008D5118">
              <w:rPr>
                <w:rFonts w:ascii="Arial" w:eastAsia="Times New Roman" w:hAnsi="Arial" w:cs="Arial"/>
                <w:i/>
                <w:color w:val="222222"/>
                <w:sz w:val="24"/>
                <w:szCs w:val="24"/>
                <w:lang w:eastAsia="en-PH"/>
              </w:rPr>
              <w:t>Falco cherrug</w:t>
            </w:r>
            <w:r w:rsidRPr="008D5118">
              <w:rPr>
                <w:rFonts w:ascii="Arial" w:eastAsia="Times New Roman" w:hAnsi="Arial" w:cs="Arial"/>
                <w:color w:val="222222"/>
                <w:sz w:val="24"/>
                <w:szCs w:val="24"/>
                <w:lang w:eastAsia="en-PH"/>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B64EF3D"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EN</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3AA445"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1 of the Red Book of the Republic of Kazakhstan</w:t>
            </w:r>
          </w:p>
        </w:tc>
      </w:tr>
      <w:tr w:rsidR="009B6A50" w:rsidRPr="008D5118" w14:paraId="2ED16B03"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F1AB526" w14:textId="77777777" w:rsidR="009B6A50" w:rsidRPr="008D5118" w:rsidRDefault="009B6A50" w:rsidP="009B6A50">
            <w:pPr>
              <w:jc w:val="both"/>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Black Stork (</w:t>
            </w:r>
            <w:r w:rsidRPr="008D5118">
              <w:rPr>
                <w:rFonts w:ascii="Arial" w:eastAsia="TimesNewRomanPSMT" w:hAnsi="Arial" w:cs="Arial"/>
                <w:i/>
                <w:color w:val="000000"/>
                <w:sz w:val="24"/>
                <w:szCs w:val="24"/>
              </w:rPr>
              <w:t>Ciconia nigra</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EA4478C"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F59B067"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3 of the Red Book of the Republic of Kazakhstan</w:t>
            </w:r>
          </w:p>
        </w:tc>
      </w:tr>
      <w:tr w:rsidR="009B6A50" w:rsidRPr="008D5118" w14:paraId="34E888CC"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30314DA" w14:textId="77777777" w:rsidR="009B6A50" w:rsidRPr="008D5118" w:rsidRDefault="009B6A50" w:rsidP="009B6A50">
            <w:pPr>
              <w:jc w:val="both"/>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Demoiselle Crane (</w:t>
            </w:r>
            <w:r w:rsidRPr="008D5118">
              <w:rPr>
                <w:rFonts w:ascii="Arial" w:eastAsia="TimesNewRomanPSMT" w:hAnsi="Arial" w:cs="Arial"/>
                <w:i/>
                <w:color w:val="000000"/>
                <w:sz w:val="24"/>
                <w:szCs w:val="24"/>
              </w:rPr>
              <w:t>Anthropoides virgo</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843C2F8" w14:textId="77777777" w:rsidR="009B6A50" w:rsidRPr="00F82096" w:rsidRDefault="009B6A50" w:rsidP="009B6A50">
            <w:pPr>
              <w:spacing w:before="100" w:beforeAutospacing="1" w:after="100" w:afterAutospacing="1"/>
              <w:jc w:val="center"/>
              <w:rPr>
                <w:rFonts w:ascii="Arial" w:eastAsia="Times New Roman" w:hAnsi="Arial" w:cs="Arial"/>
                <w:color w:val="222222"/>
                <w:sz w:val="24"/>
                <w:szCs w:val="24"/>
                <w:lang w:val="es-419" w:eastAsia="en-PH"/>
              </w:rPr>
            </w:pPr>
            <w:r w:rsidRPr="00F82096">
              <w:rPr>
                <w:rFonts w:ascii="Arial" w:eastAsia="Times New Roman" w:hAnsi="Arial" w:cs="Arial"/>
                <w:color w:val="222222"/>
                <w:sz w:val="24"/>
                <w:szCs w:val="24"/>
                <w:lang w:val="es-419" w:eastAsia="en-PH"/>
              </w:rPr>
              <w:t>LC – Global, EN – in Europe</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A9B5A6A"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5 of the Red Book of the Republic of Kazakhstan</w:t>
            </w:r>
          </w:p>
        </w:tc>
      </w:tr>
      <w:tr w:rsidR="009B6A50" w:rsidRPr="008D5118" w14:paraId="49E52D9D"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7D4D05A" w14:textId="77777777" w:rsidR="009B6A50" w:rsidRPr="008D5118" w:rsidRDefault="009B6A50" w:rsidP="009B6A50">
            <w:pPr>
              <w:jc w:val="both"/>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Eagle Owl (</w:t>
            </w:r>
            <w:r w:rsidRPr="008D5118">
              <w:rPr>
                <w:rFonts w:ascii="Arial" w:eastAsia="TimesNewRomanPSMT" w:hAnsi="Arial" w:cs="Arial"/>
                <w:i/>
                <w:color w:val="000000"/>
                <w:sz w:val="24"/>
                <w:szCs w:val="24"/>
              </w:rPr>
              <w:t>Bubo bubo</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A49E929"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08282EB"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4 of the Red Book of the Republic of Kazakhstan</w:t>
            </w:r>
          </w:p>
        </w:tc>
      </w:tr>
      <w:tr w:rsidR="009B6A50" w:rsidRPr="008D5118" w14:paraId="0D62E0C6"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813BB5F" w14:textId="77777777" w:rsidR="009B6A50" w:rsidRPr="008D5118" w:rsidRDefault="009B6A50" w:rsidP="009B6A50">
            <w:pPr>
              <w:jc w:val="both"/>
              <w:rPr>
                <w:rFonts w:ascii="Arial" w:eastAsia="TimesNewRomanPSMT" w:hAnsi="Arial" w:cs="Arial"/>
                <w:color w:val="000000"/>
                <w:sz w:val="24"/>
                <w:szCs w:val="24"/>
              </w:rPr>
            </w:pPr>
            <w:r w:rsidRPr="008D5118">
              <w:rPr>
                <w:rFonts w:ascii="Arial" w:eastAsia="TimesNewRomanPSMT" w:hAnsi="Arial" w:cs="Arial"/>
                <w:color w:val="000000"/>
                <w:sz w:val="24"/>
                <w:szCs w:val="24"/>
              </w:rPr>
              <w:t>Lapwing (</w:t>
            </w:r>
            <w:r w:rsidRPr="008D5118">
              <w:rPr>
                <w:rFonts w:ascii="Arial" w:eastAsia="TimesNewRomanPSMT" w:hAnsi="Arial" w:cs="Arial"/>
                <w:i/>
                <w:color w:val="000000"/>
                <w:sz w:val="24"/>
                <w:szCs w:val="24"/>
              </w:rPr>
              <w:t>Vanellus vanellus</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8081576"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92C23B6"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w:t>
            </w:r>
          </w:p>
        </w:tc>
      </w:tr>
      <w:tr w:rsidR="009B6A50" w:rsidRPr="008D5118" w14:paraId="07F0950F"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555D5BC" w14:textId="77777777" w:rsidR="009B6A50" w:rsidRPr="008D5118" w:rsidRDefault="009B6A50" w:rsidP="009B6A50">
            <w:pPr>
              <w:jc w:val="both"/>
              <w:rPr>
                <w:rFonts w:ascii="Arial" w:eastAsia="TimesNewRomanPSMT" w:hAnsi="Arial" w:cs="Arial"/>
                <w:color w:val="000000"/>
                <w:sz w:val="24"/>
                <w:szCs w:val="24"/>
              </w:rPr>
            </w:pPr>
            <w:r w:rsidRPr="008D5118">
              <w:rPr>
                <w:rFonts w:ascii="Arial" w:eastAsia="TimesNewRomanPSMT" w:hAnsi="Arial" w:cs="Arial"/>
                <w:color w:val="000000"/>
                <w:sz w:val="24"/>
                <w:szCs w:val="24"/>
              </w:rPr>
              <w:t>Little Bustard (</w:t>
            </w:r>
            <w:r w:rsidRPr="008D5118">
              <w:rPr>
                <w:rFonts w:ascii="Arial" w:eastAsia="TimesNewRomanPSMT" w:hAnsi="Arial" w:cs="Arial"/>
                <w:i/>
                <w:color w:val="000000"/>
                <w:sz w:val="24"/>
                <w:szCs w:val="24"/>
              </w:rPr>
              <w:t>Tetrax tetrax</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8F563E9"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906E0F3"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Category 2 of the Red Book of the Republic of Kazakhstan</w:t>
            </w:r>
          </w:p>
        </w:tc>
      </w:tr>
      <w:tr w:rsidR="009B6A50" w:rsidRPr="008D5118" w14:paraId="1C494406" w14:textId="77777777" w:rsidTr="009B6A50">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3931E91"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Common Hamster (</w:t>
            </w:r>
            <w:r w:rsidRPr="008D5118">
              <w:rPr>
                <w:rFonts w:ascii="Arial" w:hAnsi="Arial" w:cs="Arial"/>
                <w:i/>
                <w:color w:val="333333"/>
                <w:sz w:val="24"/>
                <w:szCs w:val="24"/>
                <w:shd w:val="clear" w:color="auto" w:fill="FFFFFF"/>
              </w:rPr>
              <w:t>Cricetus cricetus</w:t>
            </w:r>
            <w:r w:rsidRPr="008D5118">
              <w:rPr>
                <w:rFonts w:ascii="Arial" w:eastAsia="Times New Roman" w:hAnsi="Arial" w:cs="Arial"/>
                <w:color w:val="222222"/>
                <w:sz w:val="24"/>
                <w:szCs w:val="24"/>
                <w:lang w:eastAsia="en-PH"/>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E086A68"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CR</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3E6E76F"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w:t>
            </w:r>
          </w:p>
        </w:tc>
      </w:tr>
      <w:tr w:rsidR="009B6A50" w:rsidRPr="008D5118" w14:paraId="0658DE02" w14:textId="77777777" w:rsidTr="009B6A50">
        <w:trPr>
          <w:cantSplit/>
          <w:trHeight w:val="20"/>
        </w:trPr>
        <w:tc>
          <w:tcPr>
            <w:tcW w:w="0" w:type="auto"/>
            <w:tcBorders>
              <w:top w:val="nil"/>
              <w:left w:val="single" w:sz="8" w:space="0" w:color="auto"/>
              <w:bottom w:val="single" w:sz="4" w:space="0" w:color="auto"/>
              <w:right w:val="single" w:sz="8" w:space="0" w:color="auto"/>
            </w:tcBorders>
            <w:shd w:val="clear" w:color="auto" w:fill="FFFFFF"/>
            <w:tcMar>
              <w:top w:w="0" w:type="dxa"/>
              <w:left w:w="108" w:type="dxa"/>
              <w:bottom w:w="0" w:type="dxa"/>
              <w:right w:w="108" w:type="dxa"/>
            </w:tcMar>
            <w:hideMark/>
          </w:tcPr>
          <w:p w14:paraId="41C36495"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Saiga (</w:t>
            </w:r>
            <w:r w:rsidRPr="008D5118">
              <w:rPr>
                <w:rFonts w:ascii="Arial" w:eastAsia="Times New Roman" w:hAnsi="Arial" w:cs="Arial"/>
                <w:i/>
                <w:iCs/>
                <w:color w:val="222222"/>
                <w:sz w:val="24"/>
                <w:szCs w:val="24"/>
                <w:lang w:eastAsia="en-PH"/>
              </w:rPr>
              <w:t>Saiga tatarica</w:t>
            </w:r>
            <w:r w:rsidRPr="008D5118">
              <w:rPr>
                <w:rFonts w:ascii="Arial" w:eastAsia="Times New Roman" w:hAnsi="Arial" w:cs="Arial"/>
                <w:color w:val="222222"/>
                <w:sz w:val="24"/>
                <w:szCs w:val="24"/>
                <w:lang w:eastAsia="en-PH"/>
              </w:rPr>
              <w:t>)</w:t>
            </w:r>
          </w:p>
        </w:tc>
        <w:tc>
          <w:tcPr>
            <w:tcW w:w="0" w:type="auto"/>
            <w:tcBorders>
              <w:top w:val="nil"/>
              <w:left w:val="nil"/>
              <w:bottom w:val="single" w:sz="4" w:space="0" w:color="auto"/>
              <w:right w:val="single" w:sz="8" w:space="0" w:color="auto"/>
            </w:tcBorders>
            <w:shd w:val="clear" w:color="auto" w:fill="FFFFFF"/>
            <w:tcMar>
              <w:top w:w="0" w:type="dxa"/>
              <w:left w:w="108" w:type="dxa"/>
              <w:bottom w:w="0" w:type="dxa"/>
              <w:right w:w="108" w:type="dxa"/>
            </w:tcMar>
            <w:hideMark/>
          </w:tcPr>
          <w:p w14:paraId="7FF69020"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nil"/>
              <w:left w:val="nil"/>
              <w:bottom w:val="single" w:sz="4" w:space="0" w:color="auto"/>
              <w:right w:val="single" w:sz="8" w:space="0" w:color="auto"/>
            </w:tcBorders>
            <w:shd w:val="clear" w:color="auto" w:fill="FFFFFF"/>
            <w:tcMar>
              <w:top w:w="0" w:type="dxa"/>
              <w:left w:w="108" w:type="dxa"/>
              <w:bottom w:w="0" w:type="dxa"/>
              <w:right w:w="108" w:type="dxa"/>
            </w:tcMar>
            <w:hideMark/>
          </w:tcPr>
          <w:p w14:paraId="31042053"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Hunting species</w:t>
            </w:r>
          </w:p>
        </w:tc>
      </w:tr>
      <w:tr w:rsidR="009B6A50" w:rsidRPr="008D5118" w14:paraId="7F49EE06"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A499BA4"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Argali (</w:t>
            </w:r>
            <w:r w:rsidRPr="008D5118">
              <w:rPr>
                <w:rFonts w:ascii="Arial" w:hAnsi="Arial" w:cs="Arial"/>
                <w:i/>
                <w:sz w:val="24"/>
                <w:szCs w:val="24"/>
              </w:rPr>
              <w:t>Ovis ammon</w:t>
            </w:r>
            <w:r w:rsidRPr="008D5118">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4E49CCD"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1601D1F"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Category 3 of the Red Book of the Republic of Kazakhstan</w:t>
            </w:r>
          </w:p>
        </w:tc>
      </w:tr>
      <w:tr w:rsidR="009B6A50" w:rsidRPr="008D5118" w14:paraId="2F2F714C"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23D4C1F" w14:textId="77777777" w:rsidR="009B6A50" w:rsidRPr="008D5118" w:rsidRDefault="009B6A50" w:rsidP="009B6A50">
            <w:pPr>
              <w:spacing w:before="100" w:beforeAutospacing="1" w:after="100" w:afterAutospacing="1"/>
              <w:rPr>
                <w:rFonts w:ascii="Arial" w:eastAsia="Times New Roman" w:hAnsi="Arial" w:cs="Arial"/>
                <w:i/>
                <w:color w:val="222222"/>
                <w:sz w:val="24"/>
                <w:szCs w:val="24"/>
                <w:lang w:eastAsia="en-PH"/>
              </w:rPr>
            </w:pPr>
            <w:r w:rsidRPr="008D5118">
              <w:rPr>
                <w:rFonts w:ascii="Arial" w:hAnsi="Arial" w:cs="Arial"/>
                <w:i/>
                <w:color w:val="000000"/>
                <w:sz w:val="24"/>
                <w:szCs w:val="24"/>
              </w:rPr>
              <w:t>Tulipa patens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49E297D"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2AA6D4A"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Red Book of the Republic of Kazakhstan</w:t>
            </w:r>
          </w:p>
        </w:tc>
      </w:tr>
      <w:tr w:rsidR="009B6A50" w:rsidRPr="008D5118" w14:paraId="415AEB97"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A1A3A0A"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i/>
                <w:color w:val="000000"/>
                <w:sz w:val="24"/>
                <w:szCs w:val="24"/>
                <w:lang w:val="en-GB"/>
              </w:rPr>
              <w:t>Haloxylon aphyllum</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B316BC5"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200521C" w14:textId="77777777" w:rsidR="009B6A50" w:rsidRPr="008D5118" w:rsidRDefault="009B6A50" w:rsidP="009B6A50">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M</w:t>
            </w:r>
            <w:r w:rsidRPr="008D5118">
              <w:rPr>
                <w:rFonts w:ascii="Arial" w:eastAsia="TimesNewRomanPSMT" w:hAnsi="Arial" w:cs="Arial"/>
                <w:color w:val="000000"/>
                <w:sz w:val="24"/>
                <w:szCs w:val="24"/>
                <w:lang w:val="en-GB"/>
              </w:rPr>
              <w:t>oratorium for cut down</w:t>
            </w:r>
          </w:p>
        </w:tc>
      </w:tr>
      <w:tr w:rsidR="009B6A50" w:rsidRPr="008D5118" w14:paraId="066A866C"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CDD84"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Adonis volgensis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9AECBF"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78FC0E"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51E7591C"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FB39A4D"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Stipa pennata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33573C"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4A67BC8"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0629AC92"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3525C84"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Pulsatilla orientali-sibirica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B40985"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ADE1DCB"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67165FA2"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7CE1CE2"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Pulsatilla patens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936B44A"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DD</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AF387A"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5C0AB88B"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05FB659"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Tulipa biflora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E34EC5"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51BE9E"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7C57BC0D"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256A429"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Tulipa suaveolens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E46F71"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69424E3"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650A3F01"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D649A4"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Nymphoides peltata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3D3E96D"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AED411"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1459922A"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51FF75B"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Jurinea adenocarpa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150C6"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E64994B"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Shetsky district endemic</w:t>
            </w:r>
          </w:p>
        </w:tc>
      </w:tr>
      <w:tr w:rsidR="009B6A50" w:rsidRPr="008D5118" w14:paraId="7A2390FC"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490669"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Jurinea Kapelkinii</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87C9FA"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35C61E0"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73B9F835"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17DFFBE"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Tanacetum scopulorum</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C900F4"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F365DD1"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7806B1AF"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0740EED"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Tragopogon scoparius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F6D75BC"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54A8CC1"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51585E64"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3DB8428"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Clausia kasakorum</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769B67F"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8ACFF1"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5C31509F"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29F653"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Isatis maxima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DB9961"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D98062A"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Shetsky district endemic</w:t>
            </w:r>
          </w:p>
        </w:tc>
      </w:tr>
      <w:tr w:rsidR="009B6A50" w:rsidRPr="008D5118" w14:paraId="29EC71EF"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EEDC05"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Silene anisolaba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7B9A1C"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D40C65"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4DE47FE5"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DB9F3C"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Silene holopetala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A78B096"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1B6B00"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7DBF5338"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0B4411"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Euphorbia macrorrhiza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3F22C9"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262DFF"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Endemic to the Central Kazakhstan Lowlands</w:t>
            </w:r>
          </w:p>
        </w:tc>
      </w:tr>
      <w:tr w:rsidR="009B6A50" w:rsidRPr="008D5118" w14:paraId="66F60E99"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FE88567"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lastRenderedPageBreak/>
              <w:t>Thymus rasitatus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6529637"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9596EA2"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Ortau Mountains еndemic</w:t>
            </w:r>
          </w:p>
        </w:tc>
      </w:tr>
      <w:tr w:rsidR="009B6A50" w:rsidRPr="008D5118" w14:paraId="2D23305A"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89AE3F2"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iCs/>
                <w:color w:val="000000"/>
                <w:sz w:val="24"/>
                <w:szCs w:val="24"/>
              </w:rPr>
              <w:t>Polyporus rhizophilus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9275EA8"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VU</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71F29"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tr w:rsidR="009B6A50" w:rsidRPr="008D5118" w14:paraId="5D4C6F93" w14:textId="77777777" w:rsidTr="009B6A50">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02B8F9" w14:textId="77777777" w:rsidR="009B6A50" w:rsidRPr="008D5118" w:rsidRDefault="009B6A50" w:rsidP="009B6A50">
            <w:pPr>
              <w:spacing w:before="100" w:beforeAutospacing="1" w:after="100" w:afterAutospacing="1"/>
              <w:rPr>
                <w:rFonts w:ascii="Arial" w:eastAsia="TimesNewRomanPSMT" w:hAnsi="Arial" w:cs="Arial"/>
                <w:i/>
                <w:color w:val="000000"/>
                <w:sz w:val="24"/>
                <w:szCs w:val="24"/>
                <w:lang w:val="en-GB"/>
              </w:rPr>
            </w:pPr>
            <w:r>
              <w:rPr>
                <w:rFonts w:ascii="Arial" w:hAnsi="Arial" w:cs="Arial"/>
                <w:i/>
                <w:iCs/>
                <w:color w:val="000000"/>
                <w:sz w:val="24"/>
                <w:szCs w:val="24"/>
              </w:rPr>
              <w:t>Agaricus tabularis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7EFEDA" w14:textId="77777777" w:rsidR="009B6A50" w:rsidRPr="008D5118" w:rsidRDefault="009B6A50" w:rsidP="009B6A50">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03B53B" w14:textId="77777777" w:rsidR="009B6A50" w:rsidRPr="008D5118" w:rsidRDefault="009B6A50" w:rsidP="009B6A50">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rPr>
              <w:t>Red Book of the Republic of Kazakhstan</w:t>
            </w:r>
          </w:p>
        </w:tc>
      </w:tr>
      <w:bookmarkEnd w:id="1993"/>
      <w:bookmarkEnd w:id="1994"/>
      <w:bookmarkEnd w:id="1995"/>
      <w:bookmarkEnd w:id="1996"/>
      <w:bookmarkEnd w:id="1997"/>
    </w:tbl>
    <w:p w14:paraId="2C901C38" w14:textId="50DE8FAF" w:rsidR="00F61F8E" w:rsidRPr="002B3F36" w:rsidRDefault="00F61F8E" w:rsidP="00325285">
      <w:pPr>
        <w:pStyle w:val="ReportBodyPar"/>
      </w:pPr>
    </w:p>
    <w:p w14:paraId="238FF745" w14:textId="77777777" w:rsidR="00F61F8E" w:rsidRPr="002B3F36" w:rsidRDefault="000F264B" w:rsidP="009143D2">
      <w:pPr>
        <w:pStyle w:val="41"/>
      </w:pPr>
      <w:bookmarkStart w:id="1999" w:name="_Toc208973825"/>
      <w:bookmarkStart w:id="2000" w:name="_Toc208974025"/>
      <w:bookmarkStart w:id="2001" w:name="_Toc208974225"/>
      <w:bookmarkStart w:id="2002" w:name="_Toc208974427"/>
      <w:bookmarkStart w:id="2003" w:name="_Toc208974635"/>
      <w:bookmarkStart w:id="2004" w:name="_Toc210589464"/>
      <w:r w:rsidRPr="002B3F36">
        <w:t>Fauna</w:t>
      </w:r>
      <w:bookmarkEnd w:id="1999"/>
      <w:bookmarkEnd w:id="2000"/>
      <w:bookmarkEnd w:id="2001"/>
      <w:bookmarkEnd w:id="2002"/>
      <w:bookmarkEnd w:id="2003"/>
      <w:bookmarkEnd w:id="2004"/>
    </w:p>
    <w:p w14:paraId="650DD919" w14:textId="5290169A" w:rsidR="00F61F8E" w:rsidRPr="002B3F36" w:rsidRDefault="000F264B">
      <w:pPr>
        <w:pStyle w:val="ReportBodyTextNogap"/>
      </w:pPr>
      <w:r w:rsidRPr="002B3F36">
        <w:t xml:space="preserve">According to existing literature and field investigations, vertebrate diversity in the </w:t>
      </w:r>
      <w:r w:rsidR="003A184C">
        <w:t>Karagandy</w:t>
      </w:r>
      <w:r w:rsidRPr="002B3F36">
        <w:t xml:space="preserve"> and Ulytau regions includes approximately 39 mammal species, over 140 bird species (migratory and resident), 14 reptiles, and a single amphibian species, the green toad (Bufotes viridis). The representative taxa along the proposed alignment:</w:t>
      </w:r>
    </w:p>
    <w:p w14:paraId="5F4E756A" w14:textId="77777777" w:rsidR="00F61F8E" w:rsidRPr="002B3F36" w:rsidRDefault="000F264B">
      <w:pPr>
        <w:pStyle w:val="Newbullet"/>
      </w:pPr>
      <w:r w:rsidRPr="002B3F36">
        <w:rPr>
          <w:b/>
        </w:rPr>
        <w:t>Amphibians:</w:t>
      </w:r>
      <w:r w:rsidRPr="002B3F36">
        <w:t xml:space="preserve"> Green toad (Bufotes viridis) at the Karazhal River.</w:t>
      </w:r>
    </w:p>
    <w:p w14:paraId="5FFB3B79" w14:textId="77777777" w:rsidR="00F61F8E" w:rsidRPr="002B3F36" w:rsidRDefault="000F264B">
      <w:pPr>
        <w:pStyle w:val="Newbullet"/>
      </w:pPr>
      <w:r w:rsidRPr="002B3F36">
        <w:rPr>
          <w:b/>
        </w:rPr>
        <w:t>Reptiles:</w:t>
      </w:r>
      <w:r w:rsidRPr="002B3F36">
        <w:t xml:space="preserve"> Common steppe species including the rapid racerunner (</w:t>
      </w:r>
      <w:r w:rsidRPr="00DB026A">
        <w:rPr>
          <w:i/>
        </w:rPr>
        <w:t>Eremias velox</w:t>
      </w:r>
      <w:r w:rsidRPr="002B3F36">
        <w:t>) and sand lizard (</w:t>
      </w:r>
      <w:r w:rsidRPr="00DB026A">
        <w:rPr>
          <w:i/>
        </w:rPr>
        <w:t>Lacerta agilis</w:t>
      </w:r>
      <w:r w:rsidRPr="002B3F36">
        <w:t>).</w:t>
      </w:r>
    </w:p>
    <w:p w14:paraId="4425743D" w14:textId="77777777" w:rsidR="00F61F8E" w:rsidRPr="002B3F36" w:rsidRDefault="000F264B">
      <w:pPr>
        <w:pStyle w:val="Newbullet"/>
      </w:pPr>
      <w:r w:rsidRPr="002B3F36">
        <w:rPr>
          <w:b/>
        </w:rPr>
        <w:t>Birds:</w:t>
      </w:r>
      <w:r w:rsidRPr="002B3F36">
        <w:t xml:space="preserve"> Raptors and steppe-associated birds including the steppe eagle (</w:t>
      </w:r>
      <w:r w:rsidRPr="00DB026A">
        <w:rPr>
          <w:i/>
        </w:rPr>
        <w:t>Aquila nipalensis</w:t>
      </w:r>
      <w:r w:rsidRPr="002B3F36">
        <w:t>), imperial eagle (</w:t>
      </w:r>
      <w:r w:rsidRPr="00DB026A">
        <w:rPr>
          <w:i/>
        </w:rPr>
        <w:t>Aquila heliaca</w:t>
      </w:r>
      <w:r w:rsidRPr="002B3F36">
        <w:t>), golden eagle (</w:t>
      </w:r>
      <w:r w:rsidRPr="00DB026A">
        <w:rPr>
          <w:i/>
        </w:rPr>
        <w:t>Aquila chrysaetos</w:t>
      </w:r>
      <w:r w:rsidRPr="002B3F36">
        <w:t>), long-legged buzzard (</w:t>
      </w:r>
      <w:r w:rsidRPr="00DB026A">
        <w:rPr>
          <w:i/>
        </w:rPr>
        <w:t>Buteo rufinus</w:t>
      </w:r>
      <w:r w:rsidRPr="002B3F36">
        <w:t>), pallid and marsh harriers (</w:t>
      </w:r>
      <w:r w:rsidRPr="00DB026A">
        <w:rPr>
          <w:i/>
        </w:rPr>
        <w:t>Circus macrourus, C. aeruginosus</w:t>
      </w:r>
      <w:r w:rsidRPr="002B3F36">
        <w:t>), kestrel (</w:t>
      </w:r>
      <w:r w:rsidRPr="00DB026A">
        <w:rPr>
          <w:i/>
        </w:rPr>
        <w:t>Falco tinnunculus</w:t>
      </w:r>
      <w:r w:rsidRPr="002B3F36">
        <w:t>), black kite (</w:t>
      </w:r>
      <w:r w:rsidRPr="00DB026A">
        <w:rPr>
          <w:i/>
        </w:rPr>
        <w:t>Milvus migrans</w:t>
      </w:r>
      <w:r w:rsidRPr="002B3F36">
        <w:t>), alongside waterfowl such as ruddy shelduck (</w:t>
      </w:r>
      <w:r w:rsidRPr="00DB026A">
        <w:rPr>
          <w:i/>
        </w:rPr>
        <w:t>Tadorna ferruginea</w:t>
      </w:r>
      <w:r w:rsidRPr="002B3F36">
        <w:t>), mallard (</w:t>
      </w:r>
      <w:r w:rsidRPr="00DB026A">
        <w:rPr>
          <w:i/>
        </w:rPr>
        <w:t>Anas platyrhynchos</w:t>
      </w:r>
      <w:r w:rsidRPr="002B3F36">
        <w:t>), Eurasian teal (</w:t>
      </w:r>
      <w:r w:rsidRPr="00DB026A">
        <w:rPr>
          <w:i/>
        </w:rPr>
        <w:t>Anas crecca</w:t>
      </w:r>
      <w:r w:rsidRPr="002B3F36">
        <w:t>), coot (</w:t>
      </w:r>
      <w:r w:rsidRPr="00C9211D">
        <w:rPr>
          <w:i/>
        </w:rPr>
        <w:t>Fulica atra</w:t>
      </w:r>
      <w:r w:rsidRPr="002B3F36">
        <w:t>), and moorhen (</w:t>
      </w:r>
      <w:r w:rsidRPr="00C9211D">
        <w:rPr>
          <w:i/>
        </w:rPr>
        <w:t>Gallinula chloropus</w:t>
      </w:r>
      <w:r w:rsidRPr="002B3F36">
        <w:t>). Passerines recorded included calandra lark (</w:t>
      </w:r>
      <w:r w:rsidRPr="00C9211D">
        <w:rPr>
          <w:i/>
        </w:rPr>
        <w:t>Melanocorypha calandra</w:t>
      </w:r>
      <w:r w:rsidRPr="002B3F36">
        <w:t>), black lark (</w:t>
      </w:r>
      <w:r w:rsidRPr="00C9211D">
        <w:rPr>
          <w:i/>
        </w:rPr>
        <w:t>Melanocorypha yeltoniensis</w:t>
      </w:r>
      <w:r w:rsidRPr="002B3F36">
        <w:t>), white-winged lark (</w:t>
      </w:r>
      <w:r w:rsidRPr="00C9211D">
        <w:rPr>
          <w:i/>
        </w:rPr>
        <w:t>Alauda leucoptera</w:t>
      </w:r>
      <w:r w:rsidRPr="002B3F36">
        <w:t>), wagtails, pipits, hoopoe (</w:t>
      </w:r>
      <w:r w:rsidRPr="00C9211D">
        <w:rPr>
          <w:i/>
        </w:rPr>
        <w:t>Upupa epops</w:t>
      </w:r>
      <w:r w:rsidRPr="002B3F36">
        <w:t>), bluethroat (</w:t>
      </w:r>
      <w:r w:rsidRPr="00C9211D">
        <w:rPr>
          <w:i/>
        </w:rPr>
        <w:t>Luscinia svecica</w:t>
      </w:r>
      <w:r w:rsidRPr="002B3F36">
        <w:t>), linnet (</w:t>
      </w:r>
      <w:r w:rsidRPr="00C9211D">
        <w:rPr>
          <w:i/>
        </w:rPr>
        <w:t>Linaria cannabina</w:t>
      </w:r>
      <w:r w:rsidRPr="002B3F36">
        <w:t>), and common starling (</w:t>
      </w:r>
      <w:r w:rsidRPr="00C9211D">
        <w:rPr>
          <w:i/>
        </w:rPr>
        <w:t>Sturnus vulgaris</w:t>
      </w:r>
      <w:r w:rsidRPr="002B3F36">
        <w:t>).</w:t>
      </w:r>
    </w:p>
    <w:p w14:paraId="1C0B2B36" w14:textId="77777777" w:rsidR="00F61F8E" w:rsidRPr="002B3F36" w:rsidRDefault="000F264B">
      <w:pPr>
        <w:pStyle w:val="Newbullet"/>
      </w:pPr>
      <w:r w:rsidRPr="002B3F36">
        <w:rPr>
          <w:b/>
        </w:rPr>
        <w:t>Mammals:</w:t>
      </w:r>
      <w:r w:rsidRPr="002B3F36">
        <w:t xml:space="preserve"> Traces and sightings of red fox (</w:t>
      </w:r>
      <w:r w:rsidRPr="00C9211D">
        <w:rPr>
          <w:i/>
        </w:rPr>
        <w:t>Vulpes vulpes</w:t>
      </w:r>
      <w:r w:rsidRPr="002B3F36">
        <w:t>), badger (</w:t>
      </w:r>
      <w:r w:rsidRPr="00C9211D">
        <w:rPr>
          <w:i/>
        </w:rPr>
        <w:t>Meles meles</w:t>
      </w:r>
      <w:r w:rsidRPr="002B3F36">
        <w:t>), hare (</w:t>
      </w:r>
      <w:r w:rsidRPr="00C9211D">
        <w:rPr>
          <w:i/>
        </w:rPr>
        <w:t>Lepus europaeus</w:t>
      </w:r>
      <w:r w:rsidRPr="002B3F36">
        <w:t>), marmot (</w:t>
      </w:r>
      <w:r w:rsidRPr="00C9211D">
        <w:rPr>
          <w:i/>
        </w:rPr>
        <w:t>Marmota bobak</w:t>
      </w:r>
      <w:r w:rsidRPr="002B3F36">
        <w:t>), jerboas (</w:t>
      </w:r>
      <w:r w:rsidRPr="00C9211D">
        <w:rPr>
          <w:i/>
        </w:rPr>
        <w:t>Allactaga spp</w:t>
      </w:r>
      <w:r w:rsidRPr="002B3F36">
        <w:t>.), lemmings (</w:t>
      </w:r>
      <w:r w:rsidRPr="00C9211D">
        <w:rPr>
          <w:i/>
        </w:rPr>
        <w:t>Lagurus lagurus</w:t>
      </w:r>
      <w:r w:rsidRPr="002B3F36">
        <w:t>), and voles (</w:t>
      </w:r>
      <w:r w:rsidRPr="00C9211D">
        <w:rPr>
          <w:i/>
        </w:rPr>
        <w:t>Microtus spp.</w:t>
      </w:r>
      <w:r w:rsidRPr="002B3F36">
        <w:t>), indicating typical small mammal assemblages of steppe and semi-desert landscapes.</w:t>
      </w:r>
    </w:p>
    <w:p w14:paraId="7385739B" w14:textId="77777777" w:rsidR="00F61F8E" w:rsidRPr="002B3F36" w:rsidRDefault="00F61F8E">
      <w:pPr>
        <w:pStyle w:val="ReportBodyTextNogap"/>
      </w:pPr>
    </w:p>
    <w:p w14:paraId="61B0FBF7" w14:textId="77777777" w:rsidR="00F61F8E" w:rsidRPr="002B3F36" w:rsidRDefault="000F264B" w:rsidP="009143D2">
      <w:pPr>
        <w:pStyle w:val="41"/>
      </w:pPr>
      <w:bookmarkStart w:id="2005" w:name="_Toc208973826"/>
      <w:bookmarkStart w:id="2006" w:name="_Toc208974026"/>
      <w:bookmarkStart w:id="2007" w:name="_Toc208974226"/>
      <w:bookmarkStart w:id="2008" w:name="_Toc208974428"/>
      <w:bookmarkStart w:id="2009" w:name="_Toc208974636"/>
      <w:bookmarkStart w:id="2010" w:name="_Toc210589465"/>
      <w:r w:rsidRPr="002B3F36">
        <w:t>Flora</w:t>
      </w:r>
      <w:bookmarkEnd w:id="2005"/>
      <w:bookmarkEnd w:id="2006"/>
      <w:bookmarkEnd w:id="2007"/>
      <w:bookmarkEnd w:id="2008"/>
      <w:bookmarkEnd w:id="2009"/>
      <w:bookmarkEnd w:id="2010"/>
    </w:p>
    <w:p w14:paraId="5DBF19E8" w14:textId="5EB62F86" w:rsidR="00F61F8E" w:rsidRPr="002B3F36" w:rsidRDefault="009143D2">
      <w:pPr>
        <w:pStyle w:val="ReportBodyTextNogap"/>
      </w:pPr>
      <w:r w:rsidRPr="002B3F36">
        <w:t xml:space="preserve">The Flora section describes the vegetation communities along the </w:t>
      </w:r>
      <w:r w:rsidR="003650DB" w:rsidRPr="002B3F36">
        <w:t xml:space="preserve">Mointy – Kyzylzhar </w:t>
      </w:r>
      <w:r w:rsidRPr="002B3F36">
        <w:t xml:space="preserve">railway alignment. The corridor spans steppe and semi-desert ecosystems dominated by arid-adapted grasses, forbs, and shrubs, with localized habitats supporting rare and Red Book-listed species such as </w:t>
      </w:r>
      <w:r w:rsidRPr="00157A03">
        <w:rPr>
          <w:rFonts w:eastAsia="SimSun"/>
          <w:bCs/>
          <w:i/>
          <w:color w:val="1C1C1C"/>
          <w:lang w:eastAsia="zh-CN"/>
        </w:rPr>
        <w:t>Tulipa schrenkii</w:t>
      </w:r>
      <w:r w:rsidRPr="002B3F36">
        <w:t xml:space="preserve"> and </w:t>
      </w:r>
      <w:r w:rsidRPr="00157A03">
        <w:rPr>
          <w:rFonts w:eastAsia="SimSun"/>
          <w:bCs/>
          <w:i/>
          <w:color w:val="1C1C1C"/>
          <w:lang w:eastAsia="zh-CN"/>
        </w:rPr>
        <w:t>Stipa pennata</w:t>
      </w:r>
      <w:r w:rsidRPr="002B3F36">
        <w:t>. Given the ecological fragility of these landscapes and the project’s proximity to sensitive areas like the Andasai Sanctuary, the section establishes the baseline for assessing potential impacts and defining mitigation measures for habitat protection and biodiversity conservation.</w:t>
      </w:r>
    </w:p>
    <w:p w14:paraId="0513F1F7" w14:textId="77777777" w:rsidR="009143D2" w:rsidRPr="002B3F36" w:rsidRDefault="009143D2">
      <w:pPr>
        <w:pStyle w:val="ReportBodyTextNogap"/>
      </w:pPr>
    </w:p>
    <w:p w14:paraId="0751B7B2" w14:textId="77777777" w:rsidR="00F61F8E" w:rsidRPr="002B3F36" w:rsidRDefault="000F264B">
      <w:pPr>
        <w:pStyle w:val="BulletBold"/>
        <w:ind w:left="1138"/>
        <w:rPr>
          <w:rFonts w:eastAsia="Times New Roman"/>
        </w:rPr>
      </w:pPr>
      <w:r w:rsidRPr="002B3F36">
        <w:rPr>
          <w:rStyle w:val="affffb"/>
          <w:b/>
          <w:bCs w:val="0"/>
        </w:rPr>
        <w:t>Overview of Vegetation Communities</w:t>
      </w:r>
    </w:p>
    <w:p w14:paraId="2E720F93" w14:textId="7CBFF2C0" w:rsidR="00F61F8E" w:rsidRPr="002B3F36" w:rsidRDefault="000F264B">
      <w:pPr>
        <w:pStyle w:val="ReportBodyTextNogap"/>
      </w:pPr>
      <w:r w:rsidRPr="002B3F36">
        <w:t xml:space="preserve">The </w:t>
      </w:r>
      <w:r w:rsidR="003650DB" w:rsidRPr="002B3F36">
        <w:t xml:space="preserve">Mointy – Kyzylzhar </w:t>
      </w:r>
      <w:r w:rsidRPr="002B3F36">
        <w:t xml:space="preserve">railway alignment traverses the steppe and semi-desert landscapes typical of </w:t>
      </w:r>
      <w:r w:rsidR="003A184C">
        <w:t>Karagandy</w:t>
      </w:r>
      <w:r w:rsidRPr="002B3F36">
        <w:t xml:space="preserve"> and Ulytau rayons. Vegetation is dominated by </w:t>
      </w:r>
      <w:r w:rsidRPr="002B3F36">
        <w:rPr>
          <w:rStyle w:val="affffb"/>
        </w:rPr>
        <w:t>arid-adapted grassland and shrub-steppe associations</w:t>
      </w:r>
      <w:r w:rsidRPr="002B3F36">
        <w:t xml:space="preserve">, with floristic composition shaped by the continental climate, low precipitation (250–300 mm annually), and marked seasonality. Plant cover is generally sparse, and productivity peaks in spring and early summer following snowmelt. The </w:t>
      </w:r>
      <w:r w:rsidRPr="002B3F36">
        <w:rPr>
          <w:rStyle w:val="affffb"/>
        </w:rPr>
        <w:t>steppe biome</w:t>
      </w:r>
      <w:r w:rsidRPr="002B3F36">
        <w:t xml:space="preserve"> in this region is recognized for its fragility: soil-binding vegetation is easily disturbed, and recovery from construction-related impacts is slow due to harsh climatic conditions and low organic content in soils.</w:t>
      </w:r>
    </w:p>
    <w:p w14:paraId="68CC5597" w14:textId="77777777" w:rsidR="00F61F8E" w:rsidRPr="002B3F36" w:rsidRDefault="00F61F8E">
      <w:pPr>
        <w:pStyle w:val="ReportBodyPar"/>
      </w:pPr>
    </w:p>
    <w:p w14:paraId="01FC5DDF" w14:textId="77777777" w:rsidR="00F61F8E" w:rsidRPr="002B3F36" w:rsidRDefault="000F264B">
      <w:pPr>
        <w:pStyle w:val="BulletBold"/>
        <w:ind w:left="1138"/>
        <w:rPr>
          <w:rStyle w:val="affffb"/>
        </w:rPr>
      </w:pPr>
      <w:r w:rsidRPr="002B3F36">
        <w:rPr>
          <w:rStyle w:val="affffb"/>
          <w:b/>
          <w:bCs w:val="0"/>
        </w:rPr>
        <w:t>Dominant and Widespread Species</w:t>
      </w:r>
    </w:p>
    <w:p w14:paraId="49A9E996" w14:textId="77777777" w:rsidR="00F61F8E" w:rsidRPr="002B3F36" w:rsidRDefault="000F264B">
      <w:pPr>
        <w:pStyle w:val="ReportBodyPar"/>
      </w:pPr>
      <w:r w:rsidRPr="002B3F36">
        <w:t xml:space="preserve">The flora is dominated by </w:t>
      </w:r>
      <w:r w:rsidRPr="002B3F36">
        <w:rPr>
          <w:rStyle w:val="affffb"/>
        </w:rPr>
        <w:t>grasses and forbs</w:t>
      </w:r>
      <w:r w:rsidRPr="002B3F36">
        <w:t xml:space="preserve"> typical of Eurasian steppe systems, such as </w:t>
      </w:r>
      <w:r w:rsidRPr="002B3F36">
        <w:rPr>
          <w:rStyle w:val="affffc"/>
        </w:rPr>
        <w:t>Stipa</w:t>
      </w:r>
      <w:r w:rsidRPr="002B3F36">
        <w:t xml:space="preserve"> spp. (feathergrasses), </w:t>
      </w:r>
      <w:r w:rsidRPr="002B3F36">
        <w:rPr>
          <w:rStyle w:val="affffc"/>
        </w:rPr>
        <w:t>Festuca valesiaca</w:t>
      </w:r>
      <w:r w:rsidRPr="002B3F36">
        <w:t xml:space="preserve">, and </w:t>
      </w:r>
      <w:r w:rsidRPr="002B3F36">
        <w:rPr>
          <w:rStyle w:val="affffc"/>
        </w:rPr>
        <w:t>Agropyron</w:t>
      </w:r>
      <w:r w:rsidRPr="002B3F36">
        <w:t xml:space="preserve"> spp. Perennial herbs including </w:t>
      </w:r>
      <w:r w:rsidRPr="002B3F36">
        <w:rPr>
          <w:rStyle w:val="affffc"/>
        </w:rPr>
        <w:t>Artemisia frigida</w:t>
      </w:r>
      <w:r w:rsidRPr="002B3F36">
        <w:t xml:space="preserve"> (fringed sagebrush), </w:t>
      </w:r>
      <w:r w:rsidRPr="002B3F36">
        <w:rPr>
          <w:rStyle w:val="affffc"/>
        </w:rPr>
        <w:t>Artemisia austriaca</w:t>
      </w:r>
      <w:r w:rsidRPr="002B3F36">
        <w:t xml:space="preserve">, and </w:t>
      </w:r>
      <w:r w:rsidRPr="002B3F36">
        <w:rPr>
          <w:rStyle w:val="affffc"/>
        </w:rPr>
        <w:t>Potentilla</w:t>
      </w:r>
      <w:r w:rsidRPr="002B3F36">
        <w:t xml:space="preserve"> spp. are also common, providing forage for both domestic livestock and wildlife. Semi-desert areas along the alignment are characterized by </w:t>
      </w:r>
      <w:r w:rsidRPr="002B3F36">
        <w:rPr>
          <w:rStyle w:val="affffb"/>
        </w:rPr>
        <w:t>salt-tolerant species</w:t>
      </w:r>
      <w:r w:rsidRPr="002B3F36">
        <w:t xml:space="preserve"> such as </w:t>
      </w:r>
      <w:r w:rsidRPr="002B3F36">
        <w:rPr>
          <w:rStyle w:val="affffc"/>
        </w:rPr>
        <w:t>Salsola arbuscula</w:t>
      </w:r>
      <w:r w:rsidRPr="002B3F36">
        <w:t xml:space="preserve">, </w:t>
      </w:r>
      <w:r w:rsidRPr="002B3F36">
        <w:rPr>
          <w:rStyle w:val="affffc"/>
        </w:rPr>
        <w:t>Anabasis salsa</w:t>
      </w:r>
      <w:r w:rsidRPr="002B3F36">
        <w:t xml:space="preserve">, and </w:t>
      </w:r>
      <w:r w:rsidRPr="002B3F36">
        <w:rPr>
          <w:rStyle w:val="affffc"/>
        </w:rPr>
        <w:t>Kochia prostrata</w:t>
      </w:r>
      <w:r w:rsidRPr="002B3F36">
        <w:t xml:space="preserve">, which dominate saline soils and depressions. Shrubby elements, though sparse, include </w:t>
      </w:r>
      <w:r w:rsidRPr="002B3F36">
        <w:rPr>
          <w:rStyle w:val="affffc"/>
        </w:rPr>
        <w:t>Caragana</w:t>
      </w:r>
      <w:r w:rsidRPr="002B3F36">
        <w:t xml:space="preserve"> spp. and </w:t>
      </w:r>
      <w:r w:rsidRPr="002B3F36">
        <w:rPr>
          <w:rStyle w:val="affffc"/>
        </w:rPr>
        <w:t>Spiraea hypericifolia</w:t>
      </w:r>
      <w:r w:rsidRPr="002B3F36">
        <w:t xml:space="preserve"> in rocky or upland habitats (e.g., Ortau and Ayak-Bestau hills).</w:t>
      </w:r>
    </w:p>
    <w:p w14:paraId="1672F477" w14:textId="77777777" w:rsidR="00F61F8E" w:rsidRPr="002B3F36" w:rsidRDefault="00F61F8E">
      <w:pPr>
        <w:pStyle w:val="ReportBodyPar"/>
      </w:pPr>
    </w:p>
    <w:p w14:paraId="531942F6" w14:textId="77777777" w:rsidR="00F61F8E" w:rsidRPr="002B3F36" w:rsidRDefault="000F264B">
      <w:pPr>
        <w:pStyle w:val="BulletBold"/>
        <w:ind w:left="1138"/>
        <w:rPr>
          <w:rStyle w:val="affffb"/>
        </w:rPr>
      </w:pPr>
      <w:r w:rsidRPr="002B3F36">
        <w:rPr>
          <w:rStyle w:val="affffb"/>
          <w:b/>
          <w:bCs w:val="0"/>
        </w:rPr>
        <w:t>Rare and Protected Plant Species</w:t>
      </w:r>
    </w:p>
    <w:p w14:paraId="49508F5B" w14:textId="6AD0A3A9" w:rsidR="00F61F8E" w:rsidRPr="002B3F36" w:rsidRDefault="000F264B">
      <w:pPr>
        <w:pStyle w:val="ReportBodyTextNogap"/>
      </w:pPr>
      <w:r w:rsidRPr="002B3F36">
        <w:t xml:space="preserve">While much of the flora consists of widespread steppe and semi-desert taxa, field reconnaissance and secondary sources indicate the potential presence of </w:t>
      </w:r>
      <w:r w:rsidRPr="002B3F36">
        <w:rPr>
          <w:rStyle w:val="affffb"/>
        </w:rPr>
        <w:t>rare and Red Book-listed species</w:t>
      </w:r>
      <w:r w:rsidRPr="002B3F36">
        <w:t xml:space="preserve"> within localized habitats, particularly rocky uplands and saline depressions. Species of conservation concern in </w:t>
      </w:r>
      <w:r w:rsidR="003A184C">
        <w:t>Karagandy</w:t>
      </w:r>
      <w:r w:rsidRPr="002B3F36">
        <w:t xml:space="preserve"> and Ulytau rayons include:</w:t>
      </w:r>
    </w:p>
    <w:p w14:paraId="32987E23" w14:textId="77777777" w:rsidR="00F61F8E" w:rsidRPr="002B3F36" w:rsidRDefault="000F264B">
      <w:pPr>
        <w:pStyle w:val="BulletinTable"/>
        <w:rPr>
          <w:sz w:val="24"/>
          <w:szCs w:val="24"/>
        </w:rPr>
      </w:pPr>
      <w:r w:rsidRPr="002B3F36">
        <w:rPr>
          <w:rStyle w:val="affffc"/>
          <w:sz w:val="24"/>
          <w:szCs w:val="24"/>
        </w:rPr>
        <w:t>Tulipa schrenkii</w:t>
      </w:r>
      <w:r w:rsidRPr="002B3F36">
        <w:rPr>
          <w:sz w:val="24"/>
          <w:szCs w:val="24"/>
        </w:rPr>
        <w:t xml:space="preserve"> (Schrenk’s tulip), a Red Book species and iconic steppe plant.</w:t>
      </w:r>
    </w:p>
    <w:p w14:paraId="1F2BC3A8" w14:textId="77777777" w:rsidR="00F61F8E" w:rsidRPr="002B3F36" w:rsidRDefault="000F264B">
      <w:pPr>
        <w:pStyle w:val="BulletinTable"/>
        <w:rPr>
          <w:sz w:val="24"/>
          <w:szCs w:val="24"/>
        </w:rPr>
      </w:pPr>
      <w:r w:rsidRPr="002B3F36">
        <w:rPr>
          <w:rStyle w:val="affffc"/>
          <w:sz w:val="24"/>
          <w:szCs w:val="24"/>
        </w:rPr>
        <w:t>Iris scariosa</w:t>
      </w:r>
      <w:r w:rsidRPr="002B3F36">
        <w:rPr>
          <w:sz w:val="24"/>
          <w:szCs w:val="24"/>
        </w:rPr>
        <w:t xml:space="preserve"> and </w:t>
      </w:r>
      <w:r w:rsidRPr="002B3F36">
        <w:rPr>
          <w:rStyle w:val="affffc"/>
          <w:sz w:val="24"/>
          <w:szCs w:val="24"/>
        </w:rPr>
        <w:t>Iris pumila</w:t>
      </w:r>
      <w:r w:rsidRPr="002B3F36">
        <w:rPr>
          <w:sz w:val="24"/>
          <w:szCs w:val="24"/>
        </w:rPr>
        <w:t>, associated with dry steppe slopes.</w:t>
      </w:r>
    </w:p>
    <w:p w14:paraId="6CFDCDAF" w14:textId="6FFFDD1A" w:rsidR="00F61F8E" w:rsidRPr="00A846C7" w:rsidRDefault="00B465EA" w:rsidP="00F82096">
      <w:pPr>
        <w:pStyle w:val="BulletinTable"/>
      </w:pPr>
      <w:r w:rsidRPr="00A846C7">
        <w:rPr>
          <w:sz w:val="24"/>
          <w:szCs w:val="24"/>
        </w:rPr>
        <w:t>Endemic or regionally significant steppe grasses (</w:t>
      </w:r>
      <w:r w:rsidRPr="00A846C7">
        <w:rPr>
          <w:rStyle w:val="affffc"/>
          <w:sz w:val="24"/>
          <w:szCs w:val="24"/>
        </w:rPr>
        <w:t>Stipa lessingiana</w:t>
      </w:r>
      <w:r w:rsidRPr="00A846C7">
        <w:rPr>
          <w:sz w:val="24"/>
          <w:szCs w:val="24"/>
        </w:rPr>
        <w:t xml:space="preserve">, </w:t>
      </w:r>
      <w:r w:rsidRPr="00A846C7">
        <w:rPr>
          <w:rStyle w:val="affffc"/>
          <w:sz w:val="24"/>
          <w:szCs w:val="24"/>
        </w:rPr>
        <w:t>Stipa pennata</w:t>
      </w:r>
      <w:r w:rsidRPr="00A846C7">
        <w:rPr>
          <w:sz w:val="24"/>
          <w:szCs w:val="24"/>
        </w:rPr>
        <w:t>). These species are typically scattered and occur in small populations vulnerable to habitat fragmentation and soil disturbance.</w:t>
      </w:r>
      <w:r w:rsidRPr="00A846C7">
        <w:t xml:space="preserve"> </w:t>
      </w:r>
    </w:p>
    <w:p w14:paraId="56E7DCE6" w14:textId="77777777" w:rsidR="00F61F8E" w:rsidRPr="002B3F36" w:rsidRDefault="00F61F8E">
      <w:pPr>
        <w:pStyle w:val="ReportBodyPar"/>
      </w:pPr>
    </w:p>
    <w:p w14:paraId="181246D6" w14:textId="39B75425" w:rsidR="00F61F8E" w:rsidRPr="002B3F36" w:rsidRDefault="000F264B" w:rsidP="005A68AD">
      <w:pPr>
        <w:pStyle w:val="31"/>
      </w:pPr>
      <w:bookmarkStart w:id="2011" w:name="_Toc208973827"/>
      <w:bookmarkStart w:id="2012" w:name="_Toc208974027"/>
      <w:bookmarkStart w:id="2013" w:name="_Toc208974227"/>
      <w:bookmarkStart w:id="2014" w:name="_Toc208974429"/>
      <w:bookmarkStart w:id="2015" w:name="_Toc208974637"/>
      <w:bookmarkStart w:id="2016" w:name="_Toc210589466"/>
      <w:r w:rsidRPr="002B3F36">
        <w:t>Habitat Types Along the Alignment</w:t>
      </w:r>
      <w:bookmarkEnd w:id="2011"/>
      <w:bookmarkEnd w:id="2012"/>
      <w:bookmarkEnd w:id="2013"/>
      <w:bookmarkEnd w:id="2014"/>
      <w:bookmarkEnd w:id="2015"/>
      <w:bookmarkEnd w:id="2016"/>
    </w:p>
    <w:p w14:paraId="4923E89B" w14:textId="6FEE6306" w:rsidR="009143D2" w:rsidRPr="002B3F36" w:rsidRDefault="009143D2" w:rsidP="009143D2">
      <w:pPr>
        <w:pStyle w:val="ReportBodyPar"/>
      </w:pPr>
    </w:p>
    <w:p w14:paraId="2759DDFC" w14:textId="219DD23B" w:rsidR="009143D2" w:rsidRPr="002B3F36" w:rsidRDefault="009143D2" w:rsidP="009143D2">
      <w:pPr>
        <w:pStyle w:val="ReportBodyPar"/>
      </w:pPr>
      <w:r w:rsidRPr="002B3F36">
        <w:t xml:space="preserve">The Habitat Types Along the Alignment section summarizes the main ecosystems crossed by the </w:t>
      </w:r>
      <w:r w:rsidR="003650DB" w:rsidRPr="002B3F36">
        <w:t xml:space="preserve">Mointy – Kyzylzhar </w:t>
      </w:r>
      <w:r w:rsidRPr="002B3F36">
        <w:t>railway, including steppe grasslands, semi-deserts, riparian zones, rocky uplands, and saline depressions, each supporting distinct plant and animal communities important for regional biodiversity. The habitats types are:</w:t>
      </w:r>
    </w:p>
    <w:p w14:paraId="10344D12" w14:textId="77777777" w:rsidR="00F61F8E" w:rsidRPr="002B3F36" w:rsidRDefault="000F264B" w:rsidP="009B4CDB">
      <w:pPr>
        <w:pStyle w:val="NumberedlistinPar"/>
        <w:numPr>
          <w:ilvl w:val="0"/>
          <w:numId w:val="84"/>
        </w:numPr>
        <w:ind w:left="900"/>
      </w:pPr>
      <w:r w:rsidRPr="002B3F36">
        <w:rPr>
          <w:rStyle w:val="affffb"/>
          <w:b w:val="0"/>
          <w:bCs w:val="0"/>
        </w:rPr>
        <w:t>Steppe Grasslands</w:t>
      </w:r>
      <w:r w:rsidRPr="002B3F36">
        <w:t xml:space="preserve"> – Predominantly feathergrass (</w:t>
      </w:r>
      <w:r w:rsidRPr="00157A03">
        <w:rPr>
          <w:i/>
          <w:color w:val="1C1C1C"/>
        </w:rPr>
        <w:t>Stipa spp.</w:t>
      </w:r>
      <w:r w:rsidRPr="002B3F36">
        <w:t>) and fescue communities on chestnut soils; ecologically important for soil stabilization and forage.</w:t>
      </w:r>
    </w:p>
    <w:p w14:paraId="417D7066" w14:textId="77777777" w:rsidR="00F61F8E" w:rsidRPr="002B3F36" w:rsidRDefault="000F264B" w:rsidP="009B4CDB">
      <w:pPr>
        <w:pStyle w:val="NumberedlistinPar"/>
        <w:numPr>
          <w:ilvl w:val="0"/>
          <w:numId w:val="84"/>
        </w:numPr>
        <w:ind w:left="900"/>
      </w:pPr>
      <w:r w:rsidRPr="002B3F36">
        <w:rPr>
          <w:rStyle w:val="affffb"/>
          <w:b w:val="0"/>
          <w:bCs w:val="0"/>
        </w:rPr>
        <w:t>Semi-Desert Vegetation</w:t>
      </w:r>
      <w:r w:rsidRPr="002B3F36">
        <w:t xml:space="preserve"> – Sagebrush and saltwort species dominate in arid sections, adapted to saline soils and drought conditions.</w:t>
      </w:r>
    </w:p>
    <w:p w14:paraId="044DD020" w14:textId="77777777" w:rsidR="00F61F8E" w:rsidRPr="002B3F36" w:rsidRDefault="000F264B" w:rsidP="009B4CDB">
      <w:pPr>
        <w:pStyle w:val="NumberedlistinPar"/>
        <w:numPr>
          <w:ilvl w:val="0"/>
          <w:numId w:val="84"/>
        </w:numPr>
        <w:ind w:left="900"/>
      </w:pPr>
      <w:r w:rsidRPr="002B3F36">
        <w:rPr>
          <w:rStyle w:val="affffb"/>
          <w:b w:val="0"/>
          <w:bCs w:val="0"/>
        </w:rPr>
        <w:t>Riparian Strips</w:t>
      </w:r>
      <w:r w:rsidRPr="002B3F36">
        <w:t xml:space="preserve"> – Narrow belts along ephemeral rivers (e.g., Karazhal River) support denser vegetation, including grasses, sedges, and shrubs. These serve as ecological refuges for amphibians and small mammals.</w:t>
      </w:r>
    </w:p>
    <w:p w14:paraId="383611A6" w14:textId="77777777" w:rsidR="00F61F8E" w:rsidRPr="002B3F36" w:rsidRDefault="000F264B" w:rsidP="009B4CDB">
      <w:pPr>
        <w:pStyle w:val="NumberedlistinPar"/>
        <w:numPr>
          <w:ilvl w:val="0"/>
          <w:numId w:val="84"/>
        </w:numPr>
        <w:ind w:left="900"/>
      </w:pPr>
      <w:r w:rsidRPr="002B3F36">
        <w:rPr>
          <w:rStyle w:val="affffb"/>
          <w:b w:val="0"/>
          <w:bCs w:val="0"/>
        </w:rPr>
        <w:t>Rocky Uplands and Hills (Ortav, Ayak-Bestau)</w:t>
      </w:r>
      <w:r w:rsidRPr="002B3F36">
        <w:t xml:space="preserve"> – Support unique floristic assemblages, including endemics and early-flowering geophytes such as tulips and irises.</w:t>
      </w:r>
    </w:p>
    <w:p w14:paraId="0D4FE5B9" w14:textId="77777777" w:rsidR="00F61F8E" w:rsidRPr="002B3F36" w:rsidRDefault="000F264B" w:rsidP="009B4CDB">
      <w:pPr>
        <w:pStyle w:val="NumberedlistinPar"/>
        <w:numPr>
          <w:ilvl w:val="0"/>
          <w:numId w:val="84"/>
        </w:numPr>
        <w:ind w:left="900"/>
      </w:pPr>
      <w:r w:rsidRPr="002B3F36">
        <w:rPr>
          <w:rStyle w:val="affffb"/>
          <w:b w:val="0"/>
          <w:bCs w:val="0"/>
        </w:rPr>
        <w:t>Saline Depressions and Ephemeral Wetlands</w:t>
      </w:r>
      <w:r w:rsidRPr="002B3F36">
        <w:t xml:space="preserve"> – Seasonal vegetation dominated by halophytes (</w:t>
      </w:r>
      <w:r w:rsidRPr="00157A03">
        <w:rPr>
          <w:i/>
          <w:color w:val="1C1C1C"/>
        </w:rPr>
        <w:t>Salicornia, Suaeda spp.</w:t>
      </w:r>
      <w:r w:rsidRPr="002B3F36">
        <w:t>), important for migratory waterfowl foraging.</w:t>
      </w:r>
    </w:p>
    <w:p w14:paraId="4D2CAA92" w14:textId="77777777" w:rsidR="00F61F8E" w:rsidRPr="002B3F36" w:rsidRDefault="00F61F8E">
      <w:pPr>
        <w:pStyle w:val="ReportBodyTextNogap"/>
      </w:pPr>
    </w:p>
    <w:p w14:paraId="45987E01" w14:textId="4033F63F" w:rsidR="00F61F8E" w:rsidRPr="002B3F36" w:rsidRDefault="000F264B" w:rsidP="005A68AD">
      <w:pPr>
        <w:pStyle w:val="31"/>
      </w:pPr>
      <w:bookmarkStart w:id="2017" w:name="_Toc208973828"/>
      <w:bookmarkStart w:id="2018" w:name="_Toc208974028"/>
      <w:bookmarkStart w:id="2019" w:name="_Toc208974228"/>
      <w:bookmarkStart w:id="2020" w:name="_Toc208974430"/>
      <w:bookmarkStart w:id="2021" w:name="_Toc208974638"/>
      <w:bookmarkStart w:id="2022" w:name="_Toc210589467"/>
      <w:r w:rsidRPr="002B3F36">
        <w:t>Ecological Sensitivities</w:t>
      </w:r>
      <w:bookmarkEnd w:id="2017"/>
      <w:bookmarkEnd w:id="2018"/>
      <w:bookmarkEnd w:id="2019"/>
      <w:bookmarkEnd w:id="2020"/>
      <w:bookmarkEnd w:id="2021"/>
      <w:bookmarkEnd w:id="2022"/>
    </w:p>
    <w:p w14:paraId="247AB444" w14:textId="10B2C5D4" w:rsidR="009143D2" w:rsidRPr="002B3F36" w:rsidRDefault="009143D2" w:rsidP="009143D2">
      <w:pPr>
        <w:pStyle w:val="ReportBodyPar"/>
      </w:pPr>
    </w:p>
    <w:p w14:paraId="0626B379" w14:textId="15A15595" w:rsidR="00F61F8E" w:rsidRPr="002B3F36" w:rsidRDefault="009143D2" w:rsidP="009143D2">
      <w:pPr>
        <w:pStyle w:val="ReportBodyPar"/>
      </w:pPr>
      <w:r w:rsidRPr="002B3F36">
        <w:t xml:space="preserve">The Ecological Sensitivities section identifies key risks to vegetation along the alignment, including habitat fragmentation, loss of rare plant populations, soil erosion from construction activities, and potential impacts on protected areas such as sanctuaries and Important Bird Areas requiring targeted mitigation. </w:t>
      </w:r>
      <w:r w:rsidR="000F264B" w:rsidRPr="002B3F36">
        <w:t>The scoping process highlights the following sensitivities regarding flora:</w:t>
      </w:r>
    </w:p>
    <w:p w14:paraId="15BFEAE6" w14:textId="77777777" w:rsidR="00F61F8E" w:rsidRPr="002B3F36" w:rsidRDefault="000F264B">
      <w:pPr>
        <w:pStyle w:val="BulletPar"/>
      </w:pPr>
      <w:r w:rsidRPr="002B3F36">
        <w:rPr>
          <w:rStyle w:val="affffb"/>
        </w:rPr>
        <w:lastRenderedPageBreak/>
        <w:t>Habitat Fragmentation</w:t>
      </w:r>
      <w:r w:rsidRPr="002B3F36">
        <w:t xml:space="preserve"> – Linear infrastructure disrupts continuous steppe vegetation, particularly in intact grasslands.</w:t>
      </w:r>
    </w:p>
    <w:p w14:paraId="7EA32708" w14:textId="77777777" w:rsidR="00F61F8E" w:rsidRPr="002B3F36" w:rsidRDefault="000F264B">
      <w:pPr>
        <w:pStyle w:val="BulletPar"/>
      </w:pPr>
      <w:r w:rsidRPr="002B3F36">
        <w:rPr>
          <w:rStyle w:val="affffb"/>
        </w:rPr>
        <w:t>Loss of Rare Plants</w:t>
      </w:r>
      <w:r w:rsidRPr="002B3F36">
        <w:t xml:space="preserve"> – Localized populations of tulips and irises are vulnerable to clearance during construction.</w:t>
      </w:r>
    </w:p>
    <w:p w14:paraId="541D67EC" w14:textId="77777777" w:rsidR="00F61F8E" w:rsidRPr="002B3F36" w:rsidRDefault="000F264B">
      <w:pPr>
        <w:pStyle w:val="BulletPar"/>
      </w:pPr>
      <w:r w:rsidRPr="002B3F36">
        <w:rPr>
          <w:rStyle w:val="affffb"/>
        </w:rPr>
        <w:t>Soil Erosion and Vegetation Loss</w:t>
      </w:r>
      <w:r w:rsidRPr="002B3F36">
        <w:t xml:space="preserve"> – Disturbance of thin, erosion-prone soils may result in long-term degradation, with slow natural recovery.</w:t>
      </w:r>
    </w:p>
    <w:p w14:paraId="0728B90E" w14:textId="1D127755" w:rsidR="00F61F8E" w:rsidRPr="002B3F36" w:rsidRDefault="000F264B">
      <w:pPr>
        <w:pStyle w:val="BulletPar"/>
      </w:pPr>
      <w:r w:rsidRPr="002B3F36">
        <w:rPr>
          <w:rStyle w:val="affffb"/>
        </w:rPr>
        <w:t>Protected Areas</w:t>
      </w:r>
      <w:r w:rsidRPr="002B3F36">
        <w:t xml:space="preserve"> – The Andasai Sanctuary Cluster 2 and IBAs (Kz063 &amp; Kz064) require specific mitigation to protect steppe vegetation communities within a legally designated reserve.</w:t>
      </w:r>
    </w:p>
    <w:p w14:paraId="1CAFDD3F" w14:textId="77777777" w:rsidR="003E513B" w:rsidRPr="002B3F36" w:rsidRDefault="003E513B">
      <w:pPr>
        <w:rPr>
          <w:rFonts w:ascii="Arial" w:hAnsi="Arial" w:cs="Arial"/>
        </w:rPr>
      </w:pPr>
    </w:p>
    <w:p w14:paraId="090F18FF" w14:textId="77777777" w:rsidR="00A01E00" w:rsidRPr="002B3F36" w:rsidRDefault="00A01E00" w:rsidP="00A01E00">
      <w:pPr>
        <w:pStyle w:val="20"/>
      </w:pPr>
      <w:bookmarkStart w:id="2023" w:name="_Toc208973829"/>
      <w:bookmarkStart w:id="2024" w:name="_Toc208974029"/>
      <w:bookmarkStart w:id="2025" w:name="_Toc208974229"/>
      <w:bookmarkStart w:id="2026" w:name="_Toc208974431"/>
      <w:bookmarkStart w:id="2027" w:name="_Toc208974639"/>
      <w:bookmarkStart w:id="2028" w:name="_Toc210589468"/>
      <w:r w:rsidRPr="002B3F36">
        <w:t>Measured Parameters</w:t>
      </w:r>
      <w:bookmarkEnd w:id="2023"/>
      <w:bookmarkEnd w:id="2024"/>
      <w:bookmarkEnd w:id="2025"/>
      <w:bookmarkEnd w:id="2026"/>
      <w:bookmarkEnd w:id="2027"/>
      <w:bookmarkEnd w:id="2028"/>
    </w:p>
    <w:p w14:paraId="233E9CA5" w14:textId="77777777" w:rsidR="00A01E00" w:rsidRPr="002B3F36" w:rsidRDefault="00A01E00" w:rsidP="00A01E00">
      <w:pPr>
        <w:pStyle w:val="ReportBodyPar"/>
        <w:rPr>
          <w:lang w:val="en-GB"/>
        </w:rPr>
      </w:pPr>
    </w:p>
    <w:p w14:paraId="340C2DA6" w14:textId="2B88E155" w:rsidR="00A01E00" w:rsidRPr="002B3F36" w:rsidRDefault="00A01E00" w:rsidP="00A01E00">
      <w:pPr>
        <w:pStyle w:val="ReportBodyPar"/>
        <w:rPr>
          <w:lang w:val="en-GB"/>
        </w:rPr>
      </w:pPr>
      <w:r w:rsidRPr="002B3F36">
        <w:rPr>
          <w:lang w:val="en-GB"/>
        </w:rPr>
        <w:t xml:space="preserve">In accordance with </w:t>
      </w:r>
      <w:r w:rsidR="00F95BD8" w:rsidRPr="002B3F36">
        <w:rPr>
          <w:lang w:val="en-GB"/>
        </w:rPr>
        <w:t>WB</w:t>
      </w:r>
      <w:r w:rsidRPr="002B3F36">
        <w:rPr>
          <w:lang w:val="en-GB"/>
        </w:rPr>
        <w:t xml:space="preserve"> Performance Standard 1 (Assessment and Management of Environmental and Social Risks and Impacts) and </w:t>
      </w:r>
      <w:r w:rsidR="00F95BD8" w:rsidRPr="002B3F36">
        <w:rPr>
          <w:lang w:val="en-GB"/>
        </w:rPr>
        <w:t>WB</w:t>
      </w:r>
      <w:r w:rsidRPr="002B3F36">
        <w:rPr>
          <w:lang w:val="en-GB"/>
        </w:rPr>
        <w:t xml:space="preserve"> Performance Standard 3 (Resource Efficiency and Pollution Prevention), baseline environmental data were collected to characterize pre-project conditions for air quality, water quality, and noise. The purpose of this baseline monitoring is to establish reference conditions against which potential project impacts can be assessed and managed.</w:t>
      </w:r>
    </w:p>
    <w:p w14:paraId="52400CA0" w14:textId="77777777" w:rsidR="00A01E00" w:rsidRPr="002B3F36" w:rsidRDefault="00A01E00" w:rsidP="00A01E00">
      <w:pPr>
        <w:pStyle w:val="ReportBodyPar"/>
        <w:rPr>
          <w:lang w:val="en-GB"/>
        </w:rPr>
      </w:pPr>
    </w:p>
    <w:p w14:paraId="7E312F5C" w14:textId="77777777" w:rsidR="00A01E00" w:rsidRPr="002B3F36" w:rsidRDefault="00A01E00" w:rsidP="00A01E00">
      <w:pPr>
        <w:pStyle w:val="ReportBodyPar"/>
        <w:rPr>
          <w:lang w:val="en-GB"/>
        </w:rPr>
      </w:pPr>
      <w:r w:rsidRPr="002B3F36">
        <w:rPr>
          <w:lang w:val="en-GB"/>
        </w:rPr>
        <w:t>For air quality and noise, monitoring sites were selected in areas where emissions and noise levels during construction and operation could reasonably be expected to affect local communities or ecologically sensitive receptors. This site selection approach ensures that the baseline accurately reflects conditions in locations with the greatest potential for environmental and social impacts, as required under PS1’s emphasis on risk identification and PS3’s focus on pollution prevention.</w:t>
      </w:r>
    </w:p>
    <w:p w14:paraId="3FF2E970" w14:textId="77777777" w:rsidR="00A01E00" w:rsidRPr="002B3F36" w:rsidRDefault="00A01E00" w:rsidP="00A01E00">
      <w:pPr>
        <w:pStyle w:val="ReportBodyPar"/>
        <w:rPr>
          <w:lang w:val="en-GB"/>
        </w:rPr>
      </w:pPr>
    </w:p>
    <w:p w14:paraId="64F241D4" w14:textId="77777777" w:rsidR="00A01E00" w:rsidRPr="002B3F36" w:rsidRDefault="00A01E00" w:rsidP="00A01E00">
      <w:pPr>
        <w:pStyle w:val="ReportBodyPar"/>
        <w:rPr>
          <w:lang w:val="en-GB"/>
        </w:rPr>
      </w:pPr>
      <w:r w:rsidRPr="002B3F36">
        <w:rPr>
          <w:lang w:val="en-GB"/>
        </w:rPr>
        <w:t>For water quality, sampling was conducted in rivers with perennial flows to capture representative hydrological conditions and provide robust data for comparison throughout the project cycle. By anchoring measurements in locations that are hydrologically stable, the baseline supports PS3’s objective of safeguarding water resources and preventing contamination.</w:t>
      </w:r>
    </w:p>
    <w:p w14:paraId="3CD4618B" w14:textId="77777777" w:rsidR="00A01E00" w:rsidRPr="002B3F36" w:rsidRDefault="00A01E00" w:rsidP="00A01E00">
      <w:pPr>
        <w:pStyle w:val="ReportBodyPar"/>
        <w:rPr>
          <w:lang w:val="en-GB"/>
        </w:rPr>
      </w:pPr>
    </w:p>
    <w:p w14:paraId="3AAEF12E" w14:textId="7566F3A1" w:rsidR="00A01E00" w:rsidRPr="002B3F36" w:rsidRDefault="00A01E00" w:rsidP="00A01E00">
      <w:pPr>
        <w:pStyle w:val="ReportBodyPar"/>
        <w:rPr>
          <w:lang w:val="en-GB"/>
        </w:rPr>
      </w:pPr>
      <w:r w:rsidRPr="002B3F36">
        <w:rPr>
          <w:lang w:val="en-GB"/>
        </w:rPr>
        <w:t xml:space="preserve">Overall, the chosen monitoring sites serve as benchmark locations for assessing environmental conditions throughout construction and operational phases, ensuring compliance with the impact assessment, risk management, and resource efficiency principles outlined in </w:t>
      </w:r>
      <w:r w:rsidR="00163238" w:rsidRPr="002B3F36">
        <w:rPr>
          <w:lang w:val="en-GB"/>
        </w:rPr>
        <w:t>WB PS</w:t>
      </w:r>
      <w:r w:rsidRPr="002B3F36">
        <w:rPr>
          <w:lang w:val="en-GB"/>
        </w:rPr>
        <w:t>1 and PS3.</w:t>
      </w:r>
    </w:p>
    <w:p w14:paraId="646749D3" w14:textId="77777777" w:rsidR="00A01E00" w:rsidRPr="002B3F36" w:rsidRDefault="00A01E00" w:rsidP="00A01E00">
      <w:pPr>
        <w:rPr>
          <w:rFonts w:ascii="Arial" w:eastAsia="Calibri" w:hAnsi="Arial" w:cs="Arial"/>
          <w:lang w:val="en-GB"/>
        </w:rPr>
      </w:pPr>
    </w:p>
    <w:p w14:paraId="201E20BC" w14:textId="77777777" w:rsidR="00A01E00" w:rsidRPr="002B3F36" w:rsidRDefault="00A01E00" w:rsidP="00A01E00">
      <w:pPr>
        <w:rPr>
          <w:rFonts w:ascii="Arial" w:eastAsia="Calibri" w:hAnsi="Arial" w:cs="Arial"/>
          <w:lang w:val="en-GB"/>
        </w:rPr>
      </w:pPr>
    </w:p>
    <w:p w14:paraId="60225810" w14:textId="77777777" w:rsidR="003431C3" w:rsidRPr="002B3F36" w:rsidRDefault="003431C3" w:rsidP="00A01E00">
      <w:pPr>
        <w:rPr>
          <w:rFonts w:ascii="Arial" w:eastAsia="Calibri" w:hAnsi="Arial" w:cs="Arial"/>
          <w:lang w:val="en-GB"/>
        </w:rPr>
      </w:pPr>
    </w:p>
    <w:p w14:paraId="362317DA" w14:textId="77777777" w:rsidR="003431C3" w:rsidRPr="002B3F36" w:rsidRDefault="003431C3" w:rsidP="00A01E00">
      <w:pPr>
        <w:rPr>
          <w:rFonts w:ascii="Arial" w:eastAsia="Calibri" w:hAnsi="Arial" w:cs="Arial"/>
          <w:lang w:val="en-GB"/>
        </w:rPr>
      </w:pPr>
    </w:p>
    <w:p w14:paraId="4C6AE722" w14:textId="77777777" w:rsidR="003431C3" w:rsidRPr="002B3F36" w:rsidRDefault="003431C3" w:rsidP="00A01E00">
      <w:pPr>
        <w:rPr>
          <w:rFonts w:ascii="Arial" w:eastAsia="Calibri" w:hAnsi="Arial" w:cs="Arial"/>
          <w:lang w:val="en-GB"/>
        </w:rPr>
      </w:pPr>
    </w:p>
    <w:p w14:paraId="698814DE" w14:textId="7B56CFB2" w:rsidR="003431C3" w:rsidRPr="002B3F36" w:rsidRDefault="003431C3" w:rsidP="00A01E00">
      <w:pPr>
        <w:rPr>
          <w:rFonts w:ascii="Arial" w:eastAsia="Calibri" w:hAnsi="Arial" w:cs="Arial"/>
          <w:lang w:val="en-GB"/>
        </w:rPr>
        <w:sectPr w:rsidR="003431C3" w:rsidRPr="002B3F36" w:rsidSect="00B23613">
          <w:pgSz w:w="11909" w:h="16834"/>
          <w:pgMar w:top="1134" w:right="1109" w:bottom="1350" w:left="1080" w:header="720" w:footer="720" w:gutter="0"/>
          <w:cols w:space="720"/>
        </w:sectPr>
      </w:pPr>
    </w:p>
    <w:p w14:paraId="4158FFBC" w14:textId="77777777" w:rsidR="003431C3" w:rsidRPr="002B3F36" w:rsidRDefault="003431C3" w:rsidP="003431C3">
      <w:pPr>
        <w:pStyle w:val="31"/>
      </w:pPr>
      <w:bookmarkStart w:id="2029" w:name="_Toc210589469"/>
      <w:bookmarkStart w:id="2030" w:name="_Toc208973831"/>
      <w:bookmarkStart w:id="2031" w:name="_Toc208974031"/>
      <w:bookmarkStart w:id="2032" w:name="_Toc208974231"/>
      <w:bookmarkStart w:id="2033" w:name="_Toc208974433"/>
      <w:bookmarkStart w:id="2034" w:name="_Toc208974641"/>
      <w:bookmarkStart w:id="2035" w:name="_Toc208973830"/>
      <w:bookmarkStart w:id="2036" w:name="_Toc208974030"/>
      <w:bookmarkStart w:id="2037" w:name="_Toc208974230"/>
      <w:bookmarkStart w:id="2038" w:name="_Toc208974432"/>
      <w:bookmarkStart w:id="2039" w:name="_Toc208974640"/>
      <w:r w:rsidRPr="002B3F36">
        <w:lastRenderedPageBreak/>
        <w:t>Surface Water Quality Sampling Measurements</w:t>
      </w:r>
      <w:bookmarkEnd w:id="2029"/>
      <w:r w:rsidRPr="002B3F36">
        <w:t xml:space="preserve"> </w:t>
      </w:r>
      <w:bookmarkEnd w:id="2030"/>
      <w:bookmarkEnd w:id="2031"/>
      <w:bookmarkEnd w:id="2032"/>
      <w:bookmarkEnd w:id="2033"/>
      <w:bookmarkEnd w:id="2034"/>
    </w:p>
    <w:p w14:paraId="0E579775" w14:textId="77777777" w:rsidR="003431C3" w:rsidRPr="002B3F36" w:rsidRDefault="003431C3" w:rsidP="003431C3">
      <w:pPr>
        <w:pStyle w:val="ReportBodyPar"/>
      </w:pPr>
    </w:p>
    <w:p w14:paraId="515A13E8" w14:textId="3D3933E0" w:rsidR="003431C3" w:rsidRPr="002B3F36" w:rsidRDefault="003431C3" w:rsidP="003431C3">
      <w:pPr>
        <w:pStyle w:val="ReportBodyPar"/>
      </w:pPr>
      <w:r w:rsidRPr="002B3F36">
        <w:t xml:space="preserve">As baseline data for the </w:t>
      </w:r>
      <w:r w:rsidR="003650DB" w:rsidRPr="002B3F36">
        <w:t xml:space="preserve">Mointy – Kyzylzhar </w:t>
      </w:r>
      <w:r w:rsidRPr="002B3F36">
        <w:t xml:space="preserve">railway project, surface water quality sampling was conducted in accordance with </w:t>
      </w:r>
      <w:r w:rsidR="00F95BD8" w:rsidRPr="002B3F36">
        <w:t>WB</w:t>
      </w:r>
      <w:r w:rsidRPr="002B3F36">
        <w:t xml:space="preserve"> Performance Standards (PS1 and PS3), the WBG General EHS Guidelines (2007), and applicable Kazakhstan environmental regulations. Sampling locations were strategically selected near construction areas, water crossings, and ecologically sensitive receptors to establish pre-project conditions for parameters such as pH, suspended solids, hydrocarbons, and biochemical oxygen demand (BOD). These measurements provide reference values against Maximum Permissible Concentrations (MPCs) to guide impact assessment, pollution prevention, and ongoing monitoring throughout the construction and operational phases, ensuring compliance with both national standards and international good practice. The results of the water quality </w:t>
      </w:r>
    </w:p>
    <w:p w14:paraId="07BA9229" w14:textId="77777777" w:rsidR="003431C3" w:rsidRPr="002B3F36" w:rsidRDefault="003431C3" w:rsidP="003431C3">
      <w:pPr>
        <w:pStyle w:val="CaptionTable"/>
      </w:pPr>
    </w:p>
    <w:p w14:paraId="1B85F16F" w14:textId="03408F2C" w:rsidR="003431C3" w:rsidRPr="002B3F36" w:rsidRDefault="003431C3" w:rsidP="003431C3">
      <w:pPr>
        <w:pStyle w:val="CaptionTable"/>
      </w:pPr>
      <w:bookmarkStart w:id="2040" w:name="_Toc169094893"/>
      <w:bookmarkStart w:id="2041" w:name="_Toc210589563"/>
      <w:r w:rsidRPr="002B3F36">
        <w:t xml:space="preserve">Table </w:t>
      </w:r>
      <w:r w:rsidRPr="002B3F36">
        <w:fldChar w:fldCharType="begin"/>
      </w:r>
      <w:r w:rsidRPr="002B3F36">
        <w:instrText>SEQ Table \* ARABIC</w:instrText>
      </w:r>
      <w:r w:rsidRPr="002B3F36">
        <w:fldChar w:fldCharType="separate"/>
      </w:r>
      <w:r w:rsidR="00A023DA">
        <w:rPr>
          <w:noProof/>
        </w:rPr>
        <w:t>19</w:t>
      </w:r>
      <w:r w:rsidRPr="002B3F36">
        <w:fldChar w:fldCharType="end"/>
      </w:r>
      <w:r w:rsidRPr="002B3F36">
        <w:t>: Surface Water Quality Sampling Measurement Results</w:t>
      </w:r>
      <w:bookmarkEnd w:id="2040"/>
      <w:r w:rsidRPr="002B3F36">
        <w:t xml:space="preserve"> (Aug. 2025)</w:t>
      </w:r>
      <w:bookmarkEnd w:id="2041"/>
    </w:p>
    <w:tbl>
      <w:tblPr>
        <w:tblW w:w="14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1559"/>
        <w:gridCol w:w="1559"/>
        <w:gridCol w:w="1418"/>
        <w:gridCol w:w="1275"/>
        <w:gridCol w:w="1276"/>
        <w:gridCol w:w="1276"/>
        <w:gridCol w:w="1276"/>
        <w:gridCol w:w="1275"/>
        <w:gridCol w:w="1367"/>
      </w:tblGrid>
      <w:tr w:rsidR="003431C3" w:rsidRPr="002B3F36" w14:paraId="6F2AE33A" w14:textId="77777777" w:rsidTr="00B37101">
        <w:trPr>
          <w:trHeight w:val="1484"/>
          <w:tblHeader/>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8BEE30"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Mark</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D907D"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Location/Description</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DCD85D" w14:textId="77777777" w:rsidR="003431C3" w:rsidRPr="002B3F36" w:rsidRDefault="003431C3" w:rsidP="00B37101">
            <w:pPr>
              <w:spacing w:line="276" w:lineRule="auto"/>
              <w:jc w:val="center"/>
              <w:rPr>
                <w:rFonts w:ascii="Arial" w:eastAsia="Calibri" w:hAnsi="Arial" w:cs="Arial"/>
                <w:b/>
                <w:bCs/>
                <w:color w:val="FF0000"/>
                <w:kern w:val="2"/>
                <w:sz w:val="20"/>
                <w:szCs w:val="20"/>
                <w:lang w:val="en-PH" w:eastAsia="en-PH"/>
                <w14:ligatures w14:val="standardContextual"/>
              </w:rPr>
            </w:pPr>
            <w:r w:rsidRPr="002B3F36">
              <w:rPr>
                <w:rFonts w:ascii="Arial" w:eastAsia="Calibri" w:hAnsi="Arial" w:cs="Arial"/>
                <w:b/>
                <w:bCs/>
                <w:color w:val="FF0000"/>
                <w:kern w:val="2"/>
                <w:sz w:val="20"/>
                <w:szCs w:val="20"/>
                <w:lang w:val="en-PH" w:eastAsia="en-PH"/>
                <w14:ligatures w14:val="standardContextual"/>
              </w:rPr>
              <w:t>Latitude</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E65302B" w14:textId="77777777" w:rsidR="003431C3" w:rsidRPr="002B3F36" w:rsidRDefault="003431C3" w:rsidP="00B37101">
            <w:pPr>
              <w:spacing w:line="276" w:lineRule="auto"/>
              <w:jc w:val="center"/>
              <w:rPr>
                <w:rFonts w:ascii="Arial" w:eastAsia="Calibri" w:hAnsi="Arial" w:cs="Arial"/>
                <w:b/>
                <w:bCs/>
                <w:color w:val="0000CC"/>
                <w:kern w:val="2"/>
                <w:sz w:val="20"/>
                <w:szCs w:val="20"/>
                <w:lang w:val="en-PH" w:eastAsia="en-PH"/>
                <w14:ligatures w14:val="standardContextual"/>
              </w:rPr>
            </w:pPr>
            <w:r w:rsidRPr="002B3F36">
              <w:rPr>
                <w:rFonts w:ascii="Arial" w:eastAsia="Calibri" w:hAnsi="Arial" w:cs="Arial"/>
                <w:b/>
                <w:bCs/>
                <w:color w:val="0000CC"/>
                <w:kern w:val="2"/>
                <w:sz w:val="20"/>
                <w:szCs w:val="20"/>
                <w:lang w:val="en-PH" w:eastAsia="en-PH"/>
                <w14:ligatures w14:val="standardContextual"/>
              </w:rPr>
              <w:t>Longitude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F5A6EE"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Suspended solids, mg/l</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11D2FA"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рН</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D7847B"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Mineralization, mg/l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023D59"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BOD5, mg/l [5 Day Biochemical Oxygen Demand (BOD5)]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F850ED"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Dissolved oxygen, mg/l</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458CE1"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Oil products, mg/l</w:t>
            </w:r>
          </w:p>
        </w:tc>
        <w:tc>
          <w:tcPr>
            <w:tcW w:w="1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3A8C72" w14:textId="77777777" w:rsidR="003431C3" w:rsidRPr="002B3F36" w:rsidRDefault="003431C3" w:rsidP="00B37101">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Coli index, pcs/l</w:t>
            </w:r>
          </w:p>
        </w:tc>
      </w:tr>
      <w:tr w:rsidR="003431C3" w:rsidRPr="002B3F36" w14:paraId="35AF1D74"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5B5C24E6"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007D11" w14:textId="77777777" w:rsidR="003431C3" w:rsidRPr="002B3F36" w:rsidRDefault="003431C3" w:rsidP="00B37101">
            <w:pPr>
              <w:spacing w:line="276" w:lineRule="auto"/>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Mointy River</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2CAFC80"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47°15′09.46″ N</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0456FC6"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73°21′48.94″ E</w:t>
            </w:r>
          </w:p>
        </w:tc>
        <w:tc>
          <w:tcPr>
            <w:tcW w:w="1418" w:type="dxa"/>
            <w:tcBorders>
              <w:top w:val="single" w:sz="4" w:space="0" w:color="auto"/>
              <w:left w:val="single" w:sz="4" w:space="0" w:color="auto"/>
              <w:bottom w:val="single" w:sz="4" w:space="0" w:color="auto"/>
              <w:right w:val="single" w:sz="4" w:space="0" w:color="auto"/>
            </w:tcBorders>
            <w:noWrap/>
            <w:vAlign w:val="center"/>
          </w:tcPr>
          <w:p w14:paraId="62DDDE63"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4,6</w:t>
            </w:r>
          </w:p>
        </w:tc>
        <w:tc>
          <w:tcPr>
            <w:tcW w:w="1275" w:type="dxa"/>
            <w:tcBorders>
              <w:top w:val="single" w:sz="4" w:space="0" w:color="auto"/>
              <w:left w:val="single" w:sz="4" w:space="0" w:color="auto"/>
              <w:bottom w:val="single" w:sz="4" w:space="0" w:color="auto"/>
              <w:right w:val="single" w:sz="4" w:space="0" w:color="auto"/>
            </w:tcBorders>
            <w:noWrap/>
            <w:vAlign w:val="center"/>
          </w:tcPr>
          <w:p w14:paraId="74A96589"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8,28</w:t>
            </w:r>
          </w:p>
        </w:tc>
        <w:tc>
          <w:tcPr>
            <w:tcW w:w="1276" w:type="dxa"/>
            <w:tcBorders>
              <w:top w:val="single" w:sz="4" w:space="0" w:color="auto"/>
              <w:left w:val="single" w:sz="4" w:space="0" w:color="auto"/>
              <w:bottom w:val="single" w:sz="4" w:space="0" w:color="auto"/>
              <w:right w:val="single" w:sz="4" w:space="0" w:color="auto"/>
            </w:tcBorders>
            <w:noWrap/>
            <w:vAlign w:val="center"/>
          </w:tcPr>
          <w:p w14:paraId="21A9365A"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1538</w:t>
            </w:r>
          </w:p>
        </w:tc>
        <w:tc>
          <w:tcPr>
            <w:tcW w:w="1276" w:type="dxa"/>
            <w:tcBorders>
              <w:top w:val="single" w:sz="4" w:space="0" w:color="auto"/>
              <w:left w:val="single" w:sz="4" w:space="0" w:color="auto"/>
              <w:bottom w:val="single" w:sz="4" w:space="0" w:color="auto"/>
              <w:right w:val="single" w:sz="4" w:space="0" w:color="auto"/>
            </w:tcBorders>
            <w:noWrap/>
            <w:vAlign w:val="center"/>
          </w:tcPr>
          <w:p w14:paraId="7396DEA7"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2,26</w:t>
            </w:r>
          </w:p>
        </w:tc>
        <w:tc>
          <w:tcPr>
            <w:tcW w:w="1276" w:type="dxa"/>
            <w:tcBorders>
              <w:top w:val="single" w:sz="4" w:space="0" w:color="auto"/>
              <w:left w:val="single" w:sz="4" w:space="0" w:color="auto"/>
              <w:bottom w:val="single" w:sz="4" w:space="0" w:color="auto"/>
              <w:right w:val="single" w:sz="4" w:space="0" w:color="auto"/>
            </w:tcBorders>
            <w:noWrap/>
            <w:vAlign w:val="center"/>
          </w:tcPr>
          <w:p w14:paraId="7DE8A333"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7,77</w:t>
            </w:r>
          </w:p>
        </w:tc>
        <w:tc>
          <w:tcPr>
            <w:tcW w:w="1275" w:type="dxa"/>
            <w:tcBorders>
              <w:top w:val="single" w:sz="4" w:space="0" w:color="auto"/>
              <w:left w:val="single" w:sz="4" w:space="0" w:color="auto"/>
              <w:bottom w:val="single" w:sz="4" w:space="0" w:color="auto"/>
              <w:right w:val="single" w:sz="4" w:space="0" w:color="auto"/>
            </w:tcBorders>
            <w:noWrap/>
            <w:vAlign w:val="center"/>
          </w:tcPr>
          <w:p w14:paraId="60C9E984"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0,0164</w:t>
            </w:r>
          </w:p>
        </w:tc>
        <w:tc>
          <w:tcPr>
            <w:tcW w:w="1367" w:type="dxa"/>
            <w:tcBorders>
              <w:top w:val="single" w:sz="4" w:space="0" w:color="auto"/>
              <w:left w:val="single" w:sz="4" w:space="0" w:color="auto"/>
              <w:bottom w:val="single" w:sz="4" w:space="0" w:color="auto"/>
              <w:right w:val="single" w:sz="4" w:space="0" w:color="auto"/>
            </w:tcBorders>
            <w:vAlign w:val="center"/>
          </w:tcPr>
          <w:p w14:paraId="3D104EE3"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ru-RU" w:eastAsia="en-PH"/>
              </w:rPr>
              <w:t>not determined</w:t>
            </w:r>
          </w:p>
        </w:tc>
      </w:tr>
      <w:tr w:rsidR="003431C3" w:rsidRPr="002B3F36" w14:paraId="22AD2D1C"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1A09AD74"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(2)</w:t>
            </w:r>
          </w:p>
        </w:tc>
        <w:tc>
          <w:tcPr>
            <w:tcW w:w="1843" w:type="dxa"/>
            <w:tcBorders>
              <w:top w:val="single" w:sz="4" w:space="0" w:color="auto"/>
              <w:left w:val="single" w:sz="4" w:space="0" w:color="auto"/>
              <w:bottom w:val="single" w:sz="4" w:space="0" w:color="auto"/>
              <w:right w:val="single" w:sz="4" w:space="0" w:color="auto"/>
            </w:tcBorders>
            <w:hideMark/>
          </w:tcPr>
          <w:p w14:paraId="00500B78"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Altybay River (Channel 1)</w:t>
            </w:r>
          </w:p>
        </w:tc>
        <w:tc>
          <w:tcPr>
            <w:tcW w:w="1559" w:type="dxa"/>
            <w:tcBorders>
              <w:top w:val="single" w:sz="4" w:space="0" w:color="auto"/>
              <w:left w:val="single" w:sz="4" w:space="0" w:color="auto"/>
              <w:bottom w:val="single" w:sz="4" w:space="0" w:color="auto"/>
              <w:right w:val="single" w:sz="4" w:space="0" w:color="auto"/>
            </w:tcBorders>
            <w:noWrap/>
            <w:hideMark/>
          </w:tcPr>
          <w:p w14:paraId="19D4A348"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 xml:space="preserve">47°23′02.61″ N </w:t>
            </w:r>
          </w:p>
        </w:tc>
        <w:tc>
          <w:tcPr>
            <w:tcW w:w="1559" w:type="dxa"/>
            <w:tcBorders>
              <w:top w:val="single" w:sz="4" w:space="0" w:color="auto"/>
              <w:left w:val="single" w:sz="4" w:space="0" w:color="auto"/>
              <w:bottom w:val="single" w:sz="4" w:space="0" w:color="auto"/>
              <w:right w:val="single" w:sz="4" w:space="0" w:color="auto"/>
            </w:tcBorders>
            <w:noWrap/>
            <w:hideMark/>
          </w:tcPr>
          <w:p w14:paraId="0D88CCD7"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72°33′39.31″ E</w:t>
            </w:r>
          </w:p>
        </w:tc>
        <w:tc>
          <w:tcPr>
            <w:tcW w:w="1418" w:type="dxa"/>
            <w:tcBorders>
              <w:top w:val="single" w:sz="4" w:space="0" w:color="auto"/>
              <w:left w:val="single" w:sz="4" w:space="0" w:color="auto"/>
              <w:bottom w:val="single" w:sz="4" w:space="0" w:color="auto"/>
              <w:right w:val="single" w:sz="4" w:space="0" w:color="auto"/>
            </w:tcBorders>
            <w:noWrap/>
            <w:hideMark/>
          </w:tcPr>
          <w:p w14:paraId="5427011E"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5" w:type="dxa"/>
            <w:tcBorders>
              <w:top w:val="single" w:sz="4" w:space="0" w:color="auto"/>
              <w:left w:val="single" w:sz="4" w:space="0" w:color="auto"/>
              <w:bottom w:val="single" w:sz="4" w:space="0" w:color="auto"/>
              <w:right w:val="single" w:sz="4" w:space="0" w:color="auto"/>
            </w:tcBorders>
            <w:noWrap/>
            <w:hideMark/>
          </w:tcPr>
          <w:p w14:paraId="7762C3F4"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6" w:type="dxa"/>
            <w:tcBorders>
              <w:top w:val="single" w:sz="4" w:space="0" w:color="auto"/>
              <w:left w:val="single" w:sz="4" w:space="0" w:color="auto"/>
              <w:bottom w:val="single" w:sz="4" w:space="0" w:color="auto"/>
              <w:right w:val="single" w:sz="4" w:space="0" w:color="auto"/>
            </w:tcBorders>
            <w:noWrap/>
            <w:hideMark/>
          </w:tcPr>
          <w:p w14:paraId="230454D0"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6" w:type="dxa"/>
            <w:tcBorders>
              <w:top w:val="single" w:sz="4" w:space="0" w:color="auto"/>
              <w:left w:val="single" w:sz="4" w:space="0" w:color="auto"/>
              <w:bottom w:val="single" w:sz="4" w:space="0" w:color="auto"/>
              <w:right w:val="single" w:sz="4" w:space="0" w:color="auto"/>
            </w:tcBorders>
            <w:noWrap/>
            <w:hideMark/>
          </w:tcPr>
          <w:p w14:paraId="78367C10"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6" w:type="dxa"/>
            <w:tcBorders>
              <w:top w:val="single" w:sz="4" w:space="0" w:color="auto"/>
              <w:left w:val="single" w:sz="4" w:space="0" w:color="auto"/>
              <w:bottom w:val="single" w:sz="4" w:space="0" w:color="auto"/>
              <w:right w:val="single" w:sz="4" w:space="0" w:color="auto"/>
            </w:tcBorders>
            <w:noWrap/>
            <w:hideMark/>
          </w:tcPr>
          <w:p w14:paraId="5D425D1C"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5" w:type="dxa"/>
            <w:tcBorders>
              <w:top w:val="single" w:sz="4" w:space="0" w:color="auto"/>
              <w:left w:val="single" w:sz="4" w:space="0" w:color="auto"/>
              <w:bottom w:val="single" w:sz="4" w:space="0" w:color="auto"/>
              <w:right w:val="single" w:sz="4" w:space="0" w:color="auto"/>
            </w:tcBorders>
            <w:noWrap/>
            <w:hideMark/>
          </w:tcPr>
          <w:p w14:paraId="55FAD935"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367" w:type="dxa"/>
            <w:tcBorders>
              <w:top w:val="single" w:sz="4" w:space="0" w:color="auto"/>
              <w:left w:val="single" w:sz="4" w:space="0" w:color="auto"/>
              <w:bottom w:val="single" w:sz="4" w:space="0" w:color="auto"/>
              <w:right w:val="single" w:sz="4" w:space="0" w:color="auto"/>
            </w:tcBorders>
            <w:hideMark/>
          </w:tcPr>
          <w:p w14:paraId="136B9E86"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r>
      <w:tr w:rsidR="003431C3" w:rsidRPr="002B3F36" w14:paraId="2426A7E0"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68A84803"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(3)</w:t>
            </w:r>
          </w:p>
        </w:tc>
        <w:tc>
          <w:tcPr>
            <w:tcW w:w="1843" w:type="dxa"/>
            <w:tcBorders>
              <w:top w:val="single" w:sz="4" w:space="0" w:color="auto"/>
              <w:left w:val="single" w:sz="4" w:space="0" w:color="auto"/>
              <w:bottom w:val="single" w:sz="4" w:space="0" w:color="auto"/>
              <w:right w:val="single" w:sz="4" w:space="0" w:color="auto"/>
            </w:tcBorders>
            <w:hideMark/>
          </w:tcPr>
          <w:p w14:paraId="1ADF87D0"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Dried-up riverbed</w:t>
            </w:r>
          </w:p>
        </w:tc>
        <w:tc>
          <w:tcPr>
            <w:tcW w:w="1559" w:type="dxa"/>
            <w:tcBorders>
              <w:top w:val="single" w:sz="4" w:space="0" w:color="auto"/>
              <w:left w:val="single" w:sz="4" w:space="0" w:color="auto"/>
              <w:bottom w:val="single" w:sz="4" w:space="0" w:color="auto"/>
              <w:right w:val="single" w:sz="4" w:space="0" w:color="auto"/>
            </w:tcBorders>
            <w:noWrap/>
            <w:hideMark/>
          </w:tcPr>
          <w:p w14:paraId="0C69FF8C"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 xml:space="preserve">47°23′22.15″ N </w:t>
            </w:r>
          </w:p>
        </w:tc>
        <w:tc>
          <w:tcPr>
            <w:tcW w:w="1559" w:type="dxa"/>
            <w:tcBorders>
              <w:top w:val="single" w:sz="4" w:space="0" w:color="auto"/>
              <w:left w:val="single" w:sz="4" w:space="0" w:color="auto"/>
              <w:bottom w:val="single" w:sz="4" w:space="0" w:color="auto"/>
              <w:right w:val="single" w:sz="4" w:space="0" w:color="auto"/>
            </w:tcBorders>
            <w:noWrap/>
            <w:hideMark/>
          </w:tcPr>
          <w:p w14:paraId="597D4E30"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72°32′23.69″ E</w:t>
            </w:r>
          </w:p>
        </w:tc>
        <w:tc>
          <w:tcPr>
            <w:tcW w:w="1418" w:type="dxa"/>
            <w:tcBorders>
              <w:top w:val="single" w:sz="4" w:space="0" w:color="auto"/>
              <w:left w:val="single" w:sz="4" w:space="0" w:color="auto"/>
              <w:bottom w:val="single" w:sz="4" w:space="0" w:color="auto"/>
              <w:right w:val="single" w:sz="4" w:space="0" w:color="auto"/>
            </w:tcBorders>
            <w:noWrap/>
            <w:hideMark/>
          </w:tcPr>
          <w:p w14:paraId="372D6759"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5" w:type="dxa"/>
            <w:tcBorders>
              <w:top w:val="single" w:sz="4" w:space="0" w:color="auto"/>
              <w:left w:val="single" w:sz="4" w:space="0" w:color="auto"/>
              <w:bottom w:val="single" w:sz="4" w:space="0" w:color="auto"/>
              <w:right w:val="single" w:sz="4" w:space="0" w:color="auto"/>
            </w:tcBorders>
            <w:noWrap/>
            <w:hideMark/>
          </w:tcPr>
          <w:p w14:paraId="63E287FD"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6" w:type="dxa"/>
            <w:tcBorders>
              <w:top w:val="single" w:sz="4" w:space="0" w:color="auto"/>
              <w:left w:val="single" w:sz="4" w:space="0" w:color="auto"/>
              <w:bottom w:val="single" w:sz="4" w:space="0" w:color="auto"/>
              <w:right w:val="single" w:sz="4" w:space="0" w:color="auto"/>
            </w:tcBorders>
            <w:noWrap/>
            <w:hideMark/>
          </w:tcPr>
          <w:p w14:paraId="0487D9C5"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6" w:type="dxa"/>
            <w:tcBorders>
              <w:top w:val="single" w:sz="4" w:space="0" w:color="auto"/>
              <w:left w:val="single" w:sz="4" w:space="0" w:color="auto"/>
              <w:bottom w:val="single" w:sz="4" w:space="0" w:color="auto"/>
              <w:right w:val="single" w:sz="4" w:space="0" w:color="auto"/>
            </w:tcBorders>
            <w:noWrap/>
            <w:hideMark/>
          </w:tcPr>
          <w:p w14:paraId="6AB9FA69"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6" w:type="dxa"/>
            <w:tcBorders>
              <w:top w:val="single" w:sz="4" w:space="0" w:color="auto"/>
              <w:left w:val="single" w:sz="4" w:space="0" w:color="auto"/>
              <w:bottom w:val="single" w:sz="4" w:space="0" w:color="auto"/>
              <w:right w:val="single" w:sz="4" w:space="0" w:color="auto"/>
            </w:tcBorders>
            <w:noWrap/>
            <w:hideMark/>
          </w:tcPr>
          <w:p w14:paraId="7BC86F8C"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275" w:type="dxa"/>
            <w:tcBorders>
              <w:top w:val="single" w:sz="4" w:space="0" w:color="auto"/>
              <w:left w:val="single" w:sz="4" w:space="0" w:color="auto"/>
              <w:bottom w:val="single" w:sz="4" w:space="0" w:color="auto"/>
              <w:right w:val="single" w:sz="4" w:space="0" w:color="auto"/>
            </w:tcBorders>
            <w:noWrap/>
            <w:hideMark/>
          </w:tcPr>
          <w:p w14:paraId="536C5328"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c>
          <w:tcPr>
            <w:tcW w:w="1367" w:type="dxa"/>
            <w:tcBorders>
              <w:top w:val="single" w:sz="4" w:space="0" w:color="auto"/>
              <w:left w:val="single" w:sz="4" w:space="0" w:color="auto"/>
              <w:bottom w:val="single" w:sz="4" w:space="0" w:color="auto"/>
              <w:right w:val="single" w:sz="4" w:space="0" w:color="auto"/>
            </w:tcBorders>
            <w:hideMark/>
          </w:tcPr>
          <w:p w14:paraId="7DBF04C3"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Sample not collected</w:t>
            </w:r>
          </w:p>
        </w:tc>
      </w:tr>
      <w:tr w:rsidR="003431C3" w:rsidRPr="002B3F36" w14:paraId="764192B0"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A02F9BD"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(4)</w:t>
            </w:r>
          </w:p>
        </w:tc>
        <w:tc>
          <w:tcPr>
            <w:tcW w:w="1843" w:type="dxa"/>
            <w:tcBorders>
              <w:top w:val="single" w:sz="4" w:space="0" w:color="auto"/>
              <w:left w:val="single" w:sz="4" w:space="0" w:color="auto"/>
              <w:bottom w:val="single" w:sz="4" w:space="0" w:color="auto"/>
              <w:right w:val="single" w:sz="4" w:space="0" w:color="auto"/>
            </w:tcBorders>
            <w:hideMark/>
          </w:tcPr>
          <w:p w14:paraId="5F33BECB"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Altybay River (Channel 2)</w:t>
            </w:r>
          </w:p>
        </w:tc>
        <w:tc>
          <w:tcPr>
            <w:tcW w:w="1559" w:type="dxa"/>
            <w:tcBorders>
              <w:top w:val="single" w:sz="4" w:space="0" w:color="auto"/>
              <w:left w:val="single" w:sz="4" w:space="0" w:color="auto"/>
              <w:bottom w:val="single" w:sz="4" w:space="0" w:color="auto"/>
              <w:right w:val="single" w:sz="4" w:space="0" w:color="auto"/>
            </w:tcBorders>
            <w:noWrap/>
            <w:hideMark/>
          </w:tcPr>
          <w:p w14:paraId="5F2B6AC1"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 xml:space="preserve">47°23′33.10″ N </w:t>
            </w:r>
          </w:p>
        </w:tc>
        <w:tc>
          <w:tcPr>
            <w:tcW w:w="1559" w:type="dxa"/>
            <w:tcBorders>
              <w:top w:val="single" w:sz="4" w:space="0" w:color="auto"/>
              <w:left w:val="single" w:sz="4" w:space="0" w:color="auto"/>
              <w:bottom w:val="single" w:sz="4" w:space="0" w:color="auto"/>
              <w:right w:val="single" w:sz="4" w:space="0" w:color="auto"/>
            </w:tcBorders>
            <w:noWrap/>
            <w:hideMark/>
          </w:tcPr>
          <w:p w14:paraId="1FAB555E"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72°27′43.15″ E</w:t>
            </w:r>
          </w:p>
        </w:tc>
        <w:tc>
          <w:tcPr>
            <w:tcW w:w="1418" w:type="dxa"/>
            <w:tcBorders>
              <w:top w:val="single" w:sz="4" w:space="0" w:color="auto"/>
              <w:left w:val="single" w:sz="4" w:space="0" w:color="auto"/>
              <w:bottom w:val="single" w:sz="4" w:space="0" w:color="auto"/>
              <w:right w:val="single" w:sz="4" w:space="0" w:color="auto"/>
            </w:tcBorders>
            <w:noWrap/>
            <w:vAlign w:val="center"/>
          </w:tcPr>
          <w:p w14:paraId="0AF6B62B"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5,6</w:t>
            </w:r>
          </w:p>
        </w:tc>
        <w:tc>
          <w:tcPr>
            <w:tcW w:w="1275" w:type="dxa"/>
            <w:tcBorders>
              <w:top w:val="single" w:sz="4" w:space="0" w:color="auto"/>
              <w:left w:val="single" w:sz="4" w:space="0" w:color="auto"/>
              <w:bottom w:val="single" w:sz="4" w:space="0" w:color="auto"/>
              <w:right w:val="single" w:sz="4" w:space="0" w:color="auto"/>
            </w:tcBorders>
            <w:noWrap/>
            <w:vAlign w:val="center"/>
          </w:tcPr>
          <w:p w14:paraId="35B739E2" w14:textId="77777777" w:rsidR="003431C3" w:rsidRPr="002B3F36" w:rsidRDefault="003431C3" w:rsidP="00B37101">
            <w:pPr>
              <w:spacing w:line="276" w:lineRule="auto"/>
              <w:jc w:val="center"/>
              <w:rPr>
                <w:rFonts w:ascii="Arial" w:eastAsia="Calibri" w:hAnsi="Arial" w:cs="Arial"/>
                <w:color w:val="000000"/>
                <w:kern w:val="2"/>
                <w:sz w:val="20"/>
                <w:szCs w:val="20"/>
                <w:lang w:eastAsia="en-PH"/>
                <w14:ligatures w14:val="standardContextual"/>
              </w:rPr>
            </w:pPr>
            <w:r w:rsidRPr="002B3F36">
              <w:rPr>
                <w:rFonts w:ascii="Arial" w:eastAsia="Calibri" w:hAnsi="Arial" w:cs="Arial"/>
                <w:color w:val="000000"/>
                <w:sz w:val="20"/>
                <w:szCs w:val="20"/>
                <w:lang w:val="en-PH" w:eastAsia="en-PH"/>
              </w:rPr>
              <w:t>8,31</w:t>
            </w:r>
          </w:p>
        </w:tc>
        <w:tc>
          <w:tcPr>
            <w:tcW w:w="1276" w:type="dxa"/>
            <w:tcBorders>
              <w:top w:val="single" w:sz="4" w:space="0" w:color="auto"/>
              <w:left w:val="single" w:sz="4" w:space="0" w:color="auto"/>
              <w:bottom w:val="single" w:sz="4" w:space="0" w:color="auto"/>
              <w:right w:val="single" w:sz="4" w:space="0" w:color="auto"/>
            </w:tcBorders>
            <w:noWrap/>
            <w:vAlign w:val="center"/>
          </w:tcPr>
          <w:p w14:paraId="513457A9"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1191</w:t>
            </w:r>
          </w:p>
        </w:tc>
        <w:tc>
          <w:tcPr>
            <w:tcW w:w="1276" w:type="dxa"/>
            <w:tcBorders>
              <w:top w:val="single" w:sz="4" w:space="0" w:color="auto"/>
              <w:left w:val="single" w:sz="4" w:space="0" w:color="auto"/>
              <w:bottom w:val="single" w:sz="4" w:space="0" w:color="auto"/>
              <w:right w:val="single" w:sz="4" w:space="0" w:color="auto"/>
            </w:tcBorders>
            <w:noWrap/>
            <w:vAlign w:val="center"/>
          </w:tcPr>
          <w:p w14:paraId="6013CFF3"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3,24</w:t>
            </w:r>
          </w:p>
        </w:tc>
        <w:tc>
          <w:tcPr>
            <w:tcW w:w="1276" w:type="dxa"/>
            <w:tcBorders>
              <w:top w:val="single" w:sz="4" w:space="0" w:color="auto"/>
              <w:left w:val="single" w:sz="4" w:space="0" w:color="auto"/>
              <w:bottom w:val="single" w:sz="4" w:space="0" w:color="auto"/>
              <w:right w:val="single" w:sz="4" w:space="0" w:color="auto"/>
            </w:tcBorders>
            <w:noWrap/>
            <w:vAlign w:val="center"/>
          </w:tcPr>
          <w:p w14:paraId="731D8A25"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7,45</w:t>
            </w:r>
          </w:p>
        </w:tc>
        <w:tc>
          <w:tcPr>
            <w:tcW w:w="1275" w:type="dxa"/>
            <w:tcBorders>
              <w:top w:val="single" w:sz="4" w:space="0" w:color="auto"/>
              <w:left w:val="single" w:sz="4" w:space="0" w:color="auto"/>
              <w:bottom w:val="single" w:sz="4" w:space="0" w:color="auto"/>
              <w:right w:val="single" w:sz="4" w:space="0" w:color="auto"/>
            </w:tcBorders>
            <w:noWrap/>
            <w:vAlign w:val="center"/>
          </w:tcPr>
          <w:p w14:paraId="4F49AAB9" w14:textId="77777777" w:rsidR="003431C3" w:rsidRPr="002B3F36" w:rsidRDefault="003431C3" w:rsidP="00B37101">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sz w:val="20"/>
                <w:szCs w:val="20"/>
                <w:lang w:val="en-PH" w:eastAsia="en-PH"/>
              </w:rPr>
              <w:t>0,0138</w:t>
            </w:r>
          </w:p>
        </w:tc>
        <w:tc>
          <w:tcPr>
            <w:tcW w:w="1367" w:type="dxa"/>
            <w:tcBorders>
              <w:top w:val="single" w:sz="4" w:space="0" w:color="auto"/>
              <w:left w:val="single" w:sz="4" w:space="0" w:color="auto"/>
              <w:bottom w:val="single" w:sz="4" w:space="0" w:color="auto"/>
              <w:right w:val="single" w:sz="4" w:space="0" w:color="auto"/>
            </w:tcBorders>
            <w:vAlign w:val="center"/>
          </w:tcPr>
          <w:p w14:paraId="582749A8" w14:textId="77777777" w:rsidR="003431C3" w:rsidRPr="002B3F36" w:rsidRDefault="003431C3" w:rsidP="00B37101">
            <w:pPr>
              <w:spacing w:line="276" w:lineRule="auto"/>
              <w:jc w:val="center"/>
              <w:rPr>
                <w:rFonts w:ascii="Arial" w:eastAsia="Calibri" w:hAnsi="Arial" w:cs="Arial"/>
                <w:color w:val="000000"/>
                <w:kern w:val="2"/>
                <w:sz w:val="20"/>
                <w:szCs w:val="20"/>
                <w:lang w:val="ru-RU" w:eastAsia="en-PH"/>
                <w14:ligatures w14:val="standardContextual"/>
              </w:rPr>
            </w:pPr>
            <w:r w:rsidRPr="002B3F36">
              <w:rPr>
                <w:rFonts w:ascii="Arial" w:eastAsia="Calibri" w:hAnsi="Arial" w:cs="Arial"/>
                <w:color w:val="000000"/>
                <w:sz w:val="20"/>
                <w:szCs w:val="20"/>
                <w:lang w:val="ru-RU" w:eastAsia="en-PH"/>
              </w:rPr>
              <w:t>not determined</w:t>
            </w:r>
          </w:p>
        </w:tc>
      </w:tr>
      <w:tr w:rsidR="003431C3" w:rsidRPr="002B3F36" w14:paraId="2156856D"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4CA54FEA"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(5</w:t>
            </w:r>
          </w:p>
        </w:tc>
        <w:tc>
          <w:tcPr>
            <w:tcW w:w="1843" w:type="dxa"/>
            <w:tcBorders>
              <w:top w:val="single" w:sz="4" w:space="0" w:color="auto"/>
              <w:left w:val="single" w:sz="4" w:space="0" w:color="auto"/>
              <w:bottom w:val="single" w:sz="4" w:space="0" w:color="auto"/>
              <w:right w:val="single" w:sz="4" w:space="0" w:color="auto"/>
            </w:tcBorders>
            <w:hideMark/>
          </w:tcPr>
          <w:p w14:paraId="7CF7A616"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Dried-up riverbed</w:t>
            </w:r>
          </w:p>
        </w:tc>
        <w:tc>
          <w:tcPr>
            <w:tcW w:w="1559" w:type="dxa"/>
            <w:tcBorders>
              <w:top w:val="single" w:sz="4" w:space="0" w:color="auto"/>
              <w:left w:val="single" w:sz="4" w:space="0" w:color="auto"/>
              <w:bottom w:val="single" w:sz="4" w:space="0" w:color="auto"/>
              <w:right w:val="single" w:sz="4" w:space="0" w:color="auto"/>
            </w:tcBorders>
            <w:noWrap/>
            <w:hideMark/>
          </w:tcPr>
          <w:p w14:paraId="43AB9147"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 xml:space="preserve">47°35′17.94″ N </w:t>
            </w:r>
          </w:p>
        </w:tc>
        <w:tc>
          <w:tcPr>
            <w:tcW w:w="1559" w:type="dxa"/>
            <w:tcBorders>
              <w:top w:val="single" w:sz="4" w:space="0" w:color="auto"/>
              <w:left w:val="single" w:sz="4" w:space="0" w:color="auto"/>
              <w:bottom w:val="single" w:sz="4" w:space="0" w:color="auto"/>
              <w:right w:val="single" w:sz="4" w:space="0" w:color="auto"/>
            </w:tcBorders>
            <w:noWrap/>
            <w:hideMark/>
          </w:tcPr>
          <w:p w14:paraId="27F1313A"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72°10′58.38″ E</w:t>
            </w:r>
          </w:p>
        </w:tc>
        <w:tc>
          <w:tcPr>
            <w:tcW w:w="1418" w:type="dxa"/>
            <w:tcBorders>
              <w:top w:val="single" w:sz="4" w:space="0" w:color="auto"/>
              <w:left w:val="single" w:sz="4" w:space="0" w:color="auto"/>
              <w:bottom w:val="single" w:sz="4" w:space="0" w:color="auto"/>
              <w:right w:val="single" w:sz="4" w:space="0" w:color="auto"/>
            </w:tcBorders>
            <w:noWrap/>
            <w:vAlign w:val="center"/>
          </w:tcPr>
          <w:p w14:paraId="6AFA4F24"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6</w:t>
            </w:r>
          </w:p>
        </w:tc>
        <w:tc>
          <w:tcPr>
            <w:tcW w:w="1275" w:type="dxa"/>
            <w:tcBorders>
              <w:top w:val="single" w:sz="4" w:space="0" w:color="auto"/>
              <w:left w:val="single" w:sz="4" w:space="0" w:color="auto"/>
              <w:bottom w:val="single" w:sz="4" w:space="0" w:color="auto"/>
              <w:right w:val="single" w:sz="4" w:space="0" w:color="auto"/>
            </w:tcBorders>
            <w:noWrap/>
            <w:vAlign w:val="center"/>
          </w:tcPr>
          <w:p w14:paraId="1FBB0673"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eastAsia="en-PH"/>
                <w14:ligatures w14:val="standardContextual"/>
              </w:rPr>
            </w:pPr>
            <w:r w:rsidRPr="002B3F36">
              <w:rPr>
                <w:rFonts w:ascii="Arial" w:eastAsia="Calibri" w:hAnsi="Arial" w:cs="Arial"/>
                <w:color w:val="000000"/>
                <w:sz w:val="20"/>
                <w:szCs w:val="20"/>
                <w:lang w:eastAsia="en-PH"/>
              </w:rPr>
              <w:t>8,55</w:t>
            </w:r>
          </w:p>
        </w:tc>
        <w:tc>
          <w:tcPr>
            <w:tcW w:w="1276" w:type="dxa"/>
            <w:tcBorders>
              <w:top w:val="single" w:sz="4" w:space="0" w:color="auto"/>
              <w:left w:val="single" w:sz="4" w:space="0" w:color="auto"/>
              <w:bottom w:val="single" w:sz="4" w:space="0" w:color="auto"/>
              <w:right w:val="single" w:sz="4" w:space="0" w:color="auto"/>
            </w:tcBorders>
            <w:noWrap/>
            <w:vAlign w:val="center"/>
          </w:tcPr>
          <w:p w14:paraId="64F332AE"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664</w:t>
            </w:r>
          </w:p>
        </w:tc>
        <w:tc>
          <w:tcPr>
            <w:tcW w:w="1276" w:type="dxa"/>
            <w:tcBorders>
              <w:top w:val="single" w:sz="4" w:space="0" w:color="auto"/>
              <w:left w:val="single" w:sz="4" w:space="0" w:color="auto"/>
              <w:bottom w:val="single" w:sz="4" w:space="0" w:color="auto"/>
              <w:right w:val="single" w:sz="4" w:space="0" w:color="auto"/>
            </w:tcBorders>
            <w:noWrap/>
            <w:vAlign w:val="center"/>
          </w:tcPr>
          <w:p w14:paraId="60EC334C"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3,57</w:t>
            </w:r>
          </w:p>
        </w:tc>
        <w:tc>
          <w:tcPr>
            <w:tcW w:w="1276" w:type="dxa"/>
            <w:tcBorders>
              <w:top w:val="single" w:sz="4" w:space="0" w:color="auto"/>
              <w:left w:val="single" w:sz="4" w:space="0" w:color="auto"/>
              <w:bottom w:val="single" w:sz="4" w:space="0" w:color="auto"/>
              <w:right w:val="single" w:sz="4" w:space="0" w:color="auto"/>
            </w:tcBorders>
            <w:noWrap/>
            <w:vAlign w:val="center"/>
          </w:tcPr>
          <w:p w14:paraId="6078CEA3"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8,75</w:t>
            </w:r>
          </w:p>
        </w:tc>
        <w:tc>
          <w:tcPr>
            <w:tcW w:w="1275" w:type="dxa"/>
            <w:tcBorders>
              <w:top w:val="single" w:sz="4" w:space="0" w:color="auto"/>
              <w:left w:val="single" w:sz="4" w:space="0" w:color="auto"/>
              <w:bottom w:val="single" w:sz="4" w:space="0" w:color="auto"/>
              <w:right w:val="single" w:sz="4" w:space="0" w:color="auto"/>
            </w:tcBorders>
            <w:noWrap/>
            <w:vAlign w:val="center"/>
          </w:tcPr>
          <w:p w14:paraId="159C2FDD"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0,012</w:t>
            </w:r>
          </w:p>
        </w:tc>
        <w:tc>
          <w:tcPr>
            <w:tcW w:w="1367" w:type="dxa"/>
            <w:tcBorders>
              <w:top w:val="single" w:sz="4" w:space="0" w:color="auto"/>
              <w:left w:val="single" w:sz="4" w:space="0" w:color="auto"/>
              <w:bottom w:val="single" w:sz="4" w:space="0" w:color="auto"/>
              <w:right w:val="single" w:sz="4" w:space="0" w:color="auto"/>
            </w:tcBorders>
            <w:vAlign w:val="center"/>
          </w:tcPr>
          <w:p w14:paraId="23E4F34D"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eastAsia="ko-KR"/>
                <w14:ligatures w14:val="standardContextual"/>
              </w:rPr>
            </w:pPr>
            <w:r w:rsidRPr="002B3F36">
              <w:rPr>
                <w:rFonts w:ascii="Arial" w:eastAsia="Calibri" w:hAnsi="Arial" w:cs="Arial"/>
                <w:color w:val="000000"/>
                <w:sz w:val="20"/>
                <w:szCs w:val="20"/>
                <w:lang w:val="ru-RU" w:eastAsia="en-PH"/>
              </w:rPr>
              <w:t>not determined</w:t>
            </w:r>
          </w:p>
        </w:tc>
      </w:tr>
      <w:tr w:rsidR="003431C3" w:rsidRPr="002B3F36" w14:paraId="5CC10CBA"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0F495FC5"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(6)</w:t>
            </w:r>
          </w:p>
        </w:tc>
        <w:tc>
          <w:tcPr>
            <w:tcW w:w="1843" w:type="dxa"/>
            <w:tcBorders>
              <w:top w:val="single" w:sz="4" w:space="0" w:color="auto"/>
              <w:left w:val="single" w:sz="4" w:space="0" w:color="auto"/>
              <w:bottom w:val="single" w:sz="4" w:space="0" w:color="auto"/>
              <w:right w:val="single" w:sz="4" w:space="0" w:color="auto"/>
            </w:tcBorders>
            <w:hideMark/>
          </w:tcPr>
          <w:p w14:paraId="0CEBD2C0"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Sarybulak River</w:t>
            </w:r>
          </w:p>
        </w:tc>
        <w:tc>
          <w:tcPr>
            <w:tcW w:w="1559" w:type="dxa"/>
            <w:tcBorders>
              <w:top w:val="single" w:sz="4" w:space="0" w:color="auto"/>
              <w:left w:val="single" w:sz="4" w:space="0" w:color="auto"/>
              <w:bottom w:val="single" w:sz="4" w:space="0" w:color="auto"/>
              <w:right w:val="single" w:sz="4" w:space="0" w:color="auto"/>
            </w:tcBorders>
            <w:noWrap/>
            <w:hideMark/>
          </w:tcPr>
          <w:p w14:paraId="4E00BC7B"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 xml:space="preserve">47°42′07.35″ N </w:t>
            </w:r>
          </w:p>
        </w:tc>
        <w:tc>
          <w:tcPr>
            <w:tcW w:w="1559" w:type="dxa"/>
            <w:tcBorders>
              <w:top w:val="single" w:sz="4" w:space="0" w:color="auto"/>
              <w:left w:val="single" w:sz="4" w:space="0" w:color="auto"/>
              <w:bottom w:val="single" w:sz="4" w:space="0" w:color="auto"/>
              <w:right w:val="single" w:sz="4" w:space="0" w:color="auto"/>
            </w:tcBorders>
            <w:noWrap/>
            <w:hideMark/>
          </w:tcPr>
          <w:p w14:paraId="0D4BA563"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71°48′07.20″ E</w:t>
            </w:r>
          </w:p>
        </w:tc>
        <w:tc>
          <w:tcPr>
            <w:tcW w:w="1418" w:type="dxa"/>
            <w:tcBorders>
              <w:top w:val="single" w:sz="4" w:space="0" w:color="auto"/>
              <w:left w:val="single" w:sz="4" w:space="0" w:color="auto"/>
              <w:bottom w:val="single" w:sz="4" w:space="0" w:color="auto"/>
              <w:right w:val="single" w:sz="4" w:space="0" w:color="auto"/>
            </w:tcBorders>
            <w:noWrap/>
            <w:vAlign w:val="center"/>
          </w:tcPr>
          <w:p w14:paraId="2A146D41"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7,2</w:t>
            </w:r>
          </w:p>
        </w:tc>
        <w:tc>
          <w:tcPr>
            <w:tcW w:w="1275" w:type="dxa"/>
            <w:tcBorders>
              <w:top w:val="single" w:sz="4" w:space="0" w:color="auto"/>
              <w:left w:val="single" w:sz="4" w:space="0" w:color="auto"/>
              <w:bottom w:val="single" w:sz="4" w:space="0" w:color="auto"/>
              <w:right w:val="single" w:sz="4" w:space="0" w:color="auto"/>
            </w:tcBorders>
            <w:noWrap/>
            <w:vAlign w:val="center"/>
          </w:tcPr>
          <w:p w14:paraId="6CB0297B"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eastAsia="en-PH"/>
                <w14:ligatures w14:val="standardContextual"/>
              </w:rPr>
            </w:pPr>
            <w:r w:rsidRPr="002B3F36">
              <w:rPr>
                <w:rFonts w:ascii="Arial" w:eastAsia="Calibri" w:hAnsi="Arial" w:cs="Arial"/>
                <w:color w:val="000000"/>
                <w:sz w:val="20"/>
                <w:szCs w:val="20"/>
                <w:lang w:eastAsia="en-PH"/>
              </w:rPr>
              <w:t>8,14</w:t>
            </w:r>
          </w:p>
        </w:tc>
        <w:tc>
          <w:tcPr>
            <w:tcW w:w="1276" w:type="dxa"/>
            <w:tcBorders>
              <w:top w:val="single" w:sz="4" w:space="0" w:color="auto"/>
              <w:left w:val="single" w:sz="4" w:space="0" w:color="auto"/>
              <w:bottom w:val="single" w:sz="4" w:space="0" w:color="auto"/>
              <w:right w:val="single" w:sz="4" w:space="0" w:color="auto"/>
            </w:tcBorders>
            <w:noWrap/>
            <w:vAlign w:val="center"/>
          </w:tcPr>
          <w:p w14:paraId="3D344FD7"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1805</w:t>
            </w:r>
          </w:p>
        </w:tc>
        <w:tc>
          <w:tcPr>
            <w:tcW w:w="1276" w:type="dxa"/>
            <w:tcBorders>
              <w:top w:val="single" w:sz="4" w:space="0" w:color="auto"/>
              <w:left w:val="single" w:sz="4" w:space="0" w:color="auto"/>
              <w:bottom w:val="single" w:sz="4" w:space="0" w:color="auto"/>
              <w:right w:val="single" w:sz="4" w:space="0" w:color="auto"/>
            </w:tcBorders>
            <w:noWrap/>
            <w:vAlign w:val="center"/>
          </w:tcPr>
          <w:p w14:paraId="1AE7C433"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3,23</w:t>
            </w:r>
          </w:p>
        </w:tc>
        <w:tc>
          <w:tcPr>
            <w:tcW w:w="1276" w:type="dxa"/>
            <w:tcBorders>
              <w:top w:val="single" w:sz="4" w:space="0" w:color="auto"/>
              <w:left w:val="single" w:sz="4" w:space="0" w:color="auto"/>
              <w:bottom w:val="single" w:sz="4" w:space="0" w:color="auto"/>
              <w:right w:val="single" w:sz="4" w:space="0" w:color="auto"/>
            </w:tcBorders>
            <w:noWrap/>
            <w:vAlign w:val="center"/>
          </w:tcPr>
          <w:p w14:paraId="485E8AE1"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8,09</w:t>
            </w:r>
          </w:p>
        </w:tc>
        <w:tc>
          <w:tcPr>
            <w:tcW w:w="1275" w:type="dxa"/>
            <w:tcBorders>
              <w:top w:val="single" w:sz="4" w:space="0" w:color="auto"/>
              <w:left w:val="single" w:sz="4" w:space="0" w:color="auto"/>
              <w:bottom w:val="single" w:sz="4" w:space="0" w:color="auto"/>
              <w:right w:val="single" w:sz="4" w:space="0" w:color="auto"/>
            </w:tcBorders>
            <w:noWrap/>
            <w:vAlign w:val="center"/>
          </w:tcPr>
          <w:p w14:paraId="6E02B5F9"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0,011</w:t>
            </w:r>
          </w:p>
        </w:tc>
        <w:tc>
          <w:tcPr>
            <w:tcW w:w="1367" w:type="dxa"/>
            <w:tcBorders>
              <w:top w:val="single" w:sz="4" w:space="0" w:color="auto"/>
              <w:left w:val="single" w:sz="4" w:space="0" w:color="auto"/>
              <w:bottom w:val="single" w:sz="4" w:space="0" w:color="auto"/>
              <w:right w:val="single" w:sz="4" w:space="0" w:color="auto"/>
            </w:tcBorders>
            <w:vAlign w:val="center"/>
          </w:tcPr>
          <w:p w14:paraId="790C024C"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eastAsia="ko-KR"/>
                <w14:ligatures w14:val="standardContextual"/>
              </w:rPr>
            </w:pPr>
            <w:r w:rsidRPr="002B3F36">
              <w:rPr>
                <w:rFonts w:ascii="Arial" w:eastAsia="Calibri" w:hAnsi="Arial" w:cs="Arial"/>
                <w:color w:val="000000"/>
                <w:sz w:val="20"/>
                <w:szCs w:val="20"/>
                <w:lang w:val="ru-RU" w:eastAsia="en-PH"/>
              </w:rPr>
              <w:t>not determined</w:t>
            </w:r>
          </w:p>
        </w:tc>
      </w:tr>
      <w:tr w:rsidR="003431C3" w:rsidRPr="002B3F36" w14:paraId="3D1DC6D7" w14:textId="77777777" w:rsidTr="000E123E">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51223CB"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WQ (7)</w:t>
            </w:r>
          </w:p>
        </w:tc>
        <w:tc>
          <w:tcPr>
            <w:tcW w:w="1843" w:type="dxa"/>
            <w:tcBorders>
              <w:top w:val="single" w:sz="4" w:space="0" w:color="auto"/>
              <w:left w:val="single" w:sz="4" w:space="0" w:color="auto"/>
              <w:bottom w:val="single" w:sz="4" w:space="0" w:color="auto"/>
              <w:right w:val="single" w:sz="4" w:space="0" w:color="auto"/>
            </w:tcBorders>
            <w:hideMark/>
          </w:tcPr>
          <w:p w14:paraId="53F415FC" w14:textId="77777777" w:rsidR="003431C3" w:rsidRPr="002B3F36" w:rsidRDefault="003431C3" w:rsidP="00B37101">
            <w:pPr>
              <w:spacing w:line="276" w:lineRule="auto"/>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Shazhabai River</w:t>
            </w:r>
          </w:p>
        </w:tc>
        <w:tc>
          <w:tcPr>
            <w:tcW w:w="1559" w:type="dxa"/>
            <w:tcBorders>
              <w:top w:val="single" w:sz="4" w:space="0" w:color="auto"/>
              <w:left w:val="single" w:sz="4" w:space="0" w:color="auto"/>
              <w:bottom w:val="single" w:sz="4" w:space="0" w:color="auto"/>
              <w:right w:val="single" w:sz="4" w:space="0" w:color="auto"/>
            </w:tcBorders>
            <w:noWrap/>
            <w:hideMark/>
          </w:tcPr>
          <w:p w14:paraId="55FC4C79" w14:textId="77777777" w:rsidR="003431C3" w:rsidRPr="002B3F36" w:rsidRDefault="003431C3" w:rsidP="00B37101">
            <w:pPr>
              <w:spacing w:line="276" w:lineRule="auto"/>
              <w:jc w:val="center"/>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 xml:space="preserve">48°19′17.57″ N </w:t>
            </w:r>
          </w:p>
        </w:tc>
        <w:tc>
          <w:tcPr>
            <w:tcW w:w="1559" w:type="dxa"/>
            <w:tcBorders>
              <w:top w:val="single" w:sz="4" w:space="0" w:color="auto"/>
              <w:left w:val="single" w:sz="4" w:space="0" w:color="auto"/>
              <w:bottom w:val="single" w:sz="4" w:space="0" w:color="auto"/>
              <w:right w:val="single" w:sz="4" w:space="0" w:color="auto"/>
            </w:tcBorders>
            <w:noWrap/>
            <w:hideMark/>
          </w:tcPr>
          <w:p w14:paraId="4B0E9553" w14:textId="77777777" w:rsidR="003431C3" w:rsidRPr="002B3F36" w:rsidRDefault="003431C3" w:rsidP="00B37101">
            <w:pPr>
              <w:spacing w:line="276" w:lineRule="auto"/>
              <w:jc w:val="center"/>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69°42′01.22″ E</w:t>
            </w:r>
          </w:p>
        </w:tc>
        <w:tc>
          <w:tcPr>
            <w:tcW w:w="1418" w:type="dxa"/>
            <w:tcBorders>
              <w:top w:val="single" w:sz="4" w:space="0" w:color="auto"/>
              <w:left w:val="single" w:sz="4" w:space="0" w:color="auto"/>
              <w:bottom w:val="single" w:sz="4" w:space="0" w:color="auto"/>
              <w:right w:val="single" w:sz="4" w:space="0" w:color="auto"/>
            </w:tcBorders>
            <w:noWrap/>
            <w:vAlign w:val="center"/>
          </w:tcPr>
          <w:p w14:paraId="0983630D"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12,6</w:t>
            </w:r>
          </w:p>
        </w:tc>
        <w:tc>
          <w:tcPr>
            <w:tcW w:w="1275" w:type="dxa"/>
            <w:tcBorders>
              <w:top w:val="single" w:sz="4" w:space="0" w:color="auto"/>
              <w:left w:val="single" w:sz="4" w:space="0" w:color="auto"/>
              <w:bottom w:val="single" w:sz="4" w:space="0" w:color="auto"/>
              <w:right w:val="single" w:sz="4" w:space="0" w:color="auto"/>
            </w:tcBorders>
            <w:noWrap/>
            <w:vAlign w:val="center"/>
          </w:tcPr>
          <w:p w14:paraId="107BB1A8"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eastAsia="en-PH"/>
                <w14:ligatures w14:val="standardContextual"/>
              </w:rPr>
            </w:pPr>
            <w:r w:rsidRPr="002B3F36">
              <w:rPr>
                <w:rFonts w:ascii="Arial" w:eastAsia="Calibri" w:hAnsi="Arial" w:cs="Arial"/>
                <w:color w:val="000000"/>
                <w:sz w:val="20"/>
                <w:szCs w:val="20"/>
                <w:lang w:eastAsia="en-PH"/>
              </w:rPr>
              <w:t>8,43</w:t>
            </w:r>
          </w:p>
        </w:tc>
        <w:tc>
          <w:tcPr>
            <w:tcW w:w="1276" w:type="dxa"/>
            <w:tcBorders>
              <w:top w:val="single" w:sz="4" w:space="0" w:color="auto"/>
              <w:left w:val="single" w:sz="4" w:space="0" w:color="auto"/>
              <w:bottom w:val="single" w:sz="4" w:space="0" w:color="auto"/>
              <w:right w:val="single" w:sz="4" w:space="0" w:color="auto"/>
            </w:tcBorders>
            <w:noWrap/>
            <w:vAlign w:val="center"/>
          </w:tcPr>
          <w:p w14:paraId="745B3BE4"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1979</w:t>
            </w:r>
          </w:p>
        </w:tc>
        <w:tc>
          <w:tcPr>
            <w:tcW w:w="1276" w:type="dxa"/>
            <w:tcBorders>
              <w:top w:val="single" w:sz="4" w:space="0" w:color="auto"/>
              <w:left w:val="single" w:sz="4" w:space="0" w:color="auto"/>
              <w:bottom w:val="single" w:sz="4" w:space="0" w:color="auto"/>
              <w:right w:val="single" w:sz="4" w:space="0" w:color="auto"/>
            </w:tcBorders>
            <w:noWrap/>
            <w:vAlign w:val="center"/>
          </w:tcPr>
          <w:p w14:paraId="6B158D11"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2,28</w:t>
            </w:r>
          </w:p>
        </w:tc>
        <w:tc>
          <w:tcPr>
            <w:tcW w:w="1276" w:type="dxa"/>
            <w:tcBorders>
              <w:top w:val="single" w:sz="4" w:space="0" w:color="auto"/>
              <w:left w:val="single" w:sz="4" w:space="0" w:color="auto"/>
              <w:bottom w:val="single" w:sz="4" w:space="0" w:color="auto"/>
              <w:right w:val="single" w:sz="4" w:space="0" w:color="auto"/>
            </w:tcBorders>
            <w:noWrap/>
            <w:vAlign w:val="center"/>
          </w:tcPr>
          <w:p w14:paraId="34D1AD1A"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9,73</w:t>
            </w:r>
          </w:p>
        </w:tc>
        <w:tc>
          <w:tcPr>
            <w:tcW w:w="1275" w:type="dxa"/>
            <w:tcBorders>
              <w:top w:val="single" w:sz="4" w:space="0" w:color="auto"/>
              <w:left w:val="single" w:sz="4" w:space="0" w:color="auto"/>
              <w:bottom w:val="single" w:sz="4" w:space="0" w:color="auto"/>
              <w:right w:val="single" w:sz="4" w:space="0" w:color="auto"/>
            </w:tcBorders>
            <w:noWrap/>
            <w:vAlign w:val="center"/>
          </w:tcPr>
          <w:p w14:paraId="6AEA95E2"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val="ru-RU" w:eastAsia="en-PH"/>
                <w14:ligatures w14:val="standardContextual"/>
              </w:rPr>
            </w:pPr>
            <w:r w:rsidRPr="002B3F36">
              <w:rPr>
                <w:rFonts w:ascii="Arial" w:eastAsia="Calibri" w:hAnsi="Arial" w:cs="Arial"/>
                <w:color w:val="000000"/>
                <w:sz w:val="20"/>
                <w:szCs w:val="20"/>
                <w:lang w:val="en-PH" w:eastAsia="en-PH"/>
              </w:rPr>
              <w:t>0,006</w:t>
            </w:r>
          </w:p>
        </w:tc>
        <w:tc>
          <w:tcPr>
            <w:tcW w:w="1367" w:type="dxa"/>
            <w:tcBorders>
              <w:top w:val="single" w:sz="4" w:space="0" w:color="auto"/>
              <w:left w:val="single" w:sz="4" w:space="0" w:color="auto"/>
              <w:bottom w:val="single" w:sz="4" w:space="0" w:color="auto"/>
              <w:right w:val="single" w:sz="4" w:space="0" w:color="auto"/>
            </w:tcBorders>
            <w:vAlign w:val="center"/>
          </w:tcPr>
          <w:p w14:paraId="4484FE54" w14:textId="77777777" w:rsidR="003431C3" w:rsidRPr="002B3F36" w:rsidRDefault="003431C3" w:rsidP="00B37101">
            <w:pPr>
              <w:spacing w:line="276" w:lineRule="auto"/>
              <w:jc w:val="center"/>
              <w:rPr>
                <w:rFonts w:ascii="Arial" w:eastAsia="Calibri" w:hAnsi="Arial" w:cs="Arial"/>
                <w:color w:val="000000" w:themeColor="text1"/>
                <w:kern w:val="2"/>
                <w:sz w:val="20"/>
                <w:szCs w:val="20"/>
                <w:lang w:eastAsia="ko-KR"/>
                <w14:ligatures w14:val="standardContextual"/>
              </w:rPr>
            </w:pPr>
            <w:r w:rsidRPr="002B3F36">
              <w:rPr>
                <w:rFonts w:ascii="Arial" w:eastAsia="Calibri" w:hAnsi="Arial" w:cs="Arial"/>
                <w:color w:val="000000"/>
                <w:sz w:val="20"/>
                <w:szCs w:val="20"/>
                <w:lang w:val="ru-RU" w:eastAsia="en-PH"/>
              </w:rPr>
              <w:t>not determined</w:t>
            </w:r>
          </w:p>
        </w:tc>
      </w:tr>
      <w:tr w:rsidR="003431C3" w:rsidRPr="002B3F36" w14:paraId="3C83089B" w14:textId="77777777" w:rsidTr="000E123E">
        <w:trPr>
          <w:trHeight w:val="288"/>
          <w:jc w:val="center"/>
        </w:trPr>
        <w:tc>
          <w:tcPr>
            <w:tcW w:w="5807" w:type="dxa"/>
            <w:gridSpan w:val="4"/>
            <w:tcBorders>
              <w:top w:val="single" w:sz="4" w:space="0" w:color="auto"/>
              <w:left w:val="single" w:sz="4" w:space="0" w:color="auto"/>
              <w:bottom w:val="single" w:sz="4" w:space="0" w:color="auto"/>
              <w:right w:val="single" w:sz="4" w:space="0" w:color="auto"/>
            </w:tcBorders>
            <w:noWrap/>
            <w:hideMark/>
          </w:tcPr>
          <w:p w14:paraId="3A61F648"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t xml:space="preserve">Maximum permissible concentrations of water bodies of a fishery reservoir (On approval of water quality standards and </w:t>
            </w:r>
            <w:r w:rsidRPr="002B3F36">
              <w:rPr>
                <w:rFonts w:ascii="Arial" w:eastAsia="Calibri" w:hAnsi="Arial" w:cs="Arial"/>
                <w:i/>
                <w:iCs/>
                <w:color w:val="000000" w:themeColor="text1"/>
                <w:kern w:val="2"/>
                <w:sz w:val="20"/>
                <w:szCs w:val="20"/>
                <w:lang w:val="en-PH" w:eastAsia="en-PH"/>
                <w14:ligatures w14:val="standardContextual"/>
              </w:rPr>
              <w:lastRenderedPageBreak/>
              <w:t>maximum permissible concentrations of harmful substances in the waters of water bodies of fishery importance)</w:t>
            </w:r>
          </w:p>
        </w:tc>
        <w:tc>
          <w:tcPr>
            <w:tcW w:w="1418" w:type="dxa"/>
            <w:tcBorders>
              <w:top w:val="single" w:sz="4" w:space="0" w:color="auto"/>
              <w:left w:val="single" w:sz="4" w:space="0" w:color="auto"/>
              <w:bottom w:val="single" w:sz="4" w:space="0" w:color="auto"/>
              <w:right w:val="single" w:sz="4" w:space="0" w:color="auto"/>
            </w:tcBorders>
            <w:noWrap/>
          </w:tcPr>
          <w:p w14:paraId="5B31E945"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ko-KR"/>
                <w14:ligatures w14:val="standardContextual"/>
              </w:rPr>
            </w:pPr>
            <w:r w:rsidRPr="002B3F36">
              <w:rPr>
                <w:rFonts w:ascii="Arial" w:eastAsia="Calibri" w:hAnsi="Arial" w:cs="Arial"/>
                <w:i/>
                <w:iCs/>
                <w:color w:val="000000" w:themeColor="text1"/>
                <w:kern w:val="2"/>
                <w:sz w:val="20"/>
                <w:szCs w:val="20"/>
                <w:lang w:eastAsia="ko-KR"/>
                <w14:ligatures w14:val="standardContextual"/>
              </w:rPr>
              <w:lastRenderedPageBreak/>
              <w:t>0.75</w:t>
            </w:r>
          </w:p>
          <w:p w14:paraId="24CECFFD"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 xml:space="preserve">content of </w:t>
            </w:r>
            <w:r w:rsidRPr="002B3F36">
              <w:rPr>
                <w:rFonts w:ascii="Arial" w:eastAsia="Calibri" w:hAnsi="Arial" w:cs="Arial"/>
                <w:i/>
                <w:iCs/>
                <w:color w:val="000000" w:themeColor="text1"/>
                <w:kern w:val="2"/>
                <w:sz w:val="20"/>
                <w:szCs w:val="20"/>
                <w:lang w:eastAsia="en-PH"/>
                <w14:ligatures w14:val="standardContextual"/>
              </w:rPr>
              <w:lastRenderedPageBreak/>
              <w:t>suspended solids does not increase</w:t>
            </w:r>
          </w:p>
          <w:p w14:paraId="2D0DE12C"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by more than: 0.25 mg/dm3, 0.75 mg/dm3.</w:t>
            </w:r>
          </w:p>
          <w:p w14:paraId="08841AAC"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For water bodies containing more than 30 mg/</w:t>
            </w:r>
          </w:p>
          <w:p w14:paraId="4EFFE91D"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dm3 of natural mineral substances, it is allowed to</w:t>
            </w:r>
          </w:p>
          <w:p w14:paraId="4A9ED2F4"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increase in the content of suspended solids in water</w:t>
            </w:r>
          </w:p>
          <w:p w14:paraId="4A0FB72D"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within 5.0 %.</w:t>
            </w:r>
          </w:p>
          <w:p w14:paraId="57F31FB3"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 xml:space="preserve">Suspended sediments with deposition </w:t>
            </w:r>
            <w:r w:rsidRPr="002B3F36">
              <w:rPr>
                <w:rFonts w:ascii="Arial" w:eastAsia="Calibri" w:hAnsi="Arial" w:cs="Arial"/>
                <w:i/>
                <w:iCs/>
                <w:color w:val="000000" w:themeColor="text1"/>
                <w:kern w:val="2"/>
                <w:sz w:val="20"/>
                <w:szCs w:val="20"/>
                <w:lang w:eastAsia="en-PH"/>
                <w14:ligatures w14:val="standardContextual"/>
              </w:rPr>
              <w:lastRenderedPageBreak/>
              <w:t>velocity more than 0.4 mm/sec.</w:t>
            </w:r>
          </w:p>
          <w:p w14:paraId="2513F484"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for flowing water bodies and more than 0.2 mm/sec for</w:t>
            </w:r>
          </w:p>
          <w:p w14:paraId="0998214E"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reservoirs are prohibited for release.</w:t>
            </w:r>
          </w:p>
          <w:p w14:paraId="2C426D67"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en-PH"/>
                <w14:ligatures w14:val="standardContextual"/>
              </w:rPr>
            </w:pPr>
          </w:p>
          <w:p w14:paraId="0B6BC783" w14:textId="77777777" w:rsidR="003431C3" w:rsidRPr="002B3F36" w:rsidRDefault="003431C3" w:rsidP="00B37101">
            <w:pPr>
              <w:spacing w:line="276" w:lineRule="auto"/>
              <w:jc w:val="center"/>
              <w:rPr>
                <w:rFonts w:ascii="Arial" w:eastAsia="Calibri" w:hAnsi="Arial" w:cs="Arial"/>
                <w:b/>
                <w:bCs/>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eastAsia="en-PH"/>
                <w14:ligatures w14:val="standardContextual"/>
              </w:rPr>
              <w:t>Translated with DeepL.com (free version)</w:t>
            </w:r>
          </w:p>
        </w:tc>
        <w:tc>
          <w:tcPr>
            <w:tcW w:w="1275" w:type="dxa"/>
            <w:tcBorders>
              <w:top w:val="single" w:sz="4" w:space="0" w:color="auto"/>
              <w:left w:val="single" w:sz="4" w:space="0" w:color="auto"/>
              <w:bottom w:val="single" w:sz="4" w:space="0" w:color="auto"/>
              <w:right w:val="single" w:sz="4" w:space="0" w:color="auto"/>
            </w:tcBorders>
            <w:noWrap/>
            <w:hideMark/>
          </w:tcPr>
          <w:p w14:paraId="40D19DD1"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lastRenderedPageBreak/>
              <w:t xml:space="preserve">6.5–8.5 or must </w:t>
            </w:r>
            <w:r w:rsidRPr="002B3F36">
              <w:rPr>
                <w:rFonts w:ascii="Arial" w:eastAsia="Calibri" w:hAnsi="Arial" w:cs="Arial"/>
                <w:i/>
                <w:iCs/>
                <w:color w:val="000000" w:themeColor="text1"/>
                <w:kern w:val="2"/>
                <w:sz w:val="20"/>
                <w:szCs w:val="20"/>
                <w:lang w:val="en-PH" w:eastAsia="en-PH"/>
                <w14:ligatures w14:val="standardContextual"/>
              </w:rPr>
              <w:lastRenderedPageBreak/>
              <w:t>correspond to the background value of the indicator for water of a water body of fishery importance</w:t>
            </w:r>
          </w:p>
        </w:tc>
        <w:tc>
          <w:tcPr>
            <w:tcW w:w="1276" w:type="dxa"/>
            <w:tcBorders>
              <w:top w:val="single" w:sz="4" w:space="0" w:color="auto"/>
              <w:left w:val="single" w:sz="4" w:space="0" w:color="auto"/>
              <w:bottom w:val="single" w:sz="4" w:space="0" w:color="auto"/>
              <w:right w:val="single" w:sz="4" w:space="0" w:color="auto"/>
            </w:tcBorders>
            <w:noWrap/>
            <w:hideMark/>
          </w:tcPr>
          <w:p w14:paraId="44A041BA" w14:textId="77777777" w:rsidR="003431C3" w:rsidRPr="002B3F36" w:rsidRDefault="003431C3" w:rsidP="00B37101">
            <w:pPr>
              <w:spacing w:line="276" w:lineRule="auto"/>
              <w:jc w:val="center"/>
              <w:rPr>
                <w:rFonts w:ascii="Arial" w:eastAsia="Calibri" w:hAnsi="Arial" w:cs="Arial"/>
                <w:i/>
                <w:iCs/>
                <w:color w:val="000000"/>
                <w:kern w:val="2"/>
                <w:sz w:val="20"/>
                <w:szCs w:val="20"/>
                <w:lang w:eastAsia="ko-KR"/>
                <w14:ligatures w14:val="standardContextual"/>
              </w:rPr>
            </w:pPr>
            <w:r w:rsidRPr="002B3F36">
              <w:rPr>
                <w:rFonts w:ascii="Arial" w:eastAsia="Calibri" w:hAnsi="Arial" w:cs="Arial"/>
                <w:i/>
                <w:iCs/>
                <w:color w:val="000000" w:themeColor="text1"/>
                <w:kern w:val="2"/>
                <w:sz w:val="20"/>
                <w:szCs w:val="20"/>
                <w:lang w:eastAsia="ko-KR"/>
                <w14:ligatures w14:val="standardContextual"/>
              </w:rPr>
              <w:lastRenderedPageBreak/>
              <w:t>1500</w:t>
            </w:r>
          </w:p>
          <w:p w14:paraId="53065E80"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t xml:space="preserve">does not </w:t>
            </w:r>
            <w:r w:rsidRPr="002B3F36">
              <w:rPr>
                <w:rFonts w:ascii="Arial" w:eastAsia="Calibri" w:hAnsi="Arial" w:cs="Arial"/>
                <w:i/>
                <w:iCs/>
                <w:color w:val="000000" w:themeColor="text1"/>
                <w:kern w:val="2"/>
                <w:sz w:val="20"/>
                <w:szCs w:val="20"/>
                <w:lang w:val="en-PH" w:eastAsia="en-PH"/>
                <w14:ligatures w14:val="standardContextual"/>
              </w:rPr>
              <w:lastRenderedPageBreak/>
              <w:t>exceed by dry residue 1000 mg/dm3 (1500)</w:t>
            </w:r>
          </w:p>
          <w:p w14:paraId="36643DDA"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t>including chlorides 350 mg/dm3, sulphates 500 mg/dm3.</w:t>
            </w:r>
          </w:p>
          <w:p w14:paraId="3EA59682"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t>/dm3.</w:t>
            </w:r>
          </w:p>
        </w:tc>
        <w:tc>
          <w:tcPr>
            <w:tcW w:w="1276" w:type="dxa"/>
            <w:tcBorders>
              <w:top w:val="single" w:sz="4" w:space="0" w:color="auto"/>
              <w:left w:val="single" w:sz="4" w:space="0" w:color="auto"/>
              <w:bottom w:val="single" w:sz="4" w:space="0" w:color="auto"/>
              <w:right w:val="single" w:sz="4" w:space="0" w:color="auto"/>
            </w:tcBorders>
            <w:noWrap/>
            <w:hideMark/>
          </w:tcPr>
          <w:p w14:paraId="718BC98C"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lastRenderedPageBreak/>
              <w:t>At a temperatur</w:t>
            </w:r>
            <w:r w:rsidRPr="002B3F36">
              <w:rPr>
                <w:rFonts w:ascii="Arial" w:eastAsia="Calibri" w:hAnsi="Arial" w:cs="Arial"/>
                <w:i/>
                <w:iCs/>
                <w:color w:val="000000" w:themeColor="text1"/>
                <w:kern w:val="2"/>
                <w:sz w:val="20"/>
                <w:szCs w:val="20"/>
                <w:lang w:val="en-PH" w:eastAsia="en-PH"/>
                <w14:ligatures w14:val="standardContextual"/>
              </w:rPr>
              <w:lastRenderedPageBreak/>
              <w:t>e of 20°C under the influence of economic activities (including wastewater discharge) should not exceed 3.0 mgO2/dm3 (mg/dm3)</w:t>
            </w:r>
          </w:p>
        </w:tc>
        <w:tc>
          <w:tcPr>
            <w:tcW w:w="1276" w:type="dxa"/>
            <w:tcBorders>
              <w:top w:val="single" w:sz="4" w:space="0" w:color="auto"/>
              <w:left w:val="single" w:sz="4" w:space="0" w:color="auto"/>
              <w:bottom w:val="single" w:sz="4" w:space="0" w:color="auto"/>
              <w:right w:val="single" w:sz="4" w:space="0" w:color="auto"/>
            </w:tcBorders>
            <w:noWrap/>
            <w:hideMark/>
          </w:tcPr>
          <w:p w14:paraId="1ABFF546"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lastRenderedPageBreak/>
              <w:t xml:space="preserve">The content of oxygen </w:t>
            </w:r>
            <w:r w:rsidRPr="002B3F36">
              <w:rPr>
                <w:rFonts w:ascii="Arial" w:eastAsia="Calibri" w:hAnsi="Arial" w:cs="Arial"/>
                <w:i/>
                <w:iCs/>
                <w:color w:val="000000" w:themeColor="text1"/>
                <w:kern w:val="2"/>
                <w:sz w:val="20"/>
                <w:szCs w:val="20"/>
                <w:lang w:val="en-PH" w:eastAsia="en-PH"/>
                <w14:ligatures w14:val="standardContextual"/>
              </w:rPr>
              <w:lastRenderedPageBreak/>
              <w:t>dissolved in water should not fall below 6.0 mg/dm3 under the influence of economic activities (including wastewater discharge). The content of dissolved oxygen during the freeze-up period should not fall below 4.0 mg/dm3.</w:t>
            </w:r>
          </w:p>
        </w:tc>
        <w:tc>
          <w:tcPr>
            <w:tcW w:w="1275" w:type="dxa"/>
            <w:tcBorders>
              <w:top w:val="single" w:sz="4" w:space="0" w:color="auto"/>
              <w:left w:val="single" w:sz="4" w:space="0" w:color="auto"/>
              <w:bottom w:val="single" w:sz="4" w:space="0" w:color="auto"/>
              <w:right w:val="single" w:sz="4" w:space="0" w:color="auto"/>
            </w:tcBorders>
            <w:noWrap/>
            <w:hideMark/>
          </w:tcPr>
          <w:p w14:paraId="51314A2E"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lastRenderedPageBreak/>
              <w:t xml:space="preserve">Films of petroleum </w:t>
            </w:r>
            <w:r w:rsidRPr="002B3F36">
              <w:rPr>
                <w:rFonts w:ascii="Arial" w:eastAsia="Calibri" w:hAnsi="Arial" w:cs="Arial"/>
                <w:i/>
                <w:iCs/>
                <w:color w:val="000000" w:themeColor="text1"/>
                <w:kern w:val="2"/>
                <w:sz w:val="20"/>
                <w:szCs w:val="20"/>
                <w:lang w:val="en-PH" w:eastAsia="en-PH"/>
                <w14:ligatures w14:val="standardContextual"/>
              </w:rPr>
              <w:lastRenderedPageBreak/>
              <w:t>products, oils, fats and accumulations of other harmful impurities should not be found on the water surface of water bodies of fishery importance in the zone of anthropogenic impact.</w:t>
            </w:r>
          </w:p>
        </w:tc>
        <w:tc>
          <w:tcPr>
            <w:tcW w:w="1367" w:type="dxa"/>
            <w:tcBorders>
              <w:top w:val="single" w:sz="4" w:space="0" w:color="auto"/>
              <w:left w:val="single" w:sz="4" w:space="0" w:color="auto"/>
              <w:bottom w:val="single" w:sz="4" w:space="0" w:color="auto"/>
              <w:right w:val="single" w:sz="4" w:space="0" w:color="auto"/>
            </w:tcBorders>
            <w:hideMark/>
          </w:tcPr>
          <w:p w14:paraId="6AF7B90D" w14:textId="77777777" w:rsidR="003431C3" w:rsidRPr="002B3F36" w:rsidRDefault="003431C3" w:rsidP="00B37101">
            <w:pPr>
              <w:spacing w:line="276" w:lineRule="auto"/>
              <w:jc w:val="center"/>
              <w:rPr>
                <w:rFonts w:ascii="Arial" w:eastAsia="Calibri" w:hAnsi="Arial" w:cs="Arial"/>
                <w:i/>
                <w:iCs/>
                <w:color w:val="000000"/>
                <w:kern w:val="2"/>
                <w:sz w:val="20"/>
                <w:szCs w:val="20"/>
                <w:lang w:val="en-PH" w:eastAsia="en-PH"/>
                <w14:ligatures w14:val="standardContextual"/>
              </w:rPr>
            </w:pPr>
            <w:r w:rsidRPr="002B3F36">
              <w:rPr>
                <w:rFonts w:ascii="Arial" w:eastAsia="Calibri" w:hAnsi="Arial" w:cs="Arial"/>
                <w:i/>
                <w:iCs/>
                <w:color w:val="000000" w:themeColor="text1"/>
                <w:kern w:val="2"/>
                <w:sz w:val="20"/>
                <w:szCs w:val="20"/>
                <w:lang w:val="en-PH" w:eastAsia="en-PH"/>
                <w14:ligatures w14:val="standardContextual"/>
              </w:rPr>
              <w:lastRenderedPageBreak/>
              <w:t xml:space="preserve">Water from water bodies </w:t>
            </w:r>
            <w:r w:rsidRPr="002B3F36">
              <w:rPr>
                <w:rFonts w:ascii="Arial" w:eastAsia="Calibri" w:hAnsi="Arial" w:cs="Arial"/>
                <w:i/>
                <w:iCs/>
                <w:color w:val="000000" w:themeColor="text1"/>
                <w:kern w:val="2"/>
                <w:sz w:val="20"/>
                <w:szCs w:val="20"/>
                <w:lang w:val="en-PH" w:eastAsia="en-PH"/>
                <w14:ligatures w14:val="standardContextual"/>
              </w:rPr>
              <w:lastRenderedPageBreak/>
              <w:t>of fishery importance in places where wastewater is discharged should not have an acute toxic effect on test objects. The water of the water body at the control site should not have a chronic toxic effect on the test objects</w:t>
            </w:r>
          </w:p>
        </w:tc>
      </w:tr>
    </w:tbl>
    <w:p w14:paraId="09EDF6E8" w14:textId="77777777" w:rsidR="003431C3" w:rsidRPr="002B3F36" w:rsidRDefault="003431C3" w:rsidP="003431C3">
      <w:pPr>
        <w:pStyle w:val="ReportBodyTextNogap"/>
      </w:pPr>
    </w:p>
    <w:p w14:paraId="0925D888" w14:textId="5687E27A" w:rsidR="003431C3" w:rsidRPr="002B3F36" w:rsidRDefault="003431C3" w:rsidP="003431C3">
      <w:pPr>
        <w:pStyle w:val="ReportBodyPar"/>
      </w:pPr>
      <w:r w:rsidRPr="002B3F36">
        <w:t xml:space="preserve">The assessment of water quality results indicates that most parameters fall within or close to national Maximum Permissible Concentrations (MPCs) and international good practice limits outlined in the WBG General EHS Guidelines (2007) and </w:t>
      </w:r>
      <w:r w:rsidR="00F95BD8" w:rsidRPr="002B3F36">
        <w:t>WB</w:t>
      </w:r>
      <w:r w:rsidRPr="002B3F36">
        <w:t xml:space="preserve"> Performance Standards (particularly PS3 on Resource Efficiency and Pollution Prevention). Parameters such as pH (8.1–8.7) remain within acceptable limits for surface water quality, suggesting no immediate risk of acidification or alkalinity-related impacts on aquatic ecosystems. </w:t>
      </w:r>
    </w:p>
    <w:p w14:paraId="0BF0A05E" w14:textId="77777777" w:rsidR="003431C3" w:rsidRPr="002B3F36" w:rsidRDefault="003431C3" w:rsidP="003431C3">
      <w:pPr>
        <w:pStyle w:val="ReportBodyPar"/>
      </w:pPr>
    </w:p>
    <w:p w14:paraId="2944EA26" w14:textId="77777777" w:rsidR="003431C3" w:rsidRPr="002B3F36" w:rsidRDefault="003431C3" w:rsidP="003431C3">
      <w:pPr>
        <w:pStyle w:val="ReportBodyPar"/>
      </w:pPr>
      <w:r w:rsidRPr="002B3F36">
        <w:t xml:space="preserve">However, certain values, such as suspended solids (up to 1979 mg/L), exceed typical thresholds recommended under WBG EHS Guidelines (generally below 50 mg/L for treated effluents), indicating potential risks of sedimentation, turbidity, and habitat smothering for aquatic life. Likewise, biochemical oxygen demand (BOD) levels in some samples approach or exceed good practice limits, implying possible organic pollution concerns. While oil products (0.006–0.0138 mg/L) appear below many MPCs for hydrocarbons, cumulative impacts from construction runoff and accidental spills remain possible if not adequately managed. </w:t>
      </w:r>
    </w:p>
    <w:p w14:paraId="53D78FE4" w14:textId="77777777" w:rsidR="003431C3" w:rsidRPr="002B3F36" w:rsidRDefault="003431C3" w:rsidP="003431C3">
      <w:pPr>
        <w:pStyle w:val="ReportBodyPar"/>
      </w:pPr>
    </w:p>
    <w:p w14:paraId="0FB800BD" w14:textId="099D6512" w:rsidR="003431C3" w:rsidRPr="002B3F36" w:rsidRDefault="003431C3" w:rsidP="003431C3">
      <w:pPr>
        <w:pStyle w:val="ReportBodyPar"/>
      </w:pPr>
      <w:r w:rsidRPr="002B3F36">
        <w:t xml:space="preserve">In line with </w:t>
      </w:r>
      <w:r w:rsidR="00163238" w:rsidRPr="002B3F36">
        <w:t>WB PS</w:t>
      </w:r>
      <w:r w:rsidRPr="002B3F36">
        <w:t>3 and the mitigation hierarchy (avoid, minimize, restore, offset), these results emphasize the need for sediment control measures, wastewater treatment, and spill prevention plans to ensure compliance with both national water quality standards and international lender requirements during railway construction and operations.</w:t>
      </w:r>
    </w:p>
    <w:p w14:paraId="2100FD26" w14:textId="77777777" w:rsidR="003431C3" w:rsidRPr="002B3F36" w:rsidRDefault="003431C3" w:rsidP="003431C3">
      <w:pPr>
        <w:pStyle w:val="ReportBodyPar"/>
      </w:pPr>
    </w:p>
    <w:p w14:paraId="3DFC4DE8" w14:textId="77777777" w:rsidR="003431C3" w:rsidRPr="002B3F36" w:rsidRDefault="003431C3" w:rsidP="003431C3">
      <w:pPr>
        <w:pStyle w:val="ReportBodyPar"/>
      </w:pPr>
    </w:p>
    <w:p w14:paraId="1345927A" w14:textId="77777777" w:rsidR="003431C3" w:rsidRPr="002B3F36" w:rsidRDefault="003431C3" w:rsidP="003431C3">
      <w:pPr>
        <w:rPr>
          <w:rFonts w:ascii="Arial" w:eastAsia="Calibri" w:hAnsi="Arial" w:cs="Arial"/>
          <w:lang w:eastAsia="en-GB"/>
        </w:rPr>
      </w:pPr>
      <w:r w:rsidRPr="002B3F36">
        <w:rPr>
          <w:rFonts w:ascii="Arial" w:eastAsia="Calibri" w:hAnsi="Arial" w:cs="Arial"/>
          <w:noProof/>
          <w:lang w:eastAsia="en-GB"/>
        </w:rPr>
        <w:drawing>
          <wp:inline distT="0" distB="0" distL="0" distR="0" wp14:anchorId="7E1D71FD" wp14:editId="4AAAFAB5">
            <wp:extent cx="8458200" cy="4759949"/>
            <wp:effectExtent l="19050" t="19050" r="19050" b="22225"/>
            <wp:docPr id="15969557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464760" cy="4763640"/>
                    </a:xfrm>
                    <a:prstGeom prst="rect">
                      <a:avLst/>
                    </a:prstGeom>
                    <a:noFill/>
                    <a:ln w="3175">
                      <a:solidFill>
                        <a:schemeClr val="tx1"/>
                      </a:solidFill>
                    </a:ln>
                  </pic:spPr>
                </pic:pic>
              </a:graphicData>
            </a:graphic>
          </wp:inline>
        </w:drawing>
      </w:r>
    </w:p>
    <w:p w14:paraId="6F1119F3" w14:textId="360854D0" w:rsidR="003431C3" w:rsidRPr="002B3F36" w:rsidRDefault="003431C3" w:rsidP="003431C3">
      <w:pPr>
        <w:pStyle w:val="FigureCaption"/>
        <w:rPr>
          <w:rFonts w:cs="Arial"/>
        </w:rPr>
      </w:pPr>
      <w:bookmarkStart w:id="2042" w:name="_Toc210589604"/>
      <w:r w:rsidRPr="002B3F36">
        <w:rPr>
          <w:rFonts w:cs="Arial"/>
        </w:rPr>
        <w:t xml:space="preserve">Figure </w:t>
      </w:r>
      <w:r w:rsidR="00F30C2C" w:rsidRPr="002B3F36">
        <w:rPr>
          <w:rFonts w:cs="Arial"/>
        </w:rPr>
        <w:fldChar w:fldCharType="begin"/>
      </w:r>
      <w:r w:rsidR="00F30C2C" w:rsidRPr="002B3F36">
        <w:rPr>
          <w:rFonts w:cs="Arial"/>
        </w:rPr>
        <w:instrText xml:space="preserve"> SEQ Figure \* ARABIC </w:instrText>
      </w:r>
      <w:r w:rsidR="00F30C2C" w:rsidRPr="002B3F36">
        <w:rPr>
          <w:rFonts w:cs="Arial"/>
        </w:rPr>
        <w:fldChar w:fldCharType="separate"/>
      </w:r>
      <w:r w:rsidR="002B3F36">
        <w:rPr>
          <w:rFonts w:cs="Arial"/>
          <w:noProof/>
        </w:rPr>
        <w:t>15</w:t>
      </w:r>
      <w:r w:rsidR="00F30C2C" w:rsidRPr="002B3F36">
        <w:rPr>
          <w:rFonts w:cs="Arial"/>
        </w:rPr>
        <w:fldChar w:fldCharType="end"/>
      </w:r>
      <w:r w:rsidRPr="002B3F36">
        <w:rPr>
          <w:rFonts w:cs="Arial"/>
        </w:rPr>
        <w:t>: Water Quality Sampling Location</w:t>
      </w:r>
      <w:bookmarkEnd w:id="2042"/>
    </w:p>
    <w:p w14:paraId="62555792" w14:textId="77777777" w:rsidR="003431C3" w:rsidRPr="002B3F36" w:rsidRDefault="003431C3" w:rsidP="003431C3">
      <w:pPr>
        <w:pStyle w:val="ReportBodyPar"/>
      </w:pPr>
    </w:p>
    <w:p w14:paraId="24957419" w14:textId="3C31ECC7" w:rsidR="00A01E00" w:rsidRPr="002B3F36" w:rsidRDefault="00A01E00" w:rsidP="005A68AD">
      <w:pPr>
        <w:pStyle w:val="31"/>
      </w:pPr>
      <w:bookmarkStart w:id="2043" w:name="_Toc210589470"/>
      <w:r w:rsidRPr="002B3F36">
        <w:t>Ambient Air Quality Sampling Measurements</w:t>
      </w:r>
      <w:bookmarkEnd w:id="2035"/>
      <w:bookmarkEnd w:id="2036"/>
      <w:bookmarkEnd w:id="2037"/>
      <w:bookmarkEnd w:id="2038"/>
      <w:bookmarkEnd w:id="2039"/>
      <w:bookmarkEnd w:id="2043"/>
    </w:p>
    <w:p w14:paraId="20F43FCC" w14:textId="77777777" w:rsidR="003431C3" w:rsidRPr="002B3F36" w:rsidRDefault="003431C3" w:rsidP="00A01E00">
      <w:pPr>
        <w:pStyle w:val="ReportBodyTextNogap"/>
      </w:pPr>
    </w:p>
    <w:p w14:paraId="1493A8B2" w14:textId="53C944FB" w:rsidR="00A01E00" w:rsidRPr="002B3F36" w:rsidRDefault="00A01E00" w:rsidP="00A01E00">
      <w:pPr>
        <w:pStyle w:val="ReportBodyTextNogap"/>
      </w:pPr>
      <w:r w:rsidRPr="002B3F36">
        <w:t xml:space="preserve">In line with </w:t>
      </w:r>
      <w:r w:rsidR="00163238" w:rsidRPr="002B3F36">
        <w:t>WB PS</w:t>
      </w:r>
      <w:r w:rsidRPr="002B3F36">
        <w:t xml:space="preserve"> 1 and PS</w:t>
      </w:r>
      <w:r w:rsidR="00343C8B" w:rsidRPr="002B3F36">
        <w:t xml:space="preserve"> 3</w:t>
      </w:r>
      <w:r w:rsidRPr="002B3F36">
        <w:t>, potential impacts on ambient air quality during the construction phase are to be assessed with consideration of the railroad project’s earthworks, material handling, and operation of trucks, heavy equipment, and auxiliary facilities. These activities are recognized sources of dust and emissions that could affect nearby communities and ecological receptors if not properly managed.</w:t>
      </w:r>
    </w:p>
    <w:p w14:paraId="7FBB5E52" w14:textId="77777777" w:rsidR="00A01E00" w:rsidRPr="002B3F36" w:rsidRDefault="00A01E00" w:rsidP="00A01E00">
      <w:pPr>
        <w:pStyle w:val="ReportBodyTextNogap"/>
      </w:pPr>
    </w:p>
    <w:p w14:paraId="521E6FB1" w14:textId="77777777" w:rsidR="00A01E00" w:rsidRPr="002B3F36" w:rsidRDefault="00A01E00" w:rsidP="00A01E00">
      <w:pPr>
        <w:pStyle w:val="ReportBodyTextNogap"/>
      </w:pPr>
      <w:r w:rsidRPr="002B3F36">
        <w:t>Baseline monitoring data indicate that all measured parameters remain well below the Maximum Permissible Concentrations (MPCs) established for air quality. These findings, presented in the table below, provide assurance that existing conditions meet relevant air quality standards and will serve as reference benchmarks for future monitoring during construction and operational phases, consistent with PS3’s emphasis on pollution prevention and PS1’s requirements for ongoing impact assessment and management.</w:t>
      </w:r>
    </w:p>
    <w:p w14:paraId="74AFB589" w14:textId="77777777" w:rsidR="00A01E00" w:rsidRPr="002B3F36" w:rsidRDefault="00A01E00" w:rsidP="00A01E00">
      <w:pPr>
        <w:pStyle w:val="ReportBodyTextNogap"/>
        <w:rPr>
          <w:rFonts w:eastAsiaTheme="minorEastAsia"/>
        </w:rPr>
      </w:pPr>
    </w:p>
    <w:p w14:paraId="13D4399D" w14:textId="10A7EAF0" w:rsidR="00A01E00" w:rsidRPr="002B3F36" w:rsidRDefault="00A01E00" w:rsidP="00A01E00">
      <w:pPr>
        <w:pStyle w:val="CaptionTable"/>
        <w:rPr>
          <w:rFonts w:eastAsia="Calibri"/>
        </w:rPr>
      </w:pPr>
      <w:bookmarkStart w:id="2044" w:name="_Toc169094892"/>
      <w:bookmarkStart w:id="2045" w:name="_Toc210589564"/>
      <w:r w:rsidRPr="002B3F36">
        <w:t xml:space="preserve">Table </w:t>
      </w:r>
      <w:r w:rsidRPr="002B3F36">
        <w:fldChar w:fldCharType="begin"/>
      </w:r>
      <w:r w:rsidRPr="002B3F36">
        <w:instrText>SEQ Table \* ARABIC</w:instrText>
      </w:r>
      <w:r w:rsidRPr="002B3F36">
        <w:fldChar w:fldCharType="separate"/>
      </w:r>
      <w:r w:rsidR="00A023DA">
        <w:rPr>
          <w:noProof/>
        </w:rPr>
        <w:t>20</w:t>
      </w:r>
      <w:r w:rsidRPr="002B3F36">
        <w:fldChar w:fldCharType="end"/>
      </w:r>
      <w:r w:rsidRPr="002B3F36">
        <w:t xml:space="preserve">: Ambient </w:t>
      </w:r>
      <w:r w:rsidRPr="002B3F36">
        <w:rPr>
          <w:lang w:val="en-PH" w:eastAsia="en-PH"/>
        </w:rPr>
        <w:t>Air Quality Sampling Measurement Results</w:t>
      </w:r>
      <w:bookmarkEnd w:id="2044"/>
      <w:r w:rsidR="003431C3" w:rsidRPr="002B3F36">
        <w:rPr>
          <w:lang w:val="en-PH" w:eastAsia="en-PH"/>
        </w:rPr>
        <w:t xml:space="preserve"> (Aug. 2025)</w:t>
      </w:r>
      <w:bookmarkEnd w:id="2045"/>
    </w:p>
    <w:tbl>
      <w:tblPr>
        <w:tblW w:w="13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3080"/>
        <w:gridCol w:w="1666"/>
        <w:gridCol w:w="1621"/>
        <w:gridCol w:w="1249"/>
        <w:gridCol w:w="1249"/>
        <w:gridCol w:w="1249"/>
        <w:gridCol w:w="1249"/>
        <w:gridCol w:w="1249"/>
        <w:gridCol w:w="14"/>
      </w:tblGrid>
      <w:tr w:rsidR="00A01E00" w:rsidRPr="002B3F36" w14:paraId="6D641EB5" w14:textId="77777777" w:rsidTr="000E123E">
        <w:trPr>
          <w:trHeight w:val="300"/>
          <w:jc w:val="center"/>
        </w:trPr>
        <w:tc>
          <w:tcPr>
            <w:tcW w:w="9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B304CA"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Mark</w:t>
            </w:r>
          </w:p>
        </w:tc>
        <w:tc>
          <w:tcPr>
            <w:tcW w:w="3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BA189"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Location/Description</w:t>
            </w:r>
          </w:p>
        </w:tc>
        <w:tc>
          <w:tcPr>
            <w:tcW w:w="16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00CAAE" w14:textId="77777777" w:rsidR="00A01E00" w:rsidRPr="002B3F36" w:rsidRDefault="00A01E00" w:rsidP="000B5F75">
            <w:pPr>
              <w:spacing w:line="276" w:lineRule="auto"/>
              <w:jc w:val="center"/>
              <w:rPr>
                <w:rFonts w:ascii="Arial" w:eastAsia="Calibri" w:hAnsi="Arial" w:cs="Arial"/>
                <w:b/>
                <w:bCs/>
                <w:color w:val="FF0000"/>
                <w:kern w:val="2"/>
                <w:sz w:val="20"/>
                <w:szCs w:val="20"/>
                <w:lang w:val="en-PH" w:eastAsia="en-PH"/>
                <w14:ligatures w14:val="standardContextual"/>
              </w:rPr>
            </w:pPr>
            <w:r w:rsidRPr="002B3F36">
              <w:rPr>
                <w:rFonts w:ascii="Arial" w:eastAsia="Calibri" w:hAnsi="Arial" w:cs="Arial"/>
                <w:b/>
                <w:bCs/>
                <w:color w:val="FF0000"/>
                <w:kern w:val="2"/>
                <w:sz w:val="20"/>
                <w:szCs w:val="20"/>
                <w:lang w:val="en-PH" w:eastAsia="en-PH"/>
                <w14:ligatures w14:val="standardContextual"/>
              </w:rPr>
              <w:t>Latitude</w:t>
            </w:r>
          </w:p>
        </w:tc>
        <w:tc>
          <w:tcPr>
            <w:tcW w:w="162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6C3ABE" w14:textId="77777777" w:rsidR="00A01E00" w:rsidRPr="002B3F36" w:rsidRDefault="00A01E00" w:rsidP="000B5F75">
            <w:pPr>
              <w:spacing w:line="276" w:lineRule="auto"/>
              <w:jc w:val="center"/>
              <w:rPr>
                <w:rFonts w:ascii="Arial" w:eastAsia="Calibri" w:hAnsi="Arial" w:cs="Arial"/>
                <w:b/>
                <w:bCs/>
                <w:color w:val="0000CC"/>
                <w:kern w:val="2"/>
                <w:sz w:val="20"/>
                <w:szCs w:val="20"/>
                <w:lang w:val="en-PH" w:eastAsia="en-PH"/>
                <w14:ligatures w14:val="standardContextual"/>
              </w:rPr>
            </w:pPr>
            <w:r w:rsidRPr="002B3F36">
              <w:rPr>
                <w:rFonts w:ascii="Arial" w:eastAsia="Calibri" w:hAnsi="Arial" w:cs="Arial"/>
                <w:b/>
                <w:bCs/>
                <w:color w:val="0000CC"/>
                <w:kern w:val="2"/>
                <w:sz w:val="20"/>
                <w:szCs w:val="20"/>
                <w:lang w:val="en-PH" w:eastAsia="en-PH"/>
                <w14:ligatures w14:val="standardContextual"/>
              </w:rPr>
              <w:t>Longitude</w:t>
            </w:r>
          </w:p>
        </w:tc>
        <w:tc>
          <w:tcPr>
            <w:tcW w:w="62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167A72"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Parameters</w:t>
            </w:r>
          </w:p>
        </w:tc>
      </w:tr>
      <w:tr w:rsidR="00A01E00" w:rsidRPr="002B3F36" w14:paraId="1B305F9E" w14:textId="77777777" w:rsidTr="000E123E">
        <w:trPr>
          <w:gridAfter w:val="1"/>
          <w:wAfter w:w="14" w:type="dxa"/>
          <w:trHeight w:val="300"/>
          <w:jc w:val="center"/>
        </w:trPr>
        <w:tc>
          <w:tcPr>
            <w:tcW w:w="994" w:type="dxa"/>
            <w:vMerge/>
            <w:tcBorders>
              <w:top w:val="single" w:sz="4" w:space="0" w:color="auto"/>
              <w:left w:val="single" w:sz="4" w:space="0" w:color="auto"/>
              <w:bottom w:val="single" w:sz="4" w:space="0" w:color="auto"/>
              <w:right w:val="single" w:sz="4" w:space="0" w:color="auto"/>
            </w:tcBorders>
            <w:vAlign w:val="center"/>
            <w:hideMark/>
          </w:tcPr>
          <w:p w14:paraId="34FB07E8" w14:textId="77777777" w:rsidR="00A01E00" w:rsidRPr="002B3F36" w:rsidRDefault="00A01E00" w:rsidP="000B5F75">
            <w:pPr>
              <w:spacing w:line="276" w:lineRule="auto"/>
              <w:rPr>
                <w:rFonts w:ascii="Arial" w:eastAsia="Calibri" w:hAnsi="Arial" w:cs="Arial"/>
                <w:b/>
                <w:bCs/>
                <w:color w:val="000000"/>
                <w:kern w:val="2"/>
                <w:sz w:val="20"/>
                <w:szCs w:val="20"/>
                <w:lang w:val="en-PH" w:eastAsia="en-PH"/>
                <w14:ligatures w14:val="standardContextual"/>
              </w:rPr>
            </w:pPr>
          </w:p>
        </w:tc>
        <w:tc>
          <w:tcPr>
            <w:tcW w:w="3080" w:type="dxa"/>
            <w:vMerge/>
            <w:tcBorders>
              <w:top w:val="single" w:sz="4" w:space="0" w:color="auto"/>
              <w:left w:val="single" w:sz="4" w:space="0" w:color="auto"/>
              <w:bottom w:val="single" w:sz="4" w:space="0" w:color="auto"/>
              <w:right w:val="single" w:sz="4" w:space="0" w:color="auto"/>
            </w:tcBorders>
            <w:vAlign w:val="center"/>
            <w:hideMark/>
          </w:tcPr>
          <w:p w14:paraId="1D6B1664" w14:textId="77777777" w:rsidR="00A01E00" w:rsidRPr="002B3F36" w:rsidRDefault="00A01E00" w:rsidP="000B5F75">
            <w:pPr>
              <w:spacing w:line="276" w:lineRule="auto"/>
              <w:rPr>
                <w:rFonts w:ascii="Arial" w:eastAsia="Calibri" w:hAnsi="Arial" w:cs="Arial"/>
                <w:b/>
                <w:bCs/>
                <w:color w:val="000000"/>
                <w:kern w:val="2"/>
                <w:sz w:val="20"/>
                <w:szCs w:val="20"/>
                <w:lang w:val="en-PH" w:eastAsia="en-PH"/>
                <w14:ligatures w14:val="standardContextual"/>
              </w:rPr>
            </w:pPr>
          </w:p>
        </w:tc>
        <w:tc>
          <w:tcPr>
            <w:tcW w:w="1666" w:type="dxa"/>
            <w:vMerge/>
            <w:tcBorders>
              <w:top w:val="single" w:sz="4" w:space="0" w:color="auto"/>
              <w:left w:val="single" w:sz="4" w:space="0" w:color="auto"/>
              <w:bottom w:val="single" w:sz="4" w:space="0" w:color="auto"/>
              <w:right w:val="single" w:sz="4" w:space="0" w:color="auto"/>
            </w:tcBorders>
            <w:vAlign w:val="center"/>
            <w:hideMark/>
          </w:tcPr>
          <w:p w14:paraId="3046BC44" w14:textId="77777777" w:rsidR="00A01E00" w:rsidRPr="002B3F36" w:rsidRDefault="00A01E00" w:rsidP="000B5F75">
            <w:pPr>
              <w:spacing w:line="276" w:lineRule="auto"/>
              <w:rPr>
                <w:rFonts w:ascii="Arial" w:eastAsia="Calibri" w:hAnsi="Arial" w:cs="Arial"/>
                <w:b/>
                <w:bCs/>
                <w:color w:val="FF0000"/>
                <w:kern w:val="2"/>
                <w:sz w:val="20"/>
                <w:szCs w:val="20"/>
                <w:lang w:val="en-PH" w:eastAsia="en-PH"/>
                <w14:ligatures w14:val="standardContextual"/>
              </w:rPr>
            </w:pPr>
          </w:p>
        </w:tc>
        <w:tc>
          <w:tcPr>
            <w:tcW w:w="1621" w:type="dxa"/>
            <w:vMerge/>
            <w:tcBorders>
              <w:top w:val="single" w:sz="4" w:space="0" w:color="auto"/>
              <w:left w:val="single" w:sz="4" w:space="0" w:color="auto"/>
              <w:bottom w:val="single" w:sz="4" w:space="0" w:color="auto"/>
              <w:right w:val="single" w:sz="4" w:space="0" w:color="auto"/>
            </w:tcBorders>
            <w:vAlign w:val="center"/>
            <w:hideMark/>
          </w:tcPr>
          <w:p w14:paraId="24B1508D" w14:textId="77777777" w:rsidR="00A01E00" w:rsidRPr="002B3F36" w:rsidRDefault="00A01E00" w:rsidP="000B5F75">
            <w:pPr>
              <w:spacing w:line="276" w:lineRule="auto"/>
              <w:rPr>
                <w:rFonts w:ascii="Arial" w:eastAsia="Calibri" w:hAnsi="Arial" w:cs="Arial"/>
                <w:b/>
                <w:bCs/>
                <w:color w:val="0000CC"/>
                <w:kern w:val="2"/>
                <w:sz w:val="20"/>
                <w:szCs w:val="20"/>
                <w:lang w:val="en-PH" w:eastAsia="en-PH"/>
                <w14:ligatures w14:val="standardContextual"/>
              </w:rPr>
            </w:pP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BEE84"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TSP (Dust)</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AA07C1"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 xml:space="preserve"> CO</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F87417"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 xml:space="preserve"> СО2</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8A95A8"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NOx</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9C3F2D" w14:textId="77777777" w:rsidR="00A01E00" w:rsidRPr="002B3F36" w:rsidRDefault="00A01E00" w:rsidP="000B5F75">
            <w:pPr>
              <w:spacing w:line="276" w:lineRule="auto"/>
              <w:jc w:val="center"/>
              <w:rPr>
                <w:rFonts w:ascii="Arial" w:eastAsia="Calibri" w:hAnsi="Arial" w:cs="Arial"/>
                <w:b/>
                <w:bCs/>
                <w:color w:val="000000"/>
                <w:kern w:val="2"/>
                <w:sz w:val="20"/>
                <w:szCs w:val="20"/>
                <w:lang w:val="en-PH" w:eastAsia="en-PH"/>
                <w14:ligatures w14:val="standardContextual"/>
              </w:rPr>
            </w:pPr>
            <w:r w:rsidRPr="002B3F36">
              <w:rPr>
                <w:rFonts w:ascii="Arial" w:eastAsia="Calibri" w:hAnsi="Arial" w:cs="Arial"/>
                <w:b/>
                <w:bCs/>
                <w:color w:val="000000" w:themeColor="text1"/>
                <w:kern w:val="2"/>
                <w:sz w:val="20"/>
                <w:szCs w:val="20"/>
                <w:lang w:val="en-PH" w:eastAsia="en-PH"/>
                <w14:ligatures w14:val="standardContextual"/>
              </w:rPr>
              <w:t>SО2</w:t>
            </w:r>
          </w:p>
        </w:tc>
      </w:tr>
      <w:tr w:rsidR="00A01E00" w:rsidRPr="002B3F36" w14:paraId="2670BF78" w14:textId="77777777" w:rsidTr="000E123E">
        <w:trPr>
          <w:gridAfter w:val="1"/>
          <w:wAfter w:w="14" w:type="dxa"/>
          <w:trHeight w:val="564"/>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29D0E1B4" w14:textId="77777777" w:rsidR="00A01E00" w:rsidRPr="002B3F36" w:rsidRDefault="00A01E00" w:rsidP="000B5F75">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AQ (1)</w:t>
            </w:r>
          </w:p>
        </w:tc>
        <w:tc>
          <w:tcPr>
            <w:tcW w:w="3080" w:type="dxa"/>
            <w:tcBorders>
              <w:top w:val="single" w:sz="4" w:space="0" w:color="auto"/>
              <w:left w:val="single" w:sz="4" w:space="0" w:color="auto"/>
              <w:bottom w:val="single" w:sz="4" w:space="0" w:color="auto"/>
              <w:right w:val="single" w:sz="4" w:space="0" w:color="auto"/>
            </w:tcBorders>
            <w:vAlign w:val="center"/>
            <w:hideMark/>
          </w:tcPr>
          <w:p w14:paraId="4D6F7DCC" w14:textId="77777777" w:rsidR="00A01E00" w:rsidRPr="002B3F36" w:rsidRDefault="00A01E00" w:rsidP="000B5F75">
            <w:pPr>
              <w:spacing w:line="276" w:lineRule="auto"/>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The vicinity of the village of Mointy</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4939D8EB" w14:textId="77777777" w:rsidR="00A01E00" w:rsidRPr="002B3F36" w:rsidRDefault="00A01E00" w:rsidP="000B5F75">
            <w:pPr>
              <w:spacing w:line="276" w:lineRule="auto"/>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47°12′30.71″ N</w:t>
            </w:r>
          </w:p>
        </w:tc>
        <w:tc>
          <w:tcPr>
            <w:tcW w:w="1621" w:type="dxa"/>
            <w:tcBorders>
              <w:top w:val="single" w:sz="4" w:space="0" w:color="auto"/>
              <w:left w:val="single" w:sz="4" w:space="0" w:color="auto"/>
              <w:bottom w:val="single" w:sz="4" w:space="0" w:color="auto"/>
              <w:right w:val="single" w:sz="4" w:space="0" w:color="auto"/>
            </w:tcBorders>
            <w:noWrap/>
            <w:vAlign w:val="center"/>
            <w:hideMark/>
          </w:tcPr>
          <w:p w14:paraId="4B439918" w14:textId="77777777" w:rsidR="00A01E00" w:rsidRPr="002B3F36" w:rsidRDefault="00A01E00" w:rsidP="000B5F75">
            <w:pPr>
              <w:spacing w:line="276" w:lineRule="auto"/>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73°21′06.47″ E</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7B5512DE" w14:textId="77777777" w:rsidR="00A01E00" w:rsidRPr="002B3F36" w:rsidRDefault="00A01E00" w:rsidP="000B5F75">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0.03</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09C1D719" w14:textId="77777777" w:rsidR="00A01E00" w:rsidRPr="002B3F36" w:rsidRDefault="00A01E00" w:rsidP="000B5F75">
            <w:pPr>
              <w:spacing w:line="276" w:lineRule="auto"/>
              <w:jc w:val="center"/>
              <w:rPr>
                <w:rStyle w:val="fontstyle01"/>
                <w:rFonts w:ascii="Arial" w:hAnsi="Arial" w:cs="Arial"/>
                <w:sz w:val="20"/>
                <w:szCs w:val="20"/>
              </w:rPr>
            </w:pPr>
            <w:r w:rsidRPr="002B3F36">
              <w:rPr>
                <w:rStyle w:val="fontstyle01"/>
                <w:rFonts w:ascii="Arial" w:eastAsia="Calibri" w:hAnsi="Arial" w:cs="Arial"/>
                <w:kern w:val="2"/>
                <w:sz w:val="20"/>
                <w:szCs w:val="20"/>
                <w14:ligatures w14:val="standardContextual"/>
              </w:rPr>
              <w:t>2.2</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6C6584B7"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0.09</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0DA147E3"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0.0016</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7F4F760D"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&lt;0.001</w:t>
            </w:r>
          </w:p>
        </w:tc>
      </w:tr>
      <w:tr w:rsidR="00A01E00" w:rsidRPr="002B3F36" w14:paraId="208F1D80" w14:textId="77777777" w:rsidTr="000E123E">
        <w:trPr>
          <w:gridAfter w:val="1"/>
          <w:wAfter w:w="14" w:type="dxa"/>
          <w:trHeight w:val="476"/>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4E6E240D" w14:textId="77777777" w:rsidR="00A01E00" w:rsidRPr="002B3F36" w:rsidRDefault="00A01E00" w:rsidP="000B5F75">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AQ (2)</w:t>
            </w:r>
          </w:p>
        </w:tc>
        <w:tc>
          <w:tcPr>
            <w:tcW w:w="3080" w:type="dxa"/>
            <w:tcBorders>
              <w:top w:val="single" w:sz="4" w:space="0" w:color="auto"/>
              <w:left w:val="single" w:sz="4" w:space="0" w:color="auto"/>
              <w:bottom w:val="single" w:sz="4" w:space="0" w:color="auto"/>
              <w:right w:val="single" w:sz="4" w:space="0" w:color="auto"/>
            </w:tcBorders>
            <w:vAlign w:val="center"/>
            <w:hideMark/>
          </w:tcPr>
          <w:p w14:paraId="7269EF2C" w14:textId="77777777" w:rsidR="00A01E00" w:rsidRPr="002B3F36" w:rsidRDefault="00A01E00" w:rsidP="000B5F75">
            <w:pPr>
              <w:spacing w:line="276" w:lineRule="auto"/>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The vicinity of the village of Aktau</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65094CC4" w14:textId="77777777" w:rsidR="00A01E00" w:rsidRPr="002B3F36" w:rsidRDefault="00A01E00" w:rsidP="000B5F75">
            <w:pPr>
              <w:spacing w:line="276" w:lineRule="auto"/>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47°44′08.94″ N</w:t>
            </w:r>
          </w:p>
        </w:tc>
        <w:tc>
          <w:tcPr>
            <w:tcW w:w="1621" w:type="dxa"/>
            <w:tcBorders>
              <w:top w:val="single" w:sz="4" w:space="0" w:color="auto"/>
              <w:left w:val="single" w:sz="4" w:space="0" w:color="auto"/>
              <w:bottom w:val="single" w:sz="4" w:space="0" w:color="auto"/>
              <w:right w:val="single" w:sz="4" w:space="0" w:color="auto"/>
            </w:tcBorders>
            <w:noWrap/>
            <w:vAlign w:val="center"/>
            <w:hideMark/>
          </w:tcPr>
          <w:p w14:paraId="30D2D6B1" w14:textId="77777777" w:rsidR="00A01E00" w:rsidRPr="002B3F36" w:rsidRDefault="00A01E00" w:rsidP="000B5F75">
            <w:pPr>
              <w:spacing w:line="276" w:lineRule="auto"/>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71°26′32.26″ E</w:t>
            </w:r>
          </w:p>
        </w:tc>
        <w:tc>
          <w:tcPr>
            <w:tcW w:w="1249" w:type="dxa"/>
            <w:tcBorders>
              <w:top w:val="single" w:sz="4" w:space="0" w:color="auto"/>
              <w:left w:val="single" w:sz="4" w:space="0" w:color="auto"/>
              <w:bottom w:val="single" w:sz="4" w:space="0" w:color="auto"/>
              <w:right w:val="single" w:sz="4" w:space="0" w:color="auto"/>
            </w:tcBorders>
            <w:noWrap/>
            <w:hideMark/>
          </w:tcPr>
          <w:p w14:paraId="238315D3" w14:textId="77777777" w:rsidR="00A01E00" w:rsidRPr="002B3F36" w:rsidRDefault="00A01E00" w:rsidP="000B5F75">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0.05</w:t>
            </w:r>
          </w:p>
        </w:tc>
        <w:tc>
          <w:tcPr>
            <w:tcW w:w="1249" w:type="dxa"/>
            <w:tcBorders>
              <w:top w:val="single" w:sz="4" w:space="0" w:color="auto"/>
              <w:left w:val="single" w:sz="4" w:space="0" w:color="auto"/>
              <w:bottom w:val="single" w:sz="4" w:space="0" w:color="auto"/>
              <w:right w:val="single" w:sz="4" w:space="0" w:color="auto"/>
            </w:tcBorders>
            <w:noWrap/>
            <w:hideMark/>
          </w:tcPr>
          <w:p w14:paraId="76E90B1A" w14:textId="77777777" w:rsidR="00A01E00" w:rsidRPr="002B3F36" w:rsidRDefault="00A01E00" w:rsidP="000B5F75">
            <w:pPr>
              <w:spacing w:line="276" w:lineRule="auto"/>
              <w:jc w:val="center"/>
              <w:rPr>
                <w:rStyle w:val="fontstyle01"/>
                <w:rFonts w:ascii="Arial" w:hAnsi="Arial" w:cs="Arial"/>
                <w:sz w:val="20"/>
                <w:szCs w:val="20"/>
              </w:rPr>
            </w:pPr>
            <w:r w:rsidRPr="002B3F36">
              <w:rPr>
                <w:rStyle w:val="fontstyle01"/>
                <w:rFonts w:ascii="Arial" w:eastAsia="Calibri" w:hAnsi="Arial" w:cs="Arial"/>
                <w:kern w:val="2"/>
                <w:sz w:val="20"/>
                <w:szCs w:val="20"/>
                <w14:ligatures w14:val="standardContextual"/>
              </w:rPr>
              <w:t>1.1</w:t>
            </w:r>
          </w:p>
        </w:tc>
        <w:tc>
          <w:tcPr>
            <w:tcW w:w="1249" w:type="dxa"/>
            <w:tcBorders>
              <w:top w:val="single" w:sz="4" w:space="0" w:color="auto"/>
              <w:left w:val="single" w:sz="4" w:space="0" w:color="auto"/>
              <w:bottom w:val="single" w:sz="4" w:space="0" w:color="auto"/>
              <w:right w:val="single" w:sz="4" w:space="0" w:color="auto"/>
            </w:tcBorders>
            <w:noWrap/>
            <w:hideMark/>
          </w:tcPr>
          <w:p w14:paraId="655BE146"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0.12</w:t>
            </w:r>
          </w:p>
        </w:tc>
        <w:tc>
          <w:tcPr>
            <w:tcW w:w="1249" w:type="dxa"/>
            <w:tcBorders>
              <w:top w:val="single" w:sz="4" w:space="0" w:color="auto"/>
              <w:left w:val="single" w:sz="4" w:space="0" w:color="auto"/>
              <w:bottom w:val="single" w:sz="4" w:space="0" w:color="auto"/>
              <w:right w:val="single" w:sz="4" w:space="0" w:color="auto"/>
            </w:tcBorders>
            <w:noWrap/>
            <w:hideMark/>
          </w:tcPr>
          <w:p w14:paraId="10DE2BF3"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0.0232</w:t>
            </w:r>
          </w:p>
        </w:tc>
        <w:tc>
          <w:tcPr>
            <w:tcW w:w="1249" w:type="dxa"/>
            <w:tcBorders>
              <w:top w:val="single" w:sz="4" w:space="0" w:color="auto"/>
              <w:left w:val="single" w:sz="4" w:space="0" w:color="auto"/>
              <w:bottom w:val="single" w:sz="4" w:space="0" w:color="auto"/>
              <w:right w:val="single" w:sz="4" w:space="0" w:color="auto"/>
            </w:tcBorders>
            <w:noWrap/>
            <w:hideMark/>
          </w:tcPr>
          <w:p w14:paraId="3648C3DF"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&lt;0.001</w:t>
            </w:r>
          </w:p>
        </w:tc>
      </w:tr>
      <w:tr w:rsidR="00A01E00" w:rsidRPr="002B3F36" w14:paraId="4CA22B42" w14:textId="77777777" w:rsidTr="000E123E">
        <w:trPr>
          <w:gridAfter w:val="1"/>
          <w:wAfter w:w="14" w:type="dxa"/>
          <w:trHeight w:val="840"/>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2D6B8906" w14:textId="77777777" w:rsidR="00A01E00" w:rsidRPr="002B3F36" w:rsidRDefault="00A01E00" w:rsidP="000B5F75">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AQ (3)</w:t>
            </w:r>
          </w:p>
        </w:tc>
        <w:tc>
          <w:tcPr>
            <w:tcW w:w="3080" w:type="dxa"/>
            <w:tcBorders>
              <w:top w:val="single" w:sz="4" w:space="0" w:color="auto"/>
              <w:left w:val="single" w:sz="4" w:space="0" w:color="auto"/>
              <w:bottom w:val="single" w:sz="4" w:space="0" w:color="auto"/>
              <w:right w:val="single" w:sz="4" w:space="0" w:color="auto"/>
            </w:tcBorders>
            <w:vAlign w:val="center"/>
            <w:hideMark/>
          </w:tcPr>
          <w:p w14:paraId="117476A3" w14:textId="77777777" w:rsidR="00A01E00" w:rsidRPr="002B3F36" w:rsidRDefault="00A01E00" w:rsidP="000B5F75">
            <w:pPr>
              <w:spacing w:line="276" w:lineRule="auto"/>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The vicinity of the village of Karazhal</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3BF7FB52" w14:textId="77777777" w:rsidR="00A01E00" w:rsidRPr="002B3F36" w:rsidRDefault="00A01E00" w:rsidP="000B5F75">
            <w:pPr>
              <w:spacing w:line="276" w:lineRule="auto"/>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47°59′47.66″ N</w:t>
            </w:r>
          </w:p>
        </w:tc>
        <w:tc>
          <w:tcPr>
            <w:tcW w:w="1621" w:type="dxa"/>
            <w:tcBorders>
              <w:top w:val="single" w:sz="4" w:space="0" w:color="auto"/>
              <w:left w:val="single" w:sz="4" w:space="0" w:color="auto"/>
              <w:bottom w:val="single" w:sz="4" w:space="0" w:color="auto"/>
              <w:right w:val="single" w:sz="4" w:space="0" w:color="auto"/>
            </w:tcBorders>
            <w:noWrap/>
            <w:hideMark/>
          </w:tcPr>
          <w:p w14:paraId="337143CB" w14:textId="77777777" w:rsidR="00A01E00" w:rsidRPr="002B3F36" w:rsidRDefault="00A01E00" w:rsidP="000B5F75">
            <w:pPr>
              <w:spacing w:line="276" w:lineRule="auto"/>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70°46′25.15″ E</w:t>
            </w:r>
          </w:p>
        </w:tc>
        <w:tc>
          <w:tcPr>
            <w:tcW w:w="1249" w:type="dxa"/>
            <w:tcBorders>
              <w:top w:val="single" w:sz="4" w:space="0" w:color="auto"/>
              <w:left w:val="single" w:sz="4" w:space="0" w:color="auto"/>
              <w:bottom w:val="single" w:sz="4" w:space="0" w:color="auto"/>
              <w:right w:val="single" w:sz="4" w:space="0" w:color="auto"/>
            </w:tcBorders>
            <w:noWrap/>
            <w:hideMark/>
          </w:tcPr>
          <w:p w14:paraId="1B4295C5" w14:textId="77777777" w:rsidR="00A01E00" w:rsidRPr="002B3F36" w:rsidRDefault="00A01E00" w:rsidP="000B5F75">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0.02</w:t>
            </w:r>
          </w:p>
        </w:tc>
        <w:tc>
          <w:tcPr>
            <w:tcW w:w="1249" w:type="dxa"/>
            <w:tcBorders>
              <w:top w:val="single" w:sz="4" w:space="0" w:color="auto"/>
              <w:left w:val="single" w:sz="4" w:space="0" w:color="auto"/>
              <w:bottom w:val="single" w:sz="4" w:space="0" w:color="auto"/>
              <w:right w:val="single" w:sz="4" w:space="0" w:color="auto"/>
            </w:tcBorders>
            <w:noWrap/>
            <w:hideMark/>
          </w:tcPr>
          <w:p w14:paraId="647863EE" w14:textId="77777777" w:rsidR="00A01E00" w:rsidRPr="002B3F36" w:rsidRDefault="00A01E00" w:rsidP="000B5F75">
            <w:pPr>
              <w:spacing w:line="276" w:lineRule="auto"/>
              <w:jc w:val="center"/>
              <w:rPr>
                <w:rStyle w:val="fontstyle01"/>
                <w:rFonts w:ascii="Arial" w:hAnsi="Arial" w:cs="Arial"/>
                <w:sz w:val="20"/>
                <w:szCs w:val="20"/>
              </w:rPr>
            </w:pPr>
            <w:r w:rsidRPr="002B3F36">
              <w:rPr>
                <w:rStyle w:val="fontstyle01"/>
                <w:rFonts w:ascii="Arial" w:eastAsia="Calibri" w:hAnsi="Arial" w:cs="Arial"/>
                <w:kern w:val="2"/>
                <w:sz w:val="20"/>
                <w:szCs w:val="20"/>
                <w14:ligatures w14:val="standardContextual"/>
              </w:rPr>
              <w:t>1.0</w:t>
            </w:r>
          </w:p>
        </w:tc>
        <w:tc>
          <w:tcPr>
            <w:tcW w:w="1249" w:type="dxa"/>
            <w:tcBorders>
              <w:top w:val="single" w:sz="4" w:space="0" w:color="auto"/>
              <w:left w:val="single" w:sz="4" w:space="0" w:color="auto"/>
              <w:bottom w:val="single" w:sz="4" w:space="0" w:color="auto"/>
              <w:right w:val="single" w:sz="4" w:space="0" w:color="auto"/>
            </w:tcBorders>
            <w:noWrap/>
            <w:hideMark/>
          </w:tcPr>
          <w:p w14:paraId="799E9898"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0.27</w:t>
            </w:r>
          </w:p>
        </w:tc>
        <w:tc>
          <w:tcPr>
            <w:tcW w:w="1249" w:type="dxa"/>
            <w:tcBorders>
              <w:top w:val="single" w:sz="4" w:space="0" w:color="auto"/>
              <w:left w:val="single" w:sz="4" w:space="0" w:color="auto"/>
              <w:bottom w:val="single" w:sz="4" w:space="0" w:color="auto"/>
              <w:right w:val="single" w:sz="4" w:space="0" w:color="auto"/>
            </w:tcBorders>
            <w:noWrap/>
            <w:hideMark/>
          </w:tcPr>
          <w:p w14:paraId="5450F814"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0.039</w:t>
            </w:r>
          </w:p>
        </w:tc>
        <w:tc>
          <w:tcPr>
            <w:tcW w:w="1249" w:type="dxa"/>
            <w:tcBorders>
              <w:top w:val="single" w:sz="4" w:space="0" w:color="auto"/>
              <w:left w:val="single" w:sz="4" w:space="0" w:color="auto"/>
              <w:bottom w:val="single" w:sz="4" w:space="0" w:color="auto"/>
              <w:right w:val="single" w:sz="4" w:space="0" w:color="auto"/>
            </w:tcBorders>
            <w:noWrap/>
            <w:hideMark/>
          </w:tcPr>
          <w:p w14:paraId="4149F0A8"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&lt;0.001</w:t>
            </w:r>
          </w:p>
        </w:tc>
      </w:tr>
      <w:tr w:rsidR="00A01E00" w:rsidRPr="002B3F36" w14:paraId="0692955A" w14:textId="77777777" w:rsidTr="000E123E">
        <w:trPr>
          <w:gridAfter w:val="1"/>
          <w:wAfter w:w="14" w:type="dxa"/>
          <w:trHeight w:val="300"/>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04624EBC" w14:textId="77777777" w:rsidR="00A01E00" w:rsidRPr="002B3F36" w:rsidRDefault="00A01E00" w:rsidP="000B5F75">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AQ (4)</w:t>
            </w:r>
          </w:p>
        </w:tc>
        <w:tc>
          <w:tcPr>
            <w:tcW w:w="3080" w:type="dxa"/>
            <w:tcBorders>
              <w:top w:val="single" w:sz="4" w:space="0" w:color="auto"/>
              <w:left w:val="single" w:sz="4" w:space="0" w:color="auto"/>
              <w:bottom w:val="single" w:sz="4" w:space="0" w:color="auto"/>
              <w:right w:val="single" w:sz="4" w:space="0" w:color="auto"/>
            </w:tcBorders>
            <w:vAlign w:val="center"/>
            <w:hideMark/>
          </w:tcPr>
          <w:p w14:paraId="4A7327E9" w14:textId="77777777" w:rsidR="00A01E00" w:rsidRPr="002B3F36" w:rsidRDefault="00A01E00" w:rsidP="000B5F75">
            <w:pPr>
              <w:spacing w:line="276" w:lineRule="auto"/>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The vicinity of the village of Kyzylzhar</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3ECEF687" w14:textId="77777777" w:rsidR="00A01E00" w:rsidRPr="002B3F36" w:rsidRDefault="00A01E00" w:rsidP="000B5F75">
            <w:pPr>
              <w:spacing w:line="276" w:lineRule="auto"/>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48°17′50.57″ N</w:t>
            </w:r>
          </w:p>
        </w:tc>
        <w:tc>
          <w:tcPr>
            <w:tcW w:w="1621" w:type="dxa"/>
            <w:tcBorders>
              <w:top w:val="single" w:sz="4" w:space="0" w:color="auto"/>
              <w:left w:val="single" w:sz="4" w:space="0" w:color="auto"/>
              <w:bottom w:val="single" w:sz="4" w:space="0" w:color="auto"/>
              <w:right w:val="single" w:sz="4" w:space="0" w:color="auto"/>
            </w:tcBorders>
            <w:noWrap/>
            <w:hideMark/>
          </w:tcPr>
          <w:p w14:paraId="24D46D90" w14:textId="77777777" w:rsidR="00A01E00" w:rsidRPr="002B3F36" w:rsidRDefault="00A01E00" w:rsidP="000B5F75">
            <w:pPr>
              <w:spacing w:line="276" w:lineRule="auto"/>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69°39′07.45″ E</w:t>
            </w:r>
          </w:p>
        </w:tc>
        <w:tc>
          <w:tcPr>
            <w:tcW w:w="1249" w:type="dxa"/>
            <w:tcBorders>
              <w:top w:val="single" w:sz="4" w:space="0" w:color="auto"/>
              <w:left w:val="single" w:sz="4" w:space="0" w:color="auto"/>
              <w:bottom w:val="single" w:sz="4" w:space="0" w:color="auto"/>
              <w:right w:val="single" w:sz="4" w:space="0" w:color="auto"/>
            </w:tcBorders>
            <w:noWrap/>
            <w:hideMark/>
          </w:tcPr>
          <w:p w14:paraId="047C02F6" w14:textId="77777777" w:rsidR="00A01E00" w:rsidRPr="002B3F36" w:rsidRDefault="00A01E00" w:rsidP="000B5F75">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0.03</w:t>
            </w:r>
          </w:p>
        </w:tc>
        <w:tc>
          <w:tcPr>
            <w:tcW w:w="1249" w:type="dxa"/>
            <w:tcBorders>
              <w:top w:val="single" w:sz="4" w:space="0" w:color="auto"/>
              <w:left w:val="single" w:sz="4" w:space="0" w:color="auto"/>
              <w:bottom w:val="single" w:sz="4" w:space="0" w:color="auto"/>
              <w:right w:val="single" w:sz="4" w:space="0" w:color="auto"/>
            </w:tcBorders>
            <w:noWrap/>
            <w:hideMark/>
          </w:tcPr>
          <w:p w14:paraId="248A3C16" w14:textId="77777777" w:rsidR="00A01E00" w:rsidRPr="002B3F36" w:rsidRDefault="00A01E00" w:rsidP="000B5F75">
            <w:pPr>
              <w:spacing w:line="276" w:lineRule="auto"/>
              <w:jc w:val="center"/>
              <w:rPr>
                <w:rStyle w:val="fontstyle01"/>
                <w:rFonts w:ascii="Arial" w:hAnsi="Arial" w:cs="Arial"/>
                <w:sz w:val="20"/>
                <w:szCs w:val="20"/>
              </w:rPr>
            </w:pPr>
            <w:r w:rsidRPr="002B3F36">
              <w:rPr>
                <w:rStyle w:val="fontstyle01"/>
                <w:rFonts w:ascii="Arial" w:eastAsia="Calibri" w:hAnsi="Arial" w:cs="Arial"/>
                <w:kern w:val="2"/>
                <w:sz w:val="20"/>
                <w:szCs w:val="20"/>
                <w14:ligatures w14:val="standardContextual"/>
              </w:rPr>
              <w:t>1.5</w:t>
            </w:r>
          </w:p>
        </w:tc>
        <w:tc>
          <w:tcPr>
            <w:tcW w:w="1249" w:type="dxa"/>
            <w:tcBorders>
              <w:top w:val="single" w:sz="4" w:space="0" w:color="auto"/>
              <w:left w:val="single" w:sz="4" w:space="0" w:color="auto"/>
              <w:bottom w:val="single" w:sz="4" w:space="0" w:color="auto"/>
              <w:right w:val="single" w:sz="4" w:space="0" w:color="auto"/>
            </w:tcBorders>
            <w:noWrap/>
            <w:hideMark/>
          </w:tcPr>
          <w:p w14:paraId="662FCB9E"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0.21</w:t>
            </w:r>
          </w:p>
        </w:tc>
        <w:tc>
          <w:tcPr>
            <w:tcW w:w="1249" w:type="dxa"/>
            <w:tcBorders>
              <w:top w:val="single" w:sz="4" w:space="0" w:color="auto"/>
              <w:left w:val="single" w:sz="4" w:space="0" w:color="auto"/>
              <w:bottom w:val="single" w:sz="4" w:space="0" w:color="auto"/>
              <w:right w:val="single" w:sz="4" w:space="0" w:color="auto"/>
            </w:tcBorders>
            <w:noWrap/>
            <w:hideMark/>
          </w:tcPr>
          <w:p w14:paraId="52A34C02"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0.084</w:t>
            </w:r>
          </w:p>
        </w:tc>
        <w:tc>
          <w:tcPr>
            <w:tcW w:w="1249" w:type="dxa"/>
            <w:tcBorders>
              <w:top w:val="single" w:sz="4" w:space="0" w:color="auto"/>
              <w:left w:val="single" w:sz="4" w:space="0" w:color="auto"/>
              <w:bottom w:val="single" w:sz="4" w:space="0" w:color="auto"/>
              <w:right w:val="single" w:sz="4" w:space="0" w:color="auto"/>
            </w:tcBorders>
            <w:noWrap/>
            <w:hideMark/>
          </w:tcPr>
          <w:p w14:paraId="5DA7B9DF"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0.01</w:t>
            </w:r>
          </w:p>
        </w:tc>
      </w:tr>
      <w:tr w:rsidR="00A01E00" w:rsidRPr="002B3F36" w14:paraId="7A6DCC80" w14:textId="77777777" w:rsidTr="000E123E">
        <w:trPr>
          <w:gridAfter w:val="1"/>
          <w:wAfter w:w="14" w:type="dxa"/>
          <w:trHeight w:val="300"/>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40786268" w14:textId="77777777" w:rsidR="00A01E00" w:rsidRPr="002B3F36" w:rsidRDefault="00A01E00" w:rsidP="000B5F75">
            <w:pPr>
              <w:spacing w:line="276" w:lineRule="auto"/>
              <w:jc w:val="center"/>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AQ (5)</w:t>
            </w:r>
          </w:p>
        </w:tc>
        <w:tc>
          <w:tcPr>
            <w:tcW w:w="3080" w:type="dxa"/>
            <w:tcBorders>
              <w:top w:val="single" w:sz="4" w:space="0" w:color="auto"/>
              <w:left w:val="single" w:sz="4" w:space="0" w:color="auto"/>
              <w:bottom w:val="single" w:sz="4" w:space="0" w:color="auto"/>
              <w:right w:val="single" w:sz="4" w:space="0" w:color="auto"/>
            </w:tcBorders>
            <w:vAlign w:val="center"/>
            <w:hideMark/>
          </w:tcPr>
          <w:p w14:paraId="6563F8E9" w14:textId="77777777" w:rsidR="00A01E00" w:rsidRPr="002B3F36" w:rsidRDefault="00A01E00" w:rsidP="000B5F75">
            <w:pPr>
              <w:spacing w:line="276" w:lineRule="auto"/>
              <w:rPr>
                <w:rFonts w:ascii="Arial" w:eastAsia="Calibri" w:hAnsi="Arial" w:cs="Arial"/>
                <w:color w:val="000000"/>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Background monitoring point</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4750E746" w14:textId="77777777" w:rsidR="00A01E00" w:rsidRPr="002B3F36" w:rsidRDefault="00A01E00" w:rsidP="000B5F75">
            <w:pPr>
              <w:spacing w:line="276" w:lineRule="auto"/>
              <w:rPr>
                <w:rFonts w:ascii="Arial" w:eastAsia="Calibri" w:hAnsi="Arial" w:cs="Arial"/>
                <w:color w:val="FF0000"/>
                <w:kern w:val="2"/>
                <w:sz w:val="20"/>
                <w:szCs w:val="20"/>
                <w:lang w:val="en-PH" w:eastAsia="en-PH"/>
                <w14:ligatures w14:val="standardContextual"/>
              </w:rPr>
            </w:pPr>
            <w:r w:rsidRPr="002B3F36">
              <w:rPr>
                <w:rFonts w:ascii="Arial" w:eastAsia="Calibri" w:hAnsi="Arial" w:cs="Arial"/>
                <w:color w:val="FF0000"/>
                <w:kern w:val="2"/>
                <w:sz w:val="20"/>
                <w:szCs w:val="20"/>
                <w:lang w:val="en-PH" w:eastAsia="en-PH"/>
                <w14:ligatures w14:val="standardContextual"/>
              </w:rPr>
              <w:t>48°14′48.65″ N</w:t>
            </w:r>
          </w:p>
        </w:tc>
        <w:tc>
          <w:tcPr>
            <w:tcW w:w="1621" w:type="dxa"/>
            <w:tcBorders>
              <w:top w:val="single" w:sz="4" w:space="0" w:color="auto"/>
              <w:left w:val="single" w:sz="4" w:space="0" w:color="auto"/>
              <w:bottom w:val="single" w:sz="4" w:space="0" w:color="auto"/>
              <w:right w:val="single" w:sz="4" w:space="0" w:color="auto"/>
            </w:tcBorders>
            <w:noWrap/>
            <w:hideMark/>
          </w:tcPr>
          <w:p w14:paraId="05C5401A" w14:textId="77777777" w:rsidR="00A01E00" w:rsidRPr="002B3F36" w:rsidRDefault="00A01E00" w:rsidP="000B5F75">
            <w:pPr>
              <w:spacing w:line="276" w:lineRule="auto"/>
              <w:rPr>
                <w:rFonts w:ascii="Arial" w:eastAsia="Calibri" w:hAnsi="Arial" w:cs="Arial"/>
                <w:color w:val="0000CC"/>
                <w:kern w:val="2"/>
                <w:sz w:val="20"/>
                <w:szCs w:val="20"/>
                <w:lang w:val="en-PH" w:eastAsia="en-PH"/>
                <w14:ligatures w14:val="standardContextual"/>
              </w:rPr>
            </w:pPr>
            <w:r w:rsidRPr="002B3F36">
              <w:rPr>
                <w:rFonts w:ascii="Arial" w:eastAsia="Calibri" w:hAnsi="Arial" w:cs="Arial"/>
                <w:color w:val="0000CC"/>
                <w:kern w:val="2"/>
                <w:sz w:val="20"/>
                <w:szCs w:val="20"/>
                <w:lang w:val="en-PH" w:eastAsia="en-PH"/>
                <w14:ligatures w14:val="standardContextual"/>
              </w:rPr>
              <w:t>70°22′30.73″ E</w:t>
            </w:r>
          </w:p>
        </w:tc>
        <w:tc>
          <w:tcPr>
            <w:tcW w:w="1249" w:type="dxa"/>
            <w:tcBorders>
              <w:top w:val="single" w:sz="4" w:space="0" w:color="auto"/>
              <w:left w:val="single" w:sz="4" w:space="0" w:color="auto"/>
              <w:bottom w:val="single" w:sz="4" w:space="0" w:color="auto"/>
              <w:right w:val="single" w:sz="4" w:space="0" w:color="auto"/>
            </w:tcBorders>
            <w:noWrap/>
            <w:hideMark/>
          </w:tcPr>
          <w:p w14:paraId="7B38C67C" w14:textId="77777777" w:rsidR="00A01E00" w:rsidRPr="002B3F36" w:rsidRDefault="00A01E00" w:rsidP="000B5F75">
            <w:pPr>
              <w:spacing w:line="276" w:lineRule="auto"/>
              <w:jc w:val="center"/>
              <w:rPr>
                <w:rFonts w:ascii="Arial" w:eastAsia="Calibri" w:hAnsi="Arial" w:cs="Arial"/>
                <w:color w:val="000000" w:themeColor="text1"/>
                <w:kern w:val="2"/>
                <w:sz w:val="20"/>
                <w:szCs w:val="20"/>
                <w:lang w:val="en-PH" w:eastAsia="en-PH"/>
                <w14:ligatures w14:val="standardContextual"/>
              </w:rPr>
            </w:pPr>
            <w:r w:rsidRPr="002B3F36">
              <w:rPr>
                <w:rFonts w:ascii="Arial" w:eastAsia="Calibri" w:hAnsi="Arial" w:cs="Arial"/>
                <w:color w:val="000000" w:themeColor="text1"/>
                <w:kern w:val="2"/>
                <w:sz w:val="20"/>
                <w:szCs w:val="20"/>
                <w:lang w:val="en-PH" w:eastAsia="en-PH"/>
                <w14:ligatures w14:val="standardContextual"/>
              </w:rPr>
              <w:t>0.02</w:t>
            </w:r>
          </w:p>
        </w:tc>
        <w:tc>
          <w:tcPr>
            <w:tcW w:w="1249" w:type="dxa"/>
            <w:tcBorders>
              <w:top w:val="single" w:sz="4" w:space="0" w:color="auto"/>
              <w:left w:val="single" w:sz="4" w:space="0" w:color="auto"/>
              <w:bottom w:val="single" w:sz="4" w:space="0" w:color="auto"/>
              <w:right w:val="single" w:sz="4" w:space="0" w:color="auto"/>
            </w:tcBorders>
            <w:noWrap/>
            <w:hideMark/>
          </w:tcPr>
          <w:p w14:paraId="4C238738" w14:textId="77777777" w:rsidR="00A01E00" w:rsidRPr="002B3F36" w:rsidRDefault="00A01E00" w:rsidP="000B5F75">
            <w:pPr>
              <w:spacing w:line="276" w:lineRule="auto"/>
              <w:jc w:val="center"/>
              <w:rPr>
                <w:rStyle w:val="fontstyle01"/>
                <w:rFonts w:ascii="Arial" w:hAnsi="Arial" w:cs="Arial"/>
                <w:sz w:val="20"/>
                <w:szCs w:val="20"/>
              </w:rPr>
            </w:pPr>
            <w:r w:rsidRPr="002B3F36">
              <w:rPr>
                <w:rStyle w:val="fontstyle01"/>
                <w:rFonts w:ascii="Arial" w:eastAsia="Calibri" w:hAnsi="Arial" w:cs="Arial"/>
                <w:kern w:val="2"/>
                <w:sz w:val="20"/>
                <w:szCs w:val="20"/>
                <w14:ligatures w14:val="standardContextual"/>
              </w:rPr>
              <w:t>0.8</w:t>
            </w:r>
          </w:p>
        </w:tc>
        <w:tc>
          <w:tcPr>
            <w:tcW w:w="1249" w:type="dxa"/>
            <w:tcBorders>
              <w:top w:val="single" w:sz="4" w:space="0" w:color="auto"/>
              <w:left w:val="single" w:sz="4" w:space="0" w:color="auto"/>
              <w:bottom w:val="single" w:sz="4" w:space="0" w:color="auto"/>
              <w:right w:val="single" w:sz="4" w:space="0" w:color="auto"/>
            </w:tcBorders>
            <w:noWrap/>
            <w:hideMark/>
          </w:tcPr>
          <w:p w14:paraId="0A075912"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0.07</w:t>
            </w:r>
          </w:p>
        </w:tc>
        <w:tc>
          <w:tcPr>
            <w:tcW w:w="1249" w:type="dxa"/>
            <w:tcBorders>
              <w:top w:val="single" w:sz="4" w:space="0" w:color="auto"/>
              <w:left w:val="single" w:sz="4" w:space="0" w:color="auto"/>
              <w:bottom w:val="single" w:sz="4" w:space="0" w:color="auto"/>
              <w:right w:val="single" w:sz="4" w:space="0" w:color="auto"/>
            </w:tcBorders>
            <w:noWrap/>
            <w:hideMark/>
          </w:tcPr>
          <w:p w14:paraId="56F0C654"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0.0014</w:t>
            </w:r>
          </w:p>
        </w:tc>
        <w:tc>
          <w:tcPr>
            <w:tcW w:w="1249" w:type="dxa"/>
            <w:tcBorders>
              <w:top w:val="single" w:sz="4" w:space="0" w:color="auto"/>
              <w:left w:val="single" w:sz="4" w:space="0" w:color="auto"/>
              <w:bottom w:val="single" w:sz="4" w:space="0" w:color="auto"/>
              <w:right w:val="single" w:sz="4" w:space="0" w:color="auto"/>
            </w:tcBorders>
            <w:noWrap/>
            <w:hideMark/>
          </w:tcPr>
          <w:p w14:paraId="6DF56698" w14:textId="77777777" w:rsidR="00A01E00" w:rsidRPr="002B3F36" w:rsidRDefault="00A01E00" w:rsidP="000B5F75">
            <w:pPr>
              <w:spacing w:line="276" w:lineRule="auto"/>
              <w:jc w:val="center"/>
              <w:rPr>
                <w:rStyle w:val="fontstyle01"/>
                <w:rFonts w:ascii="Arial" w:eastAsia="Calibri" w:hAnsi="Arial" w:cs="Arial"/>
                <w:kern w:val="2"/>
                <w:sz w:val="20"/>
                <w:szCs w:val="20"/>
                <w14:ligatures w14:val="standardContextual"/>
              </w:rPr>
            </w:pPr>
            <w:r w:rsidRPr="002B3F36">
              <w:rPr>
                <w:rStyle w:val="fontstyle01"/>
                <w:rFonts w:ascii="Arial" w:eastAsia="Calibri" w:hAnsi="Arial" w:cs="Arial"/>
                <w:kern w:val="2"/>
                <w:sz w:val="20"/>
                <w:szCs w:val="20"/>
                <w14:ligatures w14:val="standardContextual"/>
              </w:rPr>
              <w:t>&lt;0.001</w:t>
            </w:r>
          </w:p>
        </w:tc>
      </w:tr>
      <w:tr w:rsidR="00A01E00" w:rsidRPr="002B3F36" w14:paraId="1E324E37" w14:textId="77777777" w:rsidTr="000E123E">
        <w:trPr>
          <w:gridAfter w:val="1"/>
          <w:wAfter w:w="14" w:type="dxa"/>
          <w:trHeight w:val="300"/>
          <w:jc w:val="center"/>
        </w:trPr>
        <w:tc>
          <w:tcPr>
            <w:tcW w:w="736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14B514B" w14:textId="77777777" w:rsidR="00A01E00" w:rsidRPr="002B3F36" w:rsidRDefault="00A01E00" w:rsidP="000B5F75">
            <w:pPr>
              <w:spacing w:line="276" w:lineRule="auto"/>
              <w:jc w:val="center"/>
              <w:rPr>
                <w:rFonts w:ascii="Arial" w:eastAsia="Calibri" w:hAnsi="Arial" w:cs="Arial"/>
                <w:b/>
                <w:bCs/>
                <w:i/>
                <w:iCs/>
                <w:color w:val="FF0000"/>
                <w:kern w:val="2"/>
                <w:sz w:val="20"/>
                <w:szCs w:val="20"/>
                <w:lang w:val="en-PH" w:eastAsia="en-PH"/>
                <w14:ligatures w14:val="standardContextual"/>
              </w:rPr>
            </w:pPr>
            <w:r w:rsidRPr="002B3F36">
              <w:rPr>
                <w:rFonts w:ascii="Arial" w:eastAsia="Calibri" w:hAnsi="Arial" w:cs="Arial"/>
                <w:b/>
                <w:bCs/>
                <w:i/>
                <w:iCs/>
                <w:color w:val="FF0000"/>
                <w:kern w:val="2"/>
                <w:sz w:val="20"/>
                <w:szCs w:val="20"/>
                <w:lang w:val="en-PH" w:eastAsia="en-PH"/>
                <w14:ligatures w14:val="standardContextual"/>
              </w:rPr>
              <w:t>Maximum Permissible Concentration (MPC, kg/m3)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17AA1C2" w14:textId="77777777" w:rsidR="00A01E00" w:rsidRPr="002B3F36" w:rsidRDefault="00A01E00" w:rsidP="000B5F75">
            <w:pPr>
              <w:spacing w:line="276" w:lineRule="auto"/>
              <w:jc w:val="center"/>
              <w:rPr>
                <w:rStyle w:val="fontstyle01"/>
                <w:rFonts w:ascii="Arial" w:hAnsi="Arial" w:cs="Arial"/>
                <w:color w:val="FF0000"/>
                <w:sz w:val="20"/>
                <w:szCs w:val="20"/>
              </w:rPr>
            </w:pPr>
            <w:r w:rsidRPr="002B3F36">
              <w:rPr>
                <w:rStyle w:val="fontstyle01"/>
                <w:rFonts w:ascii="Arial" w:eastAsia="Calibri" w:hAnsi="Arial" w:cs="Arial"/>
                <w:i/>
                <w:iCs/>
                <w:color w:val="FF0000"/>
                <w:kern w:val="2"/>
                <w:sz w:val="20"/>
                <w:szCs w:val="20"/>
                <w14:ligatures w14:val="standardContextual"/>
              </w:rPr>
              <w:t>0.30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89C5E73" w14:textId="77777777" w:rsidR="00A01E00" w:rsidRPr="002B3F36" w:rsidRDefault="00A01E00" w:rsidP="000B5F75">
            <w:pPr>
              <w:spacing w:line="276" w:lineRule="auto"/>
              <w:jc w:val="center"/>
              <w:rPr>
                <w:rStyle w:val="fontstyle01"/>
                <w:rFonts w:ascii="Arial" w:eastAsia="Calibri" w:hAnsi="Arial" w:cs="Arial"/>
                <w:b w:val="0"/>
                <w:bCs w:val="0"/>
                <w:color w:val="FF0000"/>
                <w:kern w:val="2"/>
                <w:sz w:val="20"/>
                <w:szCs w:val="20"/>
                <w14:ligatures w14:val="standardContextual"/>
              </w:rPr>
            </w:pPr>
            <w:r w:rsidRPr="002B3F36">
              <w:rPr>
                <w:rStyle w:val="fontstyle01"/>
                <w:rFonts w:ascii="Arial" w:eastAsia="Calibri" w:hAnsi="Arial" w:cs="Arial"/>
                <w:i/>
                <w:iCs/>
                <w:color w:val="FF0000"/>
                <w:kern w:val="2"/>
                <w:sz w:val="20"/>
                <w:szCs w:val="20"/>
                <w14:ligatures w14:val="standardContextual"/>
              </w:rPr>
              <w:t xml:space="preserve">5.0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1E04CDA" w14:textId="77777777" w:rsidR="00A01E00" w:rsidRPr="002B3F36" w:rsidRDefault="00A01E00" w:rsidP="000B5F75">
            <w:pPr>
              <w:spacing w:line="276" w:lineRule="auto"/>
              <w:jc w:val="center"/>
              <w:rPr>
                <w:rStyle w:val="fontstyle01"/>
                <w:rFonts w:ascii="Arial" w:eastAsia="Calibri" w:hAnsi="Arial" w:cs="Arial"/>
                <w:b w:val="0"/>
                <w:bCs w:val="0"/>
                <w:color w:val="FF0000"/>
                <w:kern w:val="2"/>
                <w:sz w:val="20"/>
                <w:szCs w:val="20"/>
                <w14:ligatures w14:val="standardContextual"/>
              </w:rPr>
            </w:pPr>
            <w:r w:rsidRPr="002B3F36">
              <w:rPr>
                <w:rStyle w:val="fontstyle01"/>
                <w:rFonts w:ascii="Arial" w:eastAsia="Calibri" w:hAnsi="Arial" w:cs="Arial"/>
                <w:i/>
                <w:iCs/>
                <w:color w:val="FF0000"/>
                <w:kern w:val="2"/>
                <w:sz w:val="20"/>
                <w:szCs w:val="20"/>
                <w14:ligatures w14:val="standardContextual"/>
              </w:rPr>
              <w:t xml:space="preserve">0.5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4F11067" w14:textId="77777777" w:rsidR="00A01E00" w:rsidRPr="002B3F36" w:rsidRDefault="00A01E00" w:rsidP="000B5F75">
            <w:pPr>
              <w:spacing w:line="276" w:lineRule="auto"/>
              <w:jc w:val="center"/>
              <w:rPr>
                <w:rStyle w:val="fontstyle01"/>
                <w:rFonts w:ascii="Arial" w:eastAsia="Calibri" w:hAnsi="Arial" w:cs="Arial"/>
                <w:b w:val="0"/>
                <w:bCs w:val="0"/>
                <w:color w:val="FF0000"/>
                <w:kern w:val="2"/>
                <w:sz w:val="20"/>
                <w:szCs w:val="20"/>
                <w14:ligatures w14:val="standardContextual"/>
              </w:rPr>
            </w:pPr>
            <w:r w:rsidRPr="002B3F36">
              <w:rPr>
                <w:rStyle w:val="fontstyle01"/>
                <w:rFonts w:ascii="Arial" w:eastAsia="Calibri" w:hAnsi="Arial" w:cs="Arial"/>
                <w:i/>
                <w:iCs/>
                <w:color w:val="FF0000"/>
                <w:kern w:val="2"/>
                <w:sz w:val="20"/>
                <w:szCs w:val="20"/>
                <w14:ligatures w14:val="standardContextual"/>
              </w:rPr>
              <w:t xml:space="preserve">0.4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F0F04A7" w14:textId="77777777" w:rsidR="00A01E00" w:rsidRPr="002B3F36" w:rsidRDefault="00A01E00" w:rsidP="000B5F75">
            <w:pPr>
              <w:spacing w:line="276" w:lineRule="auto"/>
              <w:jc w:val="center"/>
              <w:rPr>
                <w:rFonts w:ascii="Arial" w:hAnsi="Arial" w:cs="Arial"/>
                <w:b/>
                <w:bCs/>
                <w:i/>
                <w:iCs/>
                <w:sz w:val="20"/>
                <w:szCs w:val="20"/>
                <w:lang w:val="en-PH" w:eastAsia="en-PH"/>
              </w:rPr>
            </w:pPr>
            <w:r w:rsidRPr="002B3F36">
              <w:rPr>
                <w:rStyle w:val="fontstyle01"/>
                <w:rFonts w:ascii="Arial" w:eastAsia="Calibri" w:hAnsi="Arial" w:cs="Arial"/>
                <w:i/>
                <w:iCs/>
                <w:color w:val="FF0000"/>
                <w:kern w:val="2"/>
                <w:sz w:val="20"/>
                <w:szCs w:val="20"/>
                <w14:ligatures w14:val="standardContextual"/>
              </w:rPr>
              <w:t>0.2</w:t>
            </w:r>
          </w:p>
        </w:tc>
      </w:tr>
    </w:tbl>
    <w:p w14:paraId="0AEF5BC4" w14:textId="77777777" w:rsidR="00A01E00" w:rsidRPr="002B3F36" w:rsidRDefault="00A01E00" w:rsidP="00A01E00">
      <w:pPr>
        <w:pStyle w:val="ReportBodyTextNogap"/>
      </w:pPr>
    </w:p>
    <w:p w14:paraId="694A211B" w14:textId="21A711C5" w:rsidR="00A01E00" w:rsidRPr="002B3F36" w:rsidRDefault="00A01E00" w:rsidP="00A01E00">
      <w:pPr>
        <w:pStyle w:val="ReportBodyTextNogap"/>
      </w:pPr>
      <w:r w:rsidRPr="002B3F36">
        <w:t xml:space="preserve">In accordance with </w:t>
      </w:r>
      <w:r w:rsidR="00163238" w:rsidRPr="002B3F36">
        <w:t>WB PS</w:t>
      </w:r>
      <w:r w:rsidRPr="002B3F36">
        <w:t xml:space="preserve"> 1 and PS3, it is anticipated that construction activities will generate localized impacts on air quality in areas close to the worksites. While baseline data confirm that Maximum Permissible Concentrations (MPCs) for dust are currently not exceeded, this parameter may become a concern during the dry months from late spring through autumn.</w:t>
      </w:r>
    </w:p>
    <w:p w14:paraId="5BE4EFD5" w14:textId="77777777" w:rsidR="00A01E00" w:rsidRPr="002B3F36" w:rsidRDefault="00A01E00" w:rsidP="00A01E00">
      <w:pPr>
        <w:pStyle w:val="ReportBodyTextNogap"/>
      </w:pPr>
    </w:p>
    <w:p w14:paraId="78D1B536" w14:textId="2B8211F3" w:rsidR="00A01E00" w:rsidRPr="002B3F36" w:rsidRDefault="00A01E00" w:rsidP="00A01E00">
      <w:pPr>
        <w:pStyle w:val="ReportBodyTextNogap"/>
      </w:pPr>
      <w:r w:rsidRPr="002B3F36">
        <w:lastRenderedPageBreak/>
        <w:t>To address this, dust suppression measures</w:t>
      </w:r>
      <w:r w:rsidR="00BC46FF" w:rsidRPr="002B3F36">
        <w:t xml:space="preserve">, </w:t>
      </w:r>
      <w:r w:rsidRPr="002B3F36">
        <w:t>as outlined in the Environmental and Social Management Plan (ESMP)</w:t>
      </w:r>
      <w:r w:rsidR="00BC46FF" w:rsidRPr="002B3F36">
        <w:t xml:space="preserve">, </w:t>
      </w:r>
      <w:r w:rsidRPr="002B3F36">
        <w:t>must be implemented throughout construction. The ESMP will guide regular ambient air quality monitoring to ensure compliance with MPCs and trigger corrective actions where needed. Furthermore, as concentrations of airborne particulates decrease with distance and open terrain facilitates natural dispersion, overall residual impacts are expected to remain low with proper management.</w:t>
      </w:r>
    </w:p>
    <w:p w14:paraId="2021DBF8" w14:textId="77777777" w:rsidR="00A01E00" w:rsidRPr="002B3F36" w:rsidRDefault="00A01E00" w:rsidP="00A01E00">
      <w:pPr>
        <w:pStyle w:val="ReportBodyTextNogap"/>
      </w:pPr>
    </w:p>
    <w:p w14:paraId="4E007C9B" w14:textId="216168F7" w:rsidR="00A01E00" w:rsidRPr="002B3F36" w:rsidRDefault="00A01E00" w:rsidP="00A01E00">
      <w:pPr>
        <w:pStyle w:val="ReportBodyTextNogap"/>
      </w:pPr>
      <w:r w:rsidRPr="002B3F36">
        <w:t xml:space="preserve">Occupational health provisions within the ESMP will also require contractors to ensure the use of appropriate respiratory PPE for workers and provide advisories for local communities near the sites. Emission control measures for heavy equipment, vehicles, and auxiliary facilities will form part of the ESMP’s mitigation and monitoring framework, ensuring alignment with </w:t>
      </w:r>
      <w:r w:rsidR="00163238" w:rsidRPr="002B3F36">
        <w:t>WB PS</w:t>
      </w:r>
      <w:r w:rsidRPr="002B3F36">
        <w:t>1 and PS3 requirements for risk management, pollution prevention, and worker health and safety.</w:t>
      </w:r>
    </w:p>
    <w:p w14:paraId="03B9130A" w14:textId="171CAD99" w:rsidR="00A01E00" w:rsidRPr="002B3F36" w:rsidRDefault="00A01E00" w:rsidP="00A01E00">
      <w:pPr>
        <w:rPr>
          <w:rFonts w:ascii="Arial" w:hAnsi="Arial" w:cs="Arial"/>
        </w:rPr>
      </w:pPr>
    </w:p>
    <w:p w14:paraId="1C12B4F8" w14:textId="77777777" w:rsidR="003431C3" w:rsidRPr="002B3F36" w:rsidRDefault="003431C3" w:rsidP="000126FC">
      <w:pPr>
        <w:pStyle w:val="FigureCaption"/>
        <w:rPr>
          <w:rFonts w:cs="Arial"/>
        </w:rPr>
      </w:pPr>
    </w:p>
    <w:p w14:paraId="0C27E71B" w14:textId="77777777" w:rsidR="003431C3" w:rsidRPr="002B3F36" w:rsidRDefault="003431C3" w:rsidP="000126FC">
      <w:pPr>
        <w:pStyle w:val="FigureCaption"/>
        <w:rPr>
          <w:rFonts w:cs="Arial"/>
        </w:rPr>
      </w:pPr>
    </w:p>
    <w:p w14:paraId="47E1F31F" w14:textId="77777777" w:rsidR="003431C3" w:rsidRPr="002B3F36" w:rsidRDefault="003431C3" w:rsidP="000126FC">
      <w:pPr>
        <w:pStyle w:val="FigureCaption"/>
        <w:rPr>
          <w:rFonts w:cs="Arial"/>
        </w:rPr>
      </w:pPr>
    </w:p>
    <w:p w14:paraId="553090BD" w14:textId="71D9B42C" w:rsidR="003431C3" w:rsidRPr="002B3F36" w:rsidRDefault="003431C3" w:rsidP="000126FC">
      <w:pPr>
        <w:pStyle w:val="FigureCaption"/>
        <w:rPr>
          <w:rFonts w:cs="Arial"/>
        </w:rPr>
        <w:sectPr w:rsidR="003431C3" w:rsidRPr="002B3F36" w:rsidSect="00B92462">
          <w:pgSz w:w="16834" w:h="11909" w:orient="landscape"/>
          <w:pgMar w:top="1080" w:right="1134" w:bottom="1109" w:left="1350" w:header="720" w:footer="720" w:gutter="0"/>
          <w:cols w:space="720"/>
        </w:sectPr>
      </w:pPr>
    </w:p>
    <w:p w14:paraId="4751604D" w14:textId="77777777" w:rsidR="00A01E00" w:rsidRPr="002B3F36" w:rsidRDefault="00A01E00" w:rsidP="005A68AD">
      <w:pPr>
        <w:pStyle w:val="31"/>
      </w:pPr>
      <w:bookmarkStart w:id="2046" w:name="_Toc208973832"/>
      <w:bookmarkStart w:id="2047" w:name="_Toc208974032"/>
      <w:bookmarkStart w:id="2048" w:name="_Toc208974232"/>
      <w:bookmarkStart w:id="2049" w:name="_Toc208974434"/>
      <w:bookmarkStart w:id="2050" w:name="_Toc208974642"/>
      <w:bookmarkStart w:id="2051" w:name="_Toc210589471"/>
      <w:r w:rsidRPr="002B3F36">
        <w:lastRenderedPageBreak/>
        <w:t>Ambient Noise Level Monitoring Locations</w:t>
      </w:r>
      <w:bookmarkEnd w:id="2046"/>
      <w:bookmarkEnd w:id="2047"/>
      <w:bookmarkEnd w:id="2048"/>
      <w:bookmarkEnd w:id="2049"/>
      <w:bookmarkEnd w:id="2050"/>
      <w:bookmarkEnd w:id="2051"/>
      <w:r w:rsidRPr="002B3F36">
        <w:t xml:space="preserve"> </w:t>
      </w:r>
    </w:p>
    <w:p w14:paraId="17E84E9B" w14:textId="347E09B9" w:rsidR="00A01E00" w:rsidRPr="002B3F36" w:rsidRDefault="00A01E00" w:rsidP="00A01E00">
      <w:pPr>
        <w:pStyle w:val="ReportBodyTextNogap"/>
      </w:pPr>
      <w:r w:rsidRPr="002B3F36">
        <w:t xml:space="preserve">Consistent with the requirements of </w:t>
      </w:r>
      <w:r w:rsidR="00163238" w:rsidRPr="002B3F36">
        <w:t>WB PS</w:t>
      </w:r>
      <w:r w:rsidRPr="002B3F36">
        <w:t xml:space="preserve">1 and PS3, noise impacts associated with construction activities were evaluated to inform the project’s Environmental and Social Management Plan (ESMP). </w:t>
      </w:r>
    </w:p>
    <w:p w14:paraId="461C419D" w14:textId="77777777" w:rsidR="00A01E00" w:rsidRPr="002B3F36" w:rsidRDefault="00A01E00" w:rsidP="00A01E00">
      <w:pPr>
        <w:pStyle w:val="ReportBodyTextNogap"/>
      </w:pPr>
    </w:p>
    <w:p w14:paraId="450DEB71" w14:textId="77777777" w:rsidR="00A01E00" w:rsidRPr="002B3F36" w:rsidRDefault="00A01E00" w:rsidP="00A01E00">
      <w:pPr>
        <w:pStyle w:val="ReportBodyTextNogap"/>
      </w:pPr>
      <w:r w:rsidRPr="002B3F36">
        <w:t>Baseline measurements show that equivalent continuous noise levels (LAeq) across most sites remain below the permissible limits of 70–80 dBA (GOST 12.1.003-83). While occasional peaks were recorded near Mointy due to village activities, these levels are still within acceptable thresholds.</w:t>
      </w:r>
    </w:p>
    <w:p w14:paraId="420E2BDC" w14:textId="77777777" w:rsidR="00A01E00" w:rsidRPr="002B3F36" w:rsidRDefault="00A01E00" w:rsidP="00A01E00">
      <w:pPr>
        <w:pStyle w:val="ReportBodyTextNogap"/>
      </w:pPr>
    </w:p>
    <w:p w14:paraId="34B580A6" w14:textId="10147EE1" w:rsidR="00A01E00" w:rsidRPr="002B3F36" w:rsidRDefault="00A01E00" w:rsidP="00A01E00">
      <w:pPr>
        <w:pStyle w:val="ReportBodyTextNogap"/>
      </w:pPr>
      <w:r w:rsidRPr="002B3F36">
        <w:t xml:space="preserve">Using this baseline, the ESMP will define clear monitoring schedules and outline measures to minimize construction noise, such as maintaining equipment, restricting high-noise activities to daytime hours, and installing temporary acoustic barriers where needed. Continuous monitoring will ensure early detection of potential exceedances and allow for timely corrective actions, keeping the project in compliance with </w:t>
      </w:r>
      <w:r w:rsidR="00F95BD8" w:rsidRPr="002B3F36">
        <w:t>WB</w:t>
      </w:r>
      <w:r w:rsidRPr="002B3F36">
        <w:t xml:space="preserve"> standards and maintaining acceptable noise conditions for both workers and surrounding communities.</w:t>
      </w:r>
    </w:p>
    <w:p w14:paraId="6F56BDCC" w14:textId="77777777" w:rsidR="00A01E00" w:rsidRPr="002B3F36" w:rsidRDefault="00A01E00" w:rsidP="000F76E9">
      <w:pPr>
        <w:pStyle w:val="CaptionTable"/>
        <w:ind w:left="0"/>
        <w:jc w:val="left"/>
        <w:rPr>
          <w:rFonts w:eastAsia="Calibri"/>
        </w:rPr>
      </w:pPr>
    </w:p>
    <w:p w14:paraId="6DBC3265" w14:textId="19A915E8" w:rsidR="00A01E00" w:rsidRPr="002B3F36" w:rsidRDefault="00A01E00" w:rsidP="000F76E9">
      <w:pPr>
        <w:pStyle w:val="CaptionTable"/>
      </w:pPr>
      <w:bookmarkStart w:id="2052" w:name="_Toc169094894"/>
      <w:bookmarkStart w:id="2053" w:name="_Toc210589565"/>
      <w:r w:rsidRPr="002B3F36">
        <w:t xml:space="preserve">Table </w:t>
      </w:r>
      <w:r w:rsidRPr="002B3F36">
        <w:fldChar w:fldCharType="begin"/>
      </w:r>
      <w:r w:rsidRPr="002B3F36">
        <w:instrText>SEQ Table \* ARABIC</w:instrText>
      </w:r>
      <w:r w:rsidRPr="002B3F36">
        <w:fldChar w:fldCharType="separate"/>
      </w:r>
      <w:r w:rsidR="00A023DA">
        <w:rPr>
          <w:noProof/>
        </w:rPr>
        <w:t>21</w:t>
      </w:r>
      <w:r w:rsidRPr="002B3F36">
        <w:fldChar w:fldCharType="end"/>
      </w:r>
      <w:r w:rsidRPr="002B3F36">
        <w:t>: Ambient Noise Level Measurement Results</w:t>
      </w:r>
      <w:bookmarkEnd w:id="2052"/>
      <w:r w:rsidR="00B82A40" w:rsidRPr="002B3F36">
        <w:rPr>
          <w:rStyle w:val="ac"/>
        </w:rPr>
        <w:footnoteReference w:id="10"/>
      </w:r>
      <w:bookmarkEnd w:id="2053"/>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530"/>
        <w:gridCol w:w="1351"/>
        <w:gridCol w:w="1351"/>
        <w:gridCol w:w="1477"/>
        <w:gridCol w:w="1405"/>
        <w:gridCol w:w="1351"/>
      </w:tblGrid>
      <w:tr w:rsidR="00A01E00" w:rsidRPr="002B3F36" w14:paraId="4CCB9C06" w14:textId="77777777" w:rsidTr="000E123E">
        <w:trPr>
          <w:trHeight w:val="300"/>
          <w:tblHeader/>
          <w:jc w:val="center"/>
        </w:trPr>
        <w:tc>
          <w:tcPr>
            <w:tcW w:w="2965"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E62D1F" w14:textId="77777777" w:rsidR="00A01E00" w:rsidRPr="002B3F36" w:rsidRDefault="00A01E00" w:rsidP="000B5F75">
            <w:pPr>
              <w:spacing w:line="256" w:lineRule="auto"/>
              <w:jc w:val="center"/>
              <w:rPr>
                <w:rFonts w:ascii="Arial" w:eastAsia="Times New Roman" w:hAnsi="Arial" w:cs="Arial"/>
                <w:b/>
                <w:bCs/>
                <w:color w:val="000000"/>
                <w:sz w:val="20"/>
                <w:szCs w:val="20"/>
                <w:lang w:val="en-PH" w:eastAsia="en-PH"/>
              </w:rPr>
            </w:pPr>
            <w:r w:rsidRPr="002B3F36">
              <w:rPr>
                <w:rFonts w:ascii="Arial" w:hAnsi="Arial" w:cs="Arial"/>
                <w:b/>
                <w:bCs/>
                <w:color w:val="000000" w:themeColor="text1"/>
                <w:sz w:val="20"/>
                <w:szCs w:val="20"/>
                <w:lang w:val="en-PH" w:eastAsia="en-PH"/>
              </w:rPr>
              <w:t>Time</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5DF5C7"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themeColor="text1"/>
                <w:sz w:val="20"/>
                <w:szCs w:val="20"/>
                <w:lang w:val="en-PH" w:eastAsia="en-PH"/>
              </w:rPr>
              <w:t>N (1)</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3AA7BE8"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themeColor="text1"/>
                <w:sz w:val="20"/>
                <w:szCs w:val="20"/>
                <w:lang w:val="en-PH" w:eastAsia="en-PH"/>
              </w:rPr>
              <w:t>N (2)</w:t>
            </w:r>
          </w:p>
        </w:tc>
        <w:tc>
          <w:tcPr>
            <w:tcW w:w="147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E6037FD"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themeColor="text1"/>
                <w:sz w:val="20"/>
                <w:szCs w:val="20"/>
                <w:lang w:val="en-PH" w:eastAsia="en-PH"/>
              </w:rPr>
              <w:t>N (3)</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C50D468"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themeColor="text1"/>
                <w:sz w:val="20"/>
                <w:szCs w:val="20"/>
                <w:lang w:val="en-PH" w:eastAsia="en-PH"/>
              </w:rPr>
              <w:t>N (4)</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3F1580C"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themeColor="text1"/>
                <w:sz w:val="20"/>
                <w:szCs w:val="20"/>
                <w:lang w:val="en-PH" w:eastAsia="en-PH"/>
              </w:rPr>
              <w:t>N (5)</w:t>
            </w:r>
          </w:p>
        </w:tc>
      </w:tr>
      <w:tr w:rsidR="00A01E00" w:rsidRPr="002B3F36" w14:paraId="60CD38FF" w14:textId="77777777" w:rsidTr="000E123E">
        <w:trPr>
          <w:trHeight w:val="1668"/>
          <w:tblHeader/>
          <w:jc w:val="center"/>
        </w:trPr>
        <w:tc>
          <w:tcPr>
            <w:tcW w:w="2965" w:type="dxa"/>
            <w:gridSpan w:val="2"/>
            <w:vMerge/>
            <w:tcBorders>
              <w:top w:val="single" w:sz="4" w:space="0" w:color="auto"/>
              <w:left w:val="single" w:sz="4" w:space="0" w:color="auto"/>
              <w:bottom w:val="single" w:sz="4" w:space="0" w:color="auto"/>
              <w:right w:val="single" w:sz="4" w:space="0" w:color="auto"/>
            </w:tcBorders>
            <w:vAlign w:val="center"/>
            <w:hideMark/>
          </w:tcPr>
          <w:p w14:paraId="3A2D7FF3" w14:textId="77777777" w:rsidR="00A01E00" w:rsidRPr="002B3F36" w:rsidRDefault="00A01E00" w:rsidP="000B5F75">
            <w:pPr>
              <w:spacing w:line="256" w:lineRule="auto"/>
              <w:rPr>
                <w:rFonts w:ascii="Arial" w:eastAsia="Times New Roman" w:hAnsi="Arial" w:cs="Arial"/>
                <w:b/>
                <w:bCs/>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926B16"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sz w:val="20"/>
                <w:szCs w:val="20"/>
                <w:lang w:eastAsia="en-PH"/>
              </w:rPr>
              <w:t>T</w:t>
            </w:r>
            <w:r w:rsidRPr="002B3F36">
              <w:rPr>
                <w:rFonts w:ascii="Arial" w:eastAsia="Calibri" w:hAnsi="Arial" w:cs="Arial"/>
                <w:b/>
                <w:color w:val="000000"/>
                <w:sz w:val="20"/>
                <w:szCs w:val="20"/>
                <w:lang w:val="en-PH" w:eastAsia="en-PH"/>
              </w:rPr>
              <w:t>he vicinity of the village of Mointy</w:t>
            </w:r>
          </w:p>
          <w:p w14:paraId="522314B7"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p>
          <w:p w14:paraId="26DE95B6" w14:textId="77777777" w:rsidR="00A01E00" w:rsidRPr="002B3F36" w:rsidRDefault="00A01E00" w:rsidP="000B5F75">
            <w:pPr>
              <w:spacing w:line="256" w:lineRule="auto"/>
              <w:jc w:val="center"/>
              <w:rPr>
                <w:rFonts w:ascii="Arial" w:eastAsia="Calibri" w:hAnsi="Arial" w:cs="Arial"/>
                <w:b/>
                <w:color w:val="000000"/>
                <w:sz w:val="20"/>
                <w:szCs w:val="20"/>
                <w:lang w:val="ru-RU" w:eastAsia="en-PH"/>
              </w:rPr>
            </w:pPr>
            <w:r w:rsidRPr="002B3F36">
              <w:rPr>
                <w:rFonts w:ascii="Arial" w:eastAsia="Calibri" w:hAnsi="Arial" w:cs="Arial"/>
                <w:b/>
                <w:color w:val="000000"/>
                <w:sz w:val="20"/>
                <w:szCs w:val="20"/>
                <w:lang w:val="ru-RU" w:eastAsia="en-PH"/>
              </w:rPr>
              <w:t>28.08.2025-29.08.2025</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2229CE"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sz w:val="20"/>
                <w:szCs w:val="20"/>
                <w:lang w:eastAsia="en-PH"/>
              </w:rPr>
              <w:t>T</w:t>
            </w:r>
            <w:r w:rsidRPr="002B3F36">
              <w:rPr>
                <w:rFonts w:ascii="Arial" w:eastAsia="Calibri" w:hAnsi="Arial" w:cs="Arial"/>
                <w:b/>
                <w:color w:val="000000"/>
                <w:sz w:val="20"/>
                <w:szCs w:val="20"/>
                <w:lang w:val="en-PH" w:eastAsia="en-PH"/>
              </w:rPr>
              <w:t>he vicinity of the village of</w:t>
            </w:r>
            <w:r w:rsidRPr="002B3F36">
              <w:rPr>
                <w:rFonts w:ascii="Arial" w:hAnsi="Arial" w:cs="Arial"/>
                <w:b/>
                <w:sz w:val="20"/>
                <w:szCs w:val="20"/>
              </w:rPr>
              <w:t xml:space="preserve"> </w:t>
            </w:r>
            <w:r w:rsidRPr="002B3F36">
              <w:rPr>
                <w:rFonts w:ascii="Arial" w:eastAsia="Calibri" w:hAnsi="Arial" w:cs="Arial"/>
                <w:b/>
                <w:color w:val="000000"/>
                <w:sz w:val="20"/>
                <w:szCs w:val="20"/>
                <w:lang w:val="en-PH" w:eastAsia="en-PH"/>
              </w:rPr>
              <w:t>Aktau</w:t>
            </w:r>
          </w:p>
          <w:p w14:paraId="6DAA90A3"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p>
          <w:p w14:paraId="437B9E06"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sz w:val="20"/>
                <w:szCs w:val="20"/>
                <w:lang w:val="ru-RU" w:eastAsia="en-PH"/>
              </w:rPr>
              <w:t>29.08.2025-30.08.2025</w:t>
            </w:r>
          </w:p>
        </w:tc>
        <w:tc>
          <w:tcPr>
            <w:tcW w:w="14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6A19BA"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sz w:val="20"/>
                <w:szCs w:val="20"/>
                <w:lang w:eastAsia="en-PH"/>
              </w:rPr>
              <w:t>T</w:t>
            </w:r>
            <w:r w:rsidRPr="002B3F36">
              <w:rPr>
                <w:rFonts w:ascii="Arial" w:eastAsia="Calibri" w:hAnsi="Arial" w:cs="Arial"/>
                <w:b/>
                <w:color w:val="000000"/>
                <w:sz w:val="20"/>
                <w:szCs w:val="20"/>
                <w:lang w:val="en-PH" w:eastAsia="en-PH"/>
              </w:rPr>
              <w:t>he vicinity of the village of</w:t>
            </w:r>
            <w:r w:rsidRPr="002B3F36">
              <w:rPr>
                <w:rFonts w:ascii="Arial" w:hAnsi="Arial" w:cs="Arial"/>
                <w:b/>
                <w:sz w:val="20"/>
                <w:szCs w:val="20"/>
              </w:rPr>
              <w:t xml:space="preserve"> </w:t>
            </w:r>
            <w:r w:rsidRPr="002B3F36">
              <w:rPr>
                <w:rFonts w:ascii="Arial" w:eastAsia="Calibri" w:hAnsi="Arial" w:cs="Arial"/>
                <w:b/>
                <w:color w:val="000000"/>
                <w:sz w:val="20"/>
                <w:szCs w:val="20"/>
                <w:lang w:val="en-PH" w:eastAsia="en-PH"/>
              </w:rPr>
              <w:t>Karazhal</w:t>
            </w:r>
          </w:p>
          <w:p w14:paraId="1969F4B3" w14:textId="77777777" w:rsidR="00A01E00" w:rsidRPr="002B3F36" w:rsidRDefault="00A01E00" w:rsidP="000B5F75">
            <w:pPr>
              <w:spacing w:line="256" w:lineRule="auto"/>
              <w:jc w:val="center"/>
              <w:rPr>
                <w:rFonts w:ascii="Arial" w:eastAsia="Calibri" w:hAnsi="Arial" w:cs="Arial"/>
                <w:b/>
                <w:color w:val="000000" w:themeColor="text1"/>
                <w:sz w:val="20"/>
                <w:szCs w:val="20"/>
                <w:lang w:val="en-PH" w:eastAsia="en-PH"/>
              </w:rPr>
            </w:pPr>
          </w:p>
          <w:p w14:paraId="10DD41E2" w14:textId="77777777" w:rsidR="00A01E00" w:rsidRPr="002B3F36" w:rsidRDefault="00A01E00" w:rsidP="000B5F75">
            <w:pPr>
              <w:spacing w:line="256" w:lineRule="auto"/>
              <w:jc w:val="center"/>
              <w:rPr>
                <w:rFonts w:ascii="Arial" w:eastAsia="Calibri" w:hAnsi="Arial" w:cs="Arial"/>
                <w:b/>
                <w:color w:val="000000" w:themeColor="text1"/>
                <w:sz w:val="20"/>
                <w:szCs w:val="20"/>
                <w:lang w:val="en-PH" w:eastAsia="en-PH"/>
              </w:rPr>
            </w:pPr>
            <w:r w:rsidRPr="002B3F36">
              <w:rPr>
                <w:rFonts w:ascii="Arial" w:eastAsia="Calibri" w:hAnsi="Arial" w:cs="Arial"/>
                <w:b/>
                <w:color w:val="000000" w:themeColor="text1"/>
                <w:sz w:val="20"/>
                <w:szCs w:val="20"/>
                <w:lang w:val="ru-RU" w:eastAsia="en-PH"/>
              </w:rPr>
              <w:t>30</w:t>
            </w:r>
            <w:r w:rsidRPr="002B3F36">
              <w:rPr>
                <w:rFonts w:ascii="Arial" w:eastAsia="Calibri" w:hAnsi="Arial" w:cs="Arial"/>
                <w:b/>
                <w:color w:val="000000" w:themeColor="text1"/>
                <w:sz w:val="20"/>
                <w:szCs w:val="20"/>
                <w:lang w:val="en-PH" w:eastAsia="en-PH"/>
              </w:rPr>
              <w:t>.08.2025-</w:t>
            </w:r>
            <w:r w:rsidRPr="002B3F36">
              <w:rPr>
                <w:rFonts w:ascii="Arial" w:eastAsia="Calibri" w:hAnsi="Arial" w:cs="Arial"/>
                <w:b/>
                <w:color w:val="000000" w:themeColor="text1"/>
                <w:sz w:val="20"/>
                <w:szCs w:val="20"/>
                <w:lang w:val="ru-RU" w:eastAsia="en-PH"/>
              </w:rPr>
              <w:t>31</w:t>
            </w:r>
            <w:r w:rsidRPr="002B3F36">
              <w:rPr>
                <w:rFonts w:ascii="Arial" w:eastAsia="Calibri" w:hAnsi="Arial" w:cs="Arial"/>
                <w:b/>
                <w:color w:val="000000" w:themeColor="text1"/>
                <w:sz w:val="20"/>
                <w:szCs w:val="20"/>
                <w:lang w:val="en-PH" w:eastAsia="en-PH"/>
              </w:rPr>
              <w:t>.08.2025</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354030" w14:textId="77777777" w:rsidR="00A01E00" w:rsidRPr="002B3F36" w:rsidRDefault="00A01E00" w:rsidP="000B5F75">
            <w:pPr>
              <w:spacing w:line="256" w:lineRule="auto"/>
              <w:jc w:val="center"/>
              <w:rPr>
                <w:rFonts w:ascii="Arial" w:eastAsia="Calibri" w:hAnsi="Arial" w:cs="Arial"/>
                <w:b/>
                <w:color w:val="000000" w:themeColor="text1"/>
                <w:sz w:val="20"/>
                <w:szCs w:val="20"/>
                <w:lang w:val="pt-PT" w:eastAsia="en-PH"/>
              </w:rPr>
            </w:pPr>
            <w:r w:rsidRPr="002B3F36">
              <w:rPr>
                <w:rFonts w:ascii="Arial" w:eastAsia="Calibri" w:hAnsi="Arial" w:cs="Arial"/>
                <w:b/>
                <w:color w:val="000000" w:themeColor="text1"/>
                <w:sz w:val="20"/>
                <w:szCs w:val="20"/>
                <w:lang w:val="pt-PT" w:eastAsia="en-PH"/>
              </w:rPr>
              <w:t>The vicinity of the village of Kyzylzhar</w:t>
            </w:r>
          </w:p>
          <w:p w14:paraId="7CEC370B" w14:textId="77777777" w:rsidR="00A01E00" w:rsidRPr="002B3F36" w:rsidRDefault="00A01E00" w:rsidP="000B5F75">
            <w:pPr>
              <w:spacing w:line="256" w:lineRule="auto"/>
              <w:jc w:val="center"/>
              <w:rPr>
                <w:rFonts w:ascii="Arial" w:eastAsia="Calibri" w:hAnsi="Arial" w:cs="Arial"/>
                <w:b/>
                <w:color w:val="000000" w:themeColor="text1"/>
                <w:sz w:val="20"/>
                <w:szCs w:val="20"/>
                <w:lang w:val="pt-PT" w:eastAsia="en-PH"/>
              </w:rPr>
            </w:pPr>
          </w:p>
          <w:p w14:paraId="0D089763" w14:textId="77777777" w:rsidR="00A01E00" w:rsidRPr="002B3F36" w:rsidRDefault="00A01E00" w:rsidP="000B5F75">
            <w:pPr>
              <w:spacing w:line="256" w:lineRule="auto"/>
              <w:jc w:val="center"/>
              <w:rPr>
                <w:rFonts w:ascii="Arial" w:eastAsia="Calibri" w:hAnsi="Arial" w:cs="Arial"/>
                <w:b/>
                <w:color w:val="000000" w:themeColor="text1"/>
                <w:sz w:val="20"/>
                <w:szCs w:val="20"/>
                <w:lang w:val="ru-RU" w:eastAsia="en-PH"/>
              </w:rPr>
            </w:pPr>
            <w:r w:rsidRPr="002B3F36">
              <w:rPr>
                <w:rFonts w:ascii="Arial" w:eastAsia="Calibri" w:hAnsi="Arial" w:cs="Arial"/>
                <w:b/>
                <w:color w:val="000000" w:themeColor="text1"/>
                <w:sz w:val="20"/>
                <w:szCs w:val="20"/>
                <w:lang w:val="ru-RU" w:eastAsia="en-PH"/>
              </w:rPr>
              <w:t>31</w:t>
            </w:r>
            <w:r w:rsidRPr="002B3F36">
              <w:rPr>
                <w:rFonts w:ascii="Arial" w:eastAsia="Calibri" w:hAnsi="Arial" w:cs="Arial"/>
                <w:b/>
                <w:color w:val="000000" w:themeColor="text1"/>
                <w:sz w:val="20"/>
                <w:szCs w:val="20"/>
                <w:lang w:val="en-PH" w:eastAsia="en-PH"/>
              </w:rPr>
              <w:t>.08.2025-</w:t>
            </w:r>
            <w:r w:rsidRPr="002B3F36">
              <w:rPr>
                <w:rFonts w:ascii="Arial" w:eastAsia="Calibri" w:hAnsi="Arial" w:cs="Arial"/>
                <w:b/>
                <w:color w:val="000000" w:themeColor="text1"/>
                <w:sz w:val="20"/>
                <w:szCs w:val="20"/>
                <w:lang w:val="ru-RU" w:eastAsia="en-PH"/>
              </w:rPr>
              <w:t>01</w:t>
            </w:r>
            <w:r w:rsidRPr="002B3F36">
              <w:rPr>
                <w:rFonts w:ascii="Arial" w:eastAsia="Calibri" w:hAnsi="Arial" w:cs="Arial"/>
                <w:b/>
                <w:color w:val="000000" w:themeColor="text1"/>
                <w:sz w:val="20"/>
                <w:szCs w:val="20"/>
                <w:lang w:val="en-PH" w:eastAsia="en-PH"/>
              </w:rPr>
              <w:t>.0</w:t>
            </w:r>
            <w:r w:rsidRPr="002B3F36">
              <w:rPr>
                <w:rFonts w:ascii="Arial" w:eastAsia="Calibri" w:hAnsi="Arial" w:cs="Arial"/>
                <w:b/>
                <w:color w:val="000000" w:themeColor="text1"/>
                <w:sz w:val="20"/>
                <w:szCs w:val="20"/>
                <w:lang w:val="ru-RU" w:eastAsia="en-PH"/>
              </w:rPr>
              <w:t>9</w:t>
            </w:r>
            <w:r w:rsidRPr="002B3F36">
              <w:rPr>
                <w:rFonts w:ascii="Arial" w:eastAsia="Calibri" w:hAnsi="Arial" w:cs="Arial"/>
                <w:b/>
                <w:color w:val="000000" w:themeColor="text1"/>
                <w:sz w:val="20"/>
                <w:szCs w:val="20"/>
                <w:lang w:val="en-PH" w:eastAsia="en-PH"/>
              </w:rPr>
              <w:t>.2025</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A46425"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r w:rsidRPr="002B3F36">
              <w:rPr>
                <w:rFonts w:ascii="Arial" w:eastAsia="Calibri" w:hAnsi="Arial" w:cs="Arial"/>
                <w:b/>
                <w:color w:val="000000"/>
                <w:sz w:val="20"/>
                <w:szCs w:val="20"/>
                <w:lang w:val="en-PH" w:eastAsia="en-PH"/>
              </w:rPr>
              <w:t>Background monitoring point</w:t>
            </w:r>
          </w:p>
          <w:p w14:paraId="46A2953D" w14:textId="77777777" w:rsidR="00A01E00" w:rsidRPr="002B3F36" w:rsidRDefault="00A01E00" w:rsidP="000B5F75">
            <w:pPr>
              <w:spacing w:line="256" w:lineRule="auto"/>
              <w:jc w:val="center"/>
              <w:rPr>
                <w:rFonts w:ascii="Arial" w:eastAsia="Calibri" w:hAnsi="Arial" w:cs="Arial"/>
                <w:b/>
                <w:color w:val="000000"/>
                <w:sz w:val="20"/>
                <w:szCs w:val="20"/>
                <w:lang w:val="en-PH" w:eastAsia="en-PH"/>
              </w:rPr>
            </w:pPr>
          </w:p>
          <w:p w14:paraId="66442F08" w14:textId="77777777" w:rsidR="00A01E00" w:rsidRPr="002B3F36" w:rsidRDefault="00A01E00" w:rsidP="000B5F75">
            <w:pPr>
              <w:spacing w:line="256" w:lineRule="auto"/>
              <w:jc w:val="center"/>
              <w:rPr>
                <w:rFonts w:ascii="Arial" w:eastAsia="Calibri" w:hAnsi="Arial" w:cs="Arial"/>
                <w:b/>
                <w:color w:val="000000" w:themeColor="text1"/>
                <w:sz w:val="20"/>
                <w:szCs w:val="20"/>
                <w:lang w:val="pt-PT" w:eastAsia="en-PH"/>
              </w:rPr>
            </w:pPr>
            <w:r w:rsidRPr="002B3F36">
              <w:rPr>
                <w:rFonts w:ascii="Arial" w:eastAsia="Calibri" w:hAnsi="Arial" w:cs="Arial"/>
                <w:b/>
                <w:color w:val="000000" w:themeColor="text1"/>
                <w:sz w:val="20"/>
                <w:szCs w:val="20"/>
                <w:lang w:val="ru-RU" w:eastAsia="en-PH"/>
              </w:rPr>
              <w:t>01</w:t>
            </w:r>
            <w:r w:rsidRPr="002B3F36">
              <w:rPr>
                <w:rFonts w:ascii="Arial" w:eastAsia="Calibri" w:hAnsi="Arial" w:cs="Arial"/>
                <w:b/>
                <w:color w:val="000000" w:themeColor="text1"/>
                <w:sz w:val="20"/>
                <w:szCs w:val="20"/>
                <w:lang w:val="en-PH" w:eastAsia="en-PH"/>
              </w:rPr>
              <w:t>.08.2025-</w:t>
            </w:r>
            <w:r w:rsidRPr="002B3F36">
              <w:rPr>
                <w:rFonts w:ascii="Arial" w:eastAsia="Calibri" w:hAnsi="Arial" w:cs="Arial"/>
                <w:b/>
                <w:color w:val="000000" w:themeColor="text1"/>
                <w:sz w:val="20"/>
                <w:szCs w:val="20"/>
                <w:lang w:val="ru-RU" w:eastAsia="en-PH"/>
              </w:rPr>
              <w:t>02</w:t>
            </w:r>
            <w:r w:rsidRPr="002B3F36">
              <w:rPr>
                <w:rFonts w:ascii="Arial" w:eastAsia="Calibri" w:hAnsi="Arial" w:cs="Arial"/>
                <w:b/>
                <w:color w:val="000000" w:themeColor="text1"/>
                <w:sz w:val="20"/>
                <w:szCs w:val="20"/>
                <w:lang w:val="en-PH" w:eastAsia="en-PH"/>
              </w:rPr>
              <w:t>.0</w:t>
            </w:r>
            <w:r w:rsidRPr="002B3F36">
              <w:rPr>
                <w:rFonts w:ascii="Arial" w:eastAsia="Calibri" w:hAnsi="Arial" w:cs="Arial"/>
                <w:b/>
                <w:color w:val="000000" w:themeColor="text1"/>
                <w:sz w:val="20"/>
                <w:szCs w:val="20"/>
                <w:lang w:val="ru-RU" w:eastAsia="en-PH"/>
              </w:rPr>
              <w:t>9</w:t>
            </w:r>
            <w:r w:rsidRPr="002B3F36">
              <w:rPr>
                <w:rFonts w:ascii="Arial" w:eastAsia="Calibri" w:hAnsi="Arial" w:cs="Arial"/>
                <w:b/>
                <w:color w:val="000000" w:themeColor="text1"/>
                <w:sz w:val="20"/>
                <w:szCs w:val="20"/>
                <w:lang w:val="en-PH" w:eastAsia="en-PH"/>
              </w:rPr>
              <w:t>.2025</w:t>
            </w:r>
          </w:p>
        </w:tc>
      </w:tr>
      <w:tr w:rsidR="00A01E00" w:rsidRPr="002B3F36" w14:paraId="1E867341"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3C10687A"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6:00-7:00</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C84E1FE" w14:textId="77777777" w:rsidR="00A01E00" w:rsidRPr="002B3F36" w:rsidRDefault="00A01E00" w:rsidP="000B5F75">
            <w:pPr>
              <w:spacing w:line="256" w:lineRule="auto"/>
              <w:jc w:val="center"/>
              <w:rPr>
                <w:rFonts w:ascii="Arial" w:hAnsi="Arial" w:cs="Arial"/>
                <w:color w:val="000000"/>
                <w:sz w:val="20"/>
                <w:szCs w:val="20"/>
                <w:lang w:val="en-PH" w:eastAsia="en-PH"/>
              </w:rPr>
            </w:pPr>
            <w:r w:rsidRPr="002B3F36">
              <w:rPr>
                <w:rFonts w:ascii="Arial" w:hAnsi="Arial" w:cs="Arial"/>
                <w:color w:val="000000" w:themeColor="text1"/>
                <w:sz w:val="20"/>
                <w:szCs w:val="20"/>
                <w:lang w:val="en-PH" w:eastAsia="en-PH"/>
              </w:rPr>
              <w:t>AM</w:t>
            </w:r>
          </w:p>
        </w:tc>
        <w:tc>
          <w:tcPr>
            <w:tcW w:w="1351" w:type="dxa"/>
            <w:tcBorders>
              <w:top w:val="single" w:sz="4" w:space="0" w:color="auto"/>
              <w:left w:val="single" w:sz="4" w:space="0" w:color="auto"/>
              <w:bottom w:val="single" w:sz="4" w:space="0" w:color="auto"/>
              <w:right w:val="single" w:sz="4" w:space="0" w:color="auto"/>
            </w:tcBorders>
            <w:hideMark/>
          </w:tcPr>
          <w:p w14:paraId="70DEA6A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en-PH" w:eastAsia="en-PH"/>
              </w:rPr>
              <w:t>44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8AC95F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0002B04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23245F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DB25C2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r>
      <w:tr w:rsidR="00A01E00" w:rsidRPr="002B3F36" w14:paraId="563A072D"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27003445"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7:00-8:00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4DE2029F"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728B798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BC151B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26872B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2C06520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985347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0</w:t>
            </w:r>
          </w:p>
        </w:tc>
      </w:tr>
      <w:tr w:rsidR="00A01E00" w:rsidRPr="002B3F36" w14:paraId="36BA8A33"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0B323CAA"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8:00-9:00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214E0E24"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4A814063"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B8FF07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C096258"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4F0EA4A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FCEAC7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r>
      <w:tr w:rsidR="00A01E00" w:rsidRPr="002B3F36" w14:paraId="1A3ECACF"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2D5498E0"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9:00-10:00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217994C1"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504C7F9D" w14:textId="77777777" w:rsidR="00A01E00" w:rsidRPr="002B3F36" w:rsidRDefault="00A01E00" w:rsidP="000B5F75">
            <w:pPr>
              <w:spacing w:line="256" w:lineRule="auto"/>
              <w:jc w:val="center"/>
              <w:rPr>
                <w:rFonts w:ascii="Arial" w:eastAsia="Calibri" w:hAnsi="Arial" w:cs="Arial"/>
                <w:bCs/>
                <w:color w:val="000000"/>
                <w:sz w:val="20"/>
                <w:szCs w:val="20"/>
                <w:lang w:val="ru-RU" w:eastAsia="en-PH"/>
              </w:rPr>
            </w:pPr>
            <w:r w:rsidRPr="002B3F36">
              <w:rPr>
                <w:rFonts w:ascii="Arial" w:eastAsia="Calibri" w:hAnsi="Arial" w:cs="Arial"/>
                <w:bCs/>
                <w:color w:val="000000"/>
                <w:sz w:val="20"/>
                <w:szCs w:val="20"/>
                <w:lang w:val="ru-RU" w:eastAsia="en-PH"/>
              </w:rPr>
              <w:t>51</w:t>
            </w:r>
            <w:r w:rsidRPr="002B3F36">
              <w:rPr>
                <w:rFonts w:ascii="Arial" w:eastAsia="Calibri" w:hAnsi="Arial" w:cs="Arial"/>
                <w:bCs/>
                <w:color w:val="000000"/>
                <w:sz w:val="20"/>
                <w:szCs w:val="20"/>
                <w:lang w:eastAsia="en-PH"/>
              </w:rPr>
              <w:t>.</w:t>
            </w:r>
            <w:r w:rsidRPr="002B3F36">
              <w:rPr>
                <w:rFonts w:ascii="Arial" w:eastAsia="Calibri" w:hAnsi="Arial" w:cs="Arial"/>
                <w:bCs/>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1C8792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2DCEC8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106B5163"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41</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01E01F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r>
      <w:tr w:rsidR="00A01E00" w:rsidRPr="002B3F36" w14:paraId="79318463"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75F72BC2"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10:00-11:00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2656A167"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647AB61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2A7BF9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086D985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F78FF17"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FDF00E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r>
      <w:tr w:rsidR="00A01E00" w:rsidRPr="002B3F36" w14:paraId="0031F94E"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7BB0C332"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11:00-12:00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473D5178"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166B4F9F"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DDA573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C5175C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4C20637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194454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r>
      <w:tr w:rsidR="00A01E00" w:rsidRPr="002B3F36" w14:paraId="7B88F862"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1835D046"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12:00-1:00</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383C3FA" w14:textId="77777777" w:rsidR="00A01E00" w:rsidRPr="002B3F36" w:rsidRDefault="00A01E00" w:rsidP="000B5F75">
            <w:pPr>
              <w:spacing w:line="256" w:lineRule="auto"/>
              <w:jc w:val="center"/>
              <w:rPr>
                <w:rFonts w:ascii="Arial" w:hAnsi="Arial" w:cs="Arial"/>
                <w:color w:val="000000"/>
                <w:sz w:val="20"/>
                <w:szCs w:val="20"/>
                <w:lang w:val="en-PH" w:eastAsia="en-PH"/>
              </w:rPr>
            </w:pPr>
            <w:r w:rsidRPr="002B3F36">
              <w:rPr>
                <w:rFonts w:ascii="Arial" w:hAnsi="Arial" w:cs="Arial"/>
                <w:color w:val="000000" w:themeColor="text1"/>
                <w:sz w:val="20"/>
                <w:szCs w:val="20"/>
                <w:lang w:val="en-PH" w:eastAsia="en-PH"/>
              </w:rPr>
              <w:t>PM</w:t>
            </w:r>
          </w:p>
        </w:tc>
        <w:tc>
          <w:tcPr>
            <w:tcW w:w="1351" w:type="dxa"/>
            <w:tcBorders>
              <w:top w:val="single" w:sz="4" w:space="0" w:color="auto"/>
              <w:left w:val="single" w:sz="4" w:space="0" w:color="auto"/>
              <w:bottom w:val="single" w:sz="4" w:space="0" w:color="auto"/>
              <w:right w:val="single" w:sz="4" w:space="0" w:color="auto"/>
            </w:tcBorders>
            <w:hideMark/>
          </w:tcPr>
          <w:p w14:paraId="51023F0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E386FC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624A0F3"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363F4F9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5DD080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r>
      <w:tr w:rsidR="00A01E00" w:rsidRPr="002B3F36" w14:paraId="2DB011EB" w14:textId="77777777" w:rsidTr="000E123E">
        <w:trPr>
          <w:trHeight w:val="251"/>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50ADC8A1"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1:00-2:00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35F69A3C"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5087D027" w14:textId="77777777" w:rsidR="00A01E00" w:rsidRPr="002B3F36" w:rsidRDefault="00A01E00" w:rsidP="000B5F75">
            <w:pPr>
              <w:pStyle w:val="TableParagraph"/>
              <w:spacing w:line="256" w:lineRule="auto"/>
              <w:jc w:val="center"/>
              <w:rPr>
                <w:rFonts w:ascii="Arial" w:hAnsi="Arial" w:cs="Arial"/>
                <w:sz w:val="20"/>
                <w:szCs w:val="20"/>
                <w:lang w:val="ru-RU"/>
              </w:rPr>
            </w:pPr>
            <w:r w:rsidRPr="002B3F36">
              <w:rPr>
                <w:rFonts w:ascii="Arial" w:hAnsi="Arial" w:cs="Arial"/>
                <w:sz w:val="20"/>
                <w:szCs w:val="20"/>
                <w:lang w:val="ru-RU"/>
              </w:rPr>
              <w:t>59</w:t>
            </w:r>
            <w:r w:rsidRPr="002B3F36">
              <w:rPr>
                <w:rFonts w:ascii="Arial" w:hAnsi="Arial" w:cs="Arial"/>
                <w:sz w:val="20"/>
                <w:szCs w:val="20"/>
              </w:rPr>
              <w:t>.</w:t>
            </w:r>
            <w:r w:rsidRPr="002B3F36">
              <w:rPr>
                <w:rFonts w:ascii="Arial" w:hAnsi="Arial" w:cs="Arial"/>
                <w:sz w:val="20"/>
                <w:szCs w:val="20"/>
                <w:lang w:val="ru-RU"/>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54958A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9DA3157" w14:textId="77777777" w:rsidR="00A01E00" w:rsidRPr="002B3F36" w:rsidRDefault="00A01E00" w:rsidP="000B5F75">
            <w:pPr>
              <w:pStyle w:val="TableParagraph"/>
              <w:spacing w:before="8" w:line="256" w:lineRule="auto"/>
              <w:jc w:val="center"/>
              <w:rPr>
                <w:rFonts w:ascii="Arial" w:eastAsia="Calibri" w:hAnsi="Arial" w:cs="Arial"/>
                <w:color w:val="000000"/>
                <w:sz w:val="20"/>
                <w:szCs w:val="20"/>
                <w:lang w:val="ru-RU" w:eastAsia="en-PH"/>
              </w:rPr>
            </w:pPr>
            <w:r w:rsidRPr="002B3F36">
              <w:rPr>
                <w:rFonts w:ascii="Arial" w:hAnsi="Arial" w:cs="Arial"/>
                <w:color w:val="000000"/>
                <w:sz w:val="20"/>
                <w:szCs w:val="20"/>
                <w:lang w:val="ru-RU" w:eastAsia="en-PH"/>
              </w:rPr>
              <w:t>49</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72A3C56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FD9B2E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40</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r>
      <w:tr w:rsidR="00A01E00" w:rsidRPr="002B3F36" w14:paraId="14D604EA"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56AC3657"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2:00-3:00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27AD9CDF"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4A67D4C1" w14:textId="77777777" w:rsidR="00A01E00" w:rsidRPr="002B3F36" w:rsidRDefault="00A01E00" w:rsidP="000B5F75">
            <w:pPr>
              <w:pStyle w:val="TableParagraph"/>
              <w:spacing w:before="8" w:line="256" w:lineRule="auto"/>
              <w:jc w:val="center"/>
              <w:rPr>
                <w:rFonts w:ascii="Arial" w:hAnsi="Arial" w:cs="Arial"/>
                <w:color w:val="000000"/>
                <w:sz w:val="20"/>
                <w:szCs w:val="20"/>
                <w:lang w:val="ru-RU" w:eastAsia="en-PH"/>
              </w:rPr>
            </w:pPr>
            <w:r w:rsidRPr="002B3F36">
              <w:rPr>
                <w:rFonts w:ascii="Arial" w:hAnsi="Arial" w:cs="Arial"/>
                <w:color w:val="000000"/>
                <w:sz w:val="20"/>
                <w:szCs w:val="20"/>
                <w:lang w:val="ru-RU" w:eastAsia="en-PH"/>
              </w:rPr>
              <w:t>62</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C59BD5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0</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9C27D0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543C3D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3BC2B4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r>
      <w:tr w:rsidR="00A01E00" w:rsidRPr="002B3F36" w14:paraId="51F835AE"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718733AF"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3:00-4:00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6AD6C6FE"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4C9CF96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D17E8DD"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94D2BF8"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09CA017"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3B6416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r>
      <w:tr w:rsidR="00A01E00" w:rsidRPr="002B3F36" w14:paraId="152F9541"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3A304611"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4:00-5:00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68FCC0E8"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4381701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7B67DE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0F089BF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8547AD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BFA879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r>
      <w:tr w:rsidR="00A01E00" w:rsidRPr="002B3F36" w14:paraId="56C27C23" w14:textId="77777777" w:rsidTr="000E123E">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5D7D8E57"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themeColor="text1"/>
                <w:sz w:val="20"/>
                <w:szCs w:val="20"/>
                <w:lang w:val="en-PH" w:eastAsia="en-PH"/>
              </w:rPr>
              <w:t>5:00-6:00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34CA947F"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5AAF8D6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BD063E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495C407"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208E06F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3AE74C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r>
      <w:tr w:rsidR="00A01E00" w:rsidRPr="002B3F36" w14:paraId="2FCCB6D9" w14:textId="77777777" w:rsidTr="000E123E">
        <w:trPr>
          <w:trHeight w:val="288"/>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7E212AFF" w14:textId="77777777" w:rsidR="00A01E00" w:rsidRPr="002B3F36" w:rsidRDefault="00A01E00" w:rsidP="000B5F75">
            <w:pPr>
              <w:spacing w:line="256" w:lineRule="auto"/>
              <w:jc w:val="center"/>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PM</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597B6222" w14:textId="77777777" w:rsidR="00A01E00" w:rsidRPr="002B3F36" w:rsidRDefault="00A01E00" w:rsidP="000B5F75">
            <w:pPr>
              <w:spacing w:line="256" w:lineRule="auto"/>
              <w:rPr>
                <w:rFonts w:ascii="Arial" w:hAnsi="Arial" w:cs="Arial"/>
                <w:color w:val="000000"/>
                <w:sz w:val="20"/>
                <w:szCs w:val="20"/>
                <w:lang w:val="en-PH" w:eastAsia="en-PH"/>
              </w:rPr>
            </w:pPr>
            <w:r w:rsidRPr="002B3F36">
              <w:rPr>
                <w:rFonts w:ascii="Arial" w:hAnsi="Arial" w:cs="Arial"/>
                <w:color w:val="000000"/>
                <w:sz w:val="20"/>
                <w:szCs w:val="20"/>
                <w:lang w:val="en-PH" w:eastAsia="en-PH"/>
              </w:rPr>
              <w:t>6:00-7:00</w:t>
            </w:r>
          </w:p>
        </w:tc>
        <w:tc>
          <w:tcPr>
            <w:tcW w:w="1351" w:type="dxa"/>
            <w:tcBorders>
              <w:top w:val="single" w:sz="4" w:space="0" w:color="auto"/>
              <w:left w:val="single" w:sz="4" w:space="0" w:color="auto"/>
              <w:bottom w:val="single" w:sz="4" w:space="0" w:color="auto"/>
              <w:right w:val="single" w:sz="4" w:space="0" w:color="auto"/>
            </w:tcBorders>
            <w:hideMark/>
          </w:tcPr>
          <w:p w14:paraId="6D70A8F6" w14:textId="77777777" w:rsidR="00A01E00" w:rsidRPr="002B3F36" w:rsidRDefault="00A01E00" w:rsidP="000B5F75">
            <w:pPr>
              <w:pStyle w:val="TableParagraph"/>
              <w:spacing w:line="256" w:lineRule="auto"/>
              <w:jc w:val="center"/>
              <w:rPr>
                <w:rFonts w:ascii="Arial" w:hAnsi="Arial" w:cs="Arial"/>
                <w:color w:val="000000"/>
                <w:sz w:val="20"/>
                <w:szCs w:val="20"/>
                <w:lang w:val="ru-RU" w:eastAsia="en-PH"/>
              </w:rPr>
            </w:pPr>
            <w:r w:rsidRPr="002B3F36">
              <w:rPr>
                <w:rFonts w:ascii="Arial" w:hAnsi="Arial" w:cs="Arial"/>
                <w:color w:val="000000"/>
                <w:sz w:val="20"/>
                <w:szCs w:val="20"/>
                <w:lang w:val="ru-RU" w:eastAsia="en-PH"/>
              </w:rPr>
              <w:t>40</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60ED3D0"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1E0A283"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31C74E2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60E5B2D" w14:textId="77777777" w:rsidR="00A01E00" w:rsidRPr="002B3F36" w:rsidRDefault="00A01E00" w:rsidP="000B5F75">
            <w:pPr>
              <w:pStyle w:val="TableParagraph"/>
              <w:spacing w:line="256" w:lineRule="auto"/>
              <w:jc w:val="center"/>
              <w:rPr>
                <w:rFonts w:ascii="Arial" w:eastAsia="Calibri" w:hAnsi="Arial" w:cs="Arial"/>
                <w:color w:val="000000"/>
                <w:sz w:val="20"/>
                <w:szCs w:val="20"/>
                <w:lang w:val="ru-RU" w:eastAsia="en-PH"/>
              </w:rPr>
            </w:pPr>
            <w:r w:rsidRPr="002B3F36">
              <w:rPr>
                <w:rFonts w:ascii="Arial" w:hAnsi="Arial" w:cs="Arial"/>
                <w:color w:val="000000"/>
                <w:sz w:val="20"/>
                <w:szCs w:val="20"/>
                <w:lang w:val="ru-RU" w:eastAsia="en-PH"/>
              </w:rPr>
              <w:t>46</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2</w:t>
            </w:r>
          </w:p>
        </w:tc>
      </w:tr>
      <w:tr w:rsidR="00A01E00" w:rsidRPr="002B3F36" w14:paraId="7E58055B" w14:textId="77777777" w:rsidTr="000E123E">
        <w:trPr>
          <w:trHeight w:val="288"/>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5B8F7314"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93EB4B6" w14:textId="77777777" w:rsidR="00A01E00" w:rsidRPr="002B3F36" w:rsidRDefault="00A01E00" w:rsidP="000B5F75">
            <w:pPr>
              <w:spacing w:line="256" w:lineRule="auto"/>
              <w:rPr>
                <w:rFonts w:ascii="Arial" w:hAnsi="Arial" w:cs="Arial"/>
                <w:color w:val="000000"/>
                <w:sz w:val="20"/>
                <w:szCs w:val="20"/>
                <w:lang w:val="en-PH" w:eastAsia="en-PH"/>
              </w:rPr>
            </w:pPr>
            <w:r w:rsidRPr="002B3F36">
              <w:rPr>
                <w:rFonts w:ascii="Arial" w:hAnsi="Arial" w:cs="Arial"/>
                <w:color w:val="000000"/>
                <w:sz w:val="20"/>
                <w:szCs w:val="20"/>
                <w:lang w:val="en-PH" w:eastAsia="en-PH"/>
              </w:rPr>
              <w:t>7:00-8:00</w:t>
            </w:r>
          </w:p>
        </w:tc>
        <w:tc>
          <w:tcPr>
            <w:tcW w:w="1351" w:type="dxa"/>
            <w:tcBorders>
              <w:top w:val="single" w:sz="4" w:space="0" w:color="auto"/>
              <w:left w:val="single" w:sz="4" w:space="0" w:color="auto"/>
              <w:bottom w:val="single" w:sz="4" w:space="0" w:color="auto"/>
              <w:right w:val="single" w:sz="4" w:space="0" w:color="auto"/>
            </w:tcBorders>
            <w:hideMark/>
          </w:tcPr>
          <w:p w14:paraId="65A779E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4FCF101"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6B69BE3"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36873C37"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D1DE14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r>
      <w:tr w:rsidR="00A01E00" w:rsidRPr="002B3F36" w14:paraId="29B12A7C" w14:textId="77777777" w:rsidTr="000E123E">
        <w:trPr>
          <w:trHeight w:val="288"/>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11D2667A"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4FB217E2"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8:00-9:00</w:t>
            </w:r>
          </w:p>
        </w:tc>
        <w:tc>
          <w:tcPr>
            <w:tcW w:w="1351" w:type="dxa"/>
            <w:tcBorders>
              <w:top w:val="single" w:sz="4" w:space="0" w:color="auto"/>
              <w:left w:val="single" w:sz="4" w:space="0" w:color="auto"/>
              <w:bottom w:val="single" w:sz="4" w:space="0" w:color="auto"/>
              <w:right w:val="single" w:sz="4" w:space="0" w:color="auto"/>
            </w:tcBorders>
            <w:hideMark/>
          </w:tcPr>
          <w:p w14:paraId="7E4B1077"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0C39D7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0B7DB2C8"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70406B7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268632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41</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0</w:t>
            </w:r>
          </w:p>
        </w:tc>
      </w:tr>
      <w:tr w:rsidR="00A01E00" w:rsidRPr="002B3F36" w14:paraId="7930659E"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0CB7A400"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7C1B5C61"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9:00-10:00</w:t>
            </w:r>
          </w:p>
        </w:tc>
        <w:tc>
          <w:tcPr>
            <w:tcW w:w="1351" w:type="dxa"/>
            <w:tcBorders>
              <w:top w:val="single" w:sz="4" w:space="0" w:color="auto"/>
              <w:left w:val="single" w:sz="4" w:space="0" w:color="auto"/>
              <w:bottom w:val="single" w:sz="4" w:space="0" w:color="auto"/>
              <w:right w:val="single" w:sz="4" w:space="0" w:color="auto"/>
            </w:tcBorders>
            <w:hideMark/>
          </w:tcPr>
          <w:p w14:paraId="40B3E0E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40</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FC8253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4C49396D"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302CE12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4C5F40D"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r>
      <w:tr w:rsidR="00A01E00" w:rsidRPr="002B3F36" w14:paraId="31900081"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50B768DD"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73ED9E7"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10:00-11:00</w:t>
            </w:r>
          </w:p>
        </w:tc>
        <w:tc>
          <w:tcPr>
            <w:tcW w:w="1351" w:type="dxa"/>
            <w:tcBorders>
              <w:top w:val="single" w:sz="4" w:space="0" w:color="auto"/>
              <w:left w:val="single" w:sz="4" w:space="0" w:color="auto"/>
              <w:bottom w:val="single" w:sz="4" w:space="0" w:color="auto"/>
              <w:right w:val="single" w:sz="4" w:space="0" w:color="auto"/>
            </w:tcBorders>
            <w:hideMark/>
          </w:tcPr>
          <w:p w14:paraId="313A30CF"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06F5064"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40</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96BC1F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5FD6FC1" w14:textId="77777777" w:rsidR="00A01E00" w:rsidRPr="002B3F36" w:rsidRDefault="00A01E00" w:rsidP="000B5F75">
            <w:pPr>
              <w:pStyle w:val="TableParagraph"/>
              <w:spacing w:line="256" w:lineRule="auto"/>
              <w:jc w:val="center"/>
              <w:rPr>
                <w:rFonts w:ascii="Arial" w:eastAsia="Calibri" w:hAnsi="Arial" w:cs="Arial"/>
                <w:color w:val="000000"/>
                <w:sz w:val="20"/>
                <w:szCs w:val="20"/>
                <w:lang w:val="ru-RU" w:eastAsia="en-PH"/>
              </w:rPr>
            </w:pPr>
            <w:r w:rsidRPr="002B3F36">
              <w:rPr>
                <w:rFonts w:ascii="Arial" w:hAnsi="Arial" w:cs="Arial"/>
                <w:color w:val="000000"/>
                <w:sz w:val="20"/>
                <w:szCs w:val="20"/>
                <w:lang w:val="ru-RU" w:eastAsia="en-PH"/>
              </w:rPr>
              <w:t>64</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6B53A7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r>
      <w:tr w:rsidR="00A01E00" w:rsidRPr="002B3F36" w14:paraId="44AC6679"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7C702D93"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76916300"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11:00-12:00</w:t>
            </w:r>
          </w:p>
        </w:tc>
        <w:tc>
          <w:tcPr>
            <w:tcW w:w="1351" w:type="dxa"/>
            <w:tcBorders>
              <w:top w:val="single" w:sz="4" w:space="0" w:color="auto"/>
              <w:left w:val="single" w:sz="4" w:space="0" w:color="auto"/>
              <w:bottom w:val="single" w:sz="4" w:space="0" w:color="auto"/>
              <w:right w:val="single" w:sz="4" w:space="0" w:color="auto"/>
            </w:tcBorders>
            <w:hideMark/>
          </w:tcPr>
          <w:p w14:paraId="428FE7E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5C0F20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61186E0"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1970302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FF3BD2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33</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r>
      <w:tr w:rsidR="00A01E00" w:rsidRPr="002B3F36" w14:paraId="7C7107BF" w14:textId="77777777" w:rsidTr="000E123E">
        <w:trPr>
          <w:trHeight w:val="300"/>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4E3F99D" w14:textId="77777777" w:rsidR="00A01E00" w:rsidRPr="002B3F36" w:rsidRDefault="00A01E00" w:rsidP="000B5F75">
            <w:pPr>
              <w:spacing w:line="256" w:lineRule="auto"/>
              <w:jc w:val="center"/>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AM</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58EBC4B7" w14:textId="77777777" w:rsidR="00A01E00" w:rsidRPr="002B3F36" w:rsidRDefault="00A01E00" w:rsidP="000B5F75">
            <w:pPr>
              <w:spacing w:line="256" w:lineRule="auto"/>
              <w:rPr>
                <w:rFonts w:ascii="Arial" w:hAnsi="Arial" w:cs="Arial"/>
                <w:color w:val="000000"/>
                <w:sz w:val="20"/>
                <w:szCs w:val="20"/>
                <w:lang w:val="en-PH" w:eastAsia="en-PH"/>
              </w:rPr>
            </w:pPr>
            <w:r w:rsidRPr="002B3F36">
              <w:rPr>
                <w:rFonts w:ascii="Arial" w:hAnsi="Arial" w:cs="Arial"/>
                <w:color w:val="000000"/>
                <w:sz w:val="20"/>
                <w:szCs w:val="20"/>
                <w:lang w:val="en-PH" w:eastAsia="en-PH"/>
              </w:rPr>
              <w:t>12:00-1:00</w:t>
            </w:r>
          </w:p>
        </w:tc>
        <w:tc>
          <w:tcPr>
            <w:tcW w:w="1351" w:type="dxa"/>
            <w:tcBorders>
              <w:top w:val="single" w:sz="4" w:space="0" w:color="auto"/>
              <w:left w:val="single" w:sz="4" w:space="0" w:color="auto"/>
              <w:bottom w:val="single" w:sz="4" w:space="0" w:color="auto"/>
              <w:right w:val="single" w:sz="4" w:space="0" w:color="auto"/>
            </w:tcBorders>
            <w:hideMark/>
          </w:tcPr>
          <w:p w14:paraId="67E681A9" w14:textId="77777777" w:rsidR="00A01E00" w:rsidRPr="002B3F36" w:rsidRDefault="00A01E00" w:rsidP="000B5F75">
            <w:pPr>
              <w:pStyle w:val="TableParagraph"/>
              <w:spacing w:line="256" w:lineRule="auto"/>
              <w:jc w:val="center"/>
              <w:rPr>
                <w:rFonts w:ascii="Arial" w:hAnsi="Arial" w:cs="Arial"/>
                <w:color w:val="000000"/>
                <w:sz w:val="20"/>
                <w:szCs w:val="20"/>
                <w:lang w:val="ru-RU" w:eastAsia="en-PH"/>
              </w:rPr>
            </w:pPr>
            <w:r w:rsidRPr="002B3F36">
              <w:rPr>
                <w:rFonts w:ascii="Arial" w:hAnsi="Arial" w:cs="Arial"/>
                <w:color w:val="000000"/>
                <w:sz w:val="20"/>
                <w:szCs w:val="20"/>
                <w:lang w:val="ru-RU" w:eastAsia="en-PH"/>
              </w:rPr>
              <w:t>39</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10920CA"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63BAA8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A0A6312"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40</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B879BC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r>
      <w:tr w:rsidR="00A01E00" w:rsidRPr="002B3F36" w14:paraId="4131362D"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17432965"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0697B6AD"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1:00-2:00</w:t>
            </w:r>
          </w:p>
        </w:tc>
        <w:tc>
          <w:tcPr>
            <w:tcW w:w="1351" w:type="dxa"/>
            <w:tcBorders>
              <w:top w:val="single" w:sz="4" w:space="0" w:color="auto"/>
              <w:left w:val="single" w:sz="4" w:space="0" w:color="auto"/>
              <w:bottom w:val="single" w:sz="4" w:space="0" w:color="auto"/>
              <w:right w:val="single" w:sz="4" w:space="0" w:color="auto"/>
            </w:tcBorders>
            <w:hideMark/>
          </w:tcPr>
          <w:p w14:paraId="0547BA0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BB96F33" w14:textId="77777777" w:rsidR="00A01E00" w:rsidRPr="002B3F36" w:rsidRDefault="00A01E00" w:rsidP="000B5F75">
            <w:pPr>
              <w:pStyle w:val="TableParagraph"/>
              <w:spacing w:line="256" w:lineRule="auto"/>
              <w:jc w:val="center"/>
              <w:rPr>
                <w:rFonts w:ascii="Arial" w:eastAsia="Calibri" w:hAnsi="Arial" w:cs="Arial"/>
                <w:color w:val="000000"/>
                <w:sz w:val="20"/>
                <w:szCs w:val="20"/>
                <w:lang w:val="ru-RU" w:eastAsia="en-PH"/>
              </w:rPr>
            </w:pPr>
            <w:r w:rsidRPr="002B3F36">
              <w:rPr>
                <w:rFonts w:ascii="Arial" w:hAnsi="Arial" w:cs="Arial"/>
                <w:color w:val="000000"/>
                <w:sz w:val="20"/>
                <w:szCs w:val="20"/>
                <w:lang w:val="ru-RU" w:eastAsia="en-PH"/>
              </w:rPr>
              <w:t>38</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9</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03EBAF47" w14:textId="77777777" w:rsidR="00A01E00" w:rsidRPr="002B3F36" w:rsidRDefault="00A01E00" w:rsidP="000B5F75">
            <w:pPr>
              <w:pStyle w:val="TableParagraph"/>
              <w:spacing w:line="256" w:lineRule="auto"/>
              <w:jc w:val="center"/>
              <w:rPr>
                <w:rFonts w:ascii="Arial" w:hAnsi="Arial" w:cs="Arial"/>
                <w:color w:val="000000"/>
                <w:sz w:val="20"/>
                <w:szCs w:val="20"/>
                <w:lang w:val="ru-RU" w:eastAsia="en-PH"/>
              </w:rPr>
            </w:pPr>
            <w:r w:rsidRPr="002B3F36">
              <w:rPr>
                <w:rFonts w:ascii="Arial" w:hAnsi="Arial" w:cs="Arial"/>
                <w:color w:val="000000"/>
                <w:sz w:val="20"/>
                <w:szCs w:val="20"/>
                <w:lang w:val="ru-RU" w:eastAsia="en-PH"/>
              </w:rPr>
              <w:t>48</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3AFEFAB" w14:textId="77777777" w:rsidR="00A01E00" w:rsidRPr="002B3F36" w:rsidRDefault="00A01E00" w:rsidP="000B5F75">
            <w:pPr>
              <w:pStyle w:val="TableParagraph"/>
              <w:spacing w:line="256" w:lineRule="auto"/>
              <w:jc w:val="center"/>
              <w:rPr>
                <w:rFonts w:ascii="Arial" w:hAnsi="Arial" w:cs="Arial"/>
                <w:color w:val="000000"/>
                <w:sz w:val="20"/>
                <w:szCs w:val="20"/>
                <w:lang w:val="ru-RU" w:eastAsia="en-PH"/>
              </w:rPr>
            </w:pPr>
            <w:r w:rsidRPr="002B3F36">
              <w:rPr>
                <w:rFonts w:ascii="Arial" w:hAnsi="Arial" w:cs="Arial"/>
                <w:color w:val="000000"/>
                <w:sz w:val="20"/>
                <w:szCs w:val="20"/>
                <w:lang w:val="ru-RU" w:eastAsia="en-PH"/>
              </w:rPr>
              <w:t>43</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F8A216E" w14:textId="77777777" w:rsidR="00A01E00" w:rsidRPr="002B3F36" w:rsidRDefault="00A01E00" w:rsidP="000B5F75">
            <w:pPr>
              <w:pStyle w:val="TableParagraph"/>
              <w:spacing w:line="256" w:lineRule="auto"/>
              <w:jc w:val="center"/>
              <w:rPr>
                <w:rFonts w:ascii="Arial" w:hAnsi="Arial" w:cs="Arial"/>
                <w:color w:val="000000"/>
                <w:sz w:val="20"/>
                <w:szCs w:val="20"/>
                <w:lang w:val="ru-RU" w:eastAsia="en-PH"/>
              </w:rPr>
            </w:pPr>
            <w:r w:rsidRPr="002B3F36">
              <w:rPr>
                <w:rFonts w:ascii="Arial" w:hAnsi="Arial" w:cs="Arial"/>
                <w:color w:val="000000"/>
                <w:sz w:val="20"/>
                <w:szCs w:val="20"/>
                <w:lang w:val="ru-RU" w:eastAsia="en-PH"/>
              </w:rPr>
              <w:t>35</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8</w:t>
            </w:r>
          </w:p>
        </w:tc>
      </w:tr>
      <w:tr w:rsidR="00A01E00" w:rsidRPr="002B3F36" w14:paraId="4D92E894"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17F8458D"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A90E699" w14:textId="77777777" w:rsidR="00A01E00" w:rsidRPr="002B3F36" w:rsidRDefault="00A01E00" w:rsidP="000B5F75">
            <w:pPr>
              <w:spacing w:line="256" w:lineRule="auto"/>
              <w:rPr>
                <w:rFonts w:ascii="Arial" w:hAnsi="Arial" w:cs="Arial"/>
                <w:color w:val="000000"/>
                <w:sz w:val="20"/>
                <w:szCs w:val="20"/>
                <w:lang w:val="en-PH" w:eastAsia="en-PH"/>
              </w:rPr>
            </w:pPr>
            <w:r w:rsidRPr="002B3F36">
              <w:rPr>
                <w:rFonts w:ascii="Arial" w:hAnsi="Arial" w:cs="Arial"/>
                <w:color w:val="000000"/>
                <w:sz w:val="20"/>
                <w:szCs w:val="20"/>
                <w:lang w:val="en-PH" w:eastAsia="en-PH"/>
              </w:rPr>
              <w:t>2:00-3:00</w:t>
            </w:r>
          </w:p>
        </w:tc>
        <w:tc>
          <w:tcPr>
            <w:tcW w:w="1351" w:type="dxa"/>
            <w:tcBorders>
              <w:top w:val="single" w:sz="4" w:space="0" w:color="auto"/>
              <w:left w:val="single" w:sz="4" w:space="0" w:color="auto"/>
              <w:bottom w:val="single" w:sz="4" w:space="0" w:color="auto"/>
              <w:right w:val="single" w:sz="4" w:space="0" w:color="auto"/>
            </w:tcBorders>
            <w:hideMark/>
          </w:tcPr>
          <w:p w14:paraId="13EB542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41</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608041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40</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C925288"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50</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474F343"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5A5329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34</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r>
      <w:tr w:rsidR="00A01E00" w:rsidRPr="002B3F36" w14:paraId="7AE1CD33"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17F15D2B"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1900793"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3:00-4:00</w:t>
            </w:r>
          </w:p>
        </w:tc>
        <w:tc>
          <w:tcPr>
            <w:tcW w:w="1351" w:type="dxa"/>
            <w:tcBorders>
              <w:top w:val="single" w:sz="4" w:space="0" w:color="auto"/>
              <w:left w:val="single" w:sz="4" w:space="0" w:color="auto"/>
              <w:bottom w:val="single" w:sz="4" w:space="0" w:color="auto"/>
              <w:right w:val="single" w:sz="4" w:space="0" w:color="auto"/>
            </w:tcBorders>
            <w:hideMark/>
          </w:tcPr>
          <w:p w14:paraId="2D7F5AC9"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9CA965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BF5EF08"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39</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4DFC991" w14:textId="77777777" w:rsidR="00A01E00" w:rsidRPr="002B3F36" w:rsidRDefault="00A01E00" w:rsidP="000B5F75">
            <w:pPr>
              <w:pStyle w:val="TableParagraph"/>
              <w:spacing w:line="256" w:lineRule="auto"/>
              <w:jc w:val="center"/>
              <w:rPr>
                <w:rFonts w:ascii="Arial" w:eastAsia="Calibri" w:hAnsi="Arial" w:cs="Arial"/>
                <w:color w:val="000000"/>
                <w:sz w:val="20"/>
                <w:szCs w:val="20"/>
                <w:lang w:val="ru-RU" w:eastAsia="en-PH"/>
              </w:rPr>
            </w:pPr>
            <w:r w:rsidRPr="002B3F36">
              <w:rPr>
                <w:rFonts w:ascii="Arial" w:hAnsi="Arial" w:cs="Arial"/>
                <w:color w:val="000000"/>
                <w:sz w:val="20"/>
                <w:szCs w:val="20"/>
                <w:lang w:val="ru-RU" w:eastAsia="en-PH"/>
              </w:rPr>
              <w:t>40</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8449A5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r>
      <w:tr w:rsidR="00A01E00" w:rsidRPr="002B3F36" w14:paraId="049B7A67"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438A1663"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389AD5B"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4:00-5:00</w:t>
            </w:r>
          </w:p>
        </w:tc>
        <w:tc>
          <w:tcPr>
            <w:tcW w:w="1351" w:type="dxa"/>
            <w:tcBorders>
              <w:top w:val="single" w:sz="4" w:space="0" w:color="auto"/>
              <w:left w:val="single" w:sz="4" w:space="0" w:color="auto"/>
              <w:bottom w:val="single" w:sz="4" w:space="0" w:color="auto"/>
              <w:right w:val="single" w:sz="4" w:space="0" w:color="auto"/>
            </w:tcBorders>
            <w:hideMark/>
          </w:tcPr>
          <w:p w14:paraId="73CC4A48"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41</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F4A9E45"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42</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CA6AF7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1A6E99C"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36</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B5CDD1E"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0</w:t>
            </w:r>
          </w:p>
        </w:tc>
      </w:tr>
      <w:tr w:rsidR="00A01E00" w:rsidRPr="002B3F36" w14:paraId="522D50D5" w14:textId="77777777" w:rsidTr="000E123E">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5BB3853A" w14:textId="77777777" w:rsidR="00A01E00" w:rsidRPr="002B3F36" w:rsidRDefault="00A01E00" w:rsidP="000B5F75">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110AEAAC" w14:textId="77777777" w:rsidR="00A01E00" w:rsidRPr="002B3F36" w:rsidRDefault="00A01E00" w:rsidP="000B5F75">
            <w:pPr>
              <w:spacing w:line="256" w:lineRule="auto"/>
              <w:rPr>
                <w:rFonts w:ascii="Arial" w:eastAsia="Times New Roman" w:hAnsi="Arial" w:cs="Arial"/>
                <w:color w:val="000000"/>
                <w:sz w:val="20"/>
                <w:szCs w:val="20"/>
                <w:lang w:val="en-PH" w:eastAsia="en-PH"/>
              </w:rPr>
            </w:pPr>
            <w:r w:rsidRPr="002B3F36">
              <w:rPr>
                <w:rFonts w:ascii="Arial" w:hAnsi="Arial" w:cs="Arial"/>
                <w:color w:val="000000"/>
                <w:sz w:val="20"/>
                <w:szCs w:val="20"/>
                <w:lang w:val="en-PH" w:eastAsia="en-PH"/>
              </w:rPr>
              <w:t>5:00-6:00</w:t>
            </w:r>
          </w:p>
        </w:tc>
        <w:tc>
          <w:tcPr>
            <w:tcW w:w="1351" w:type="dxa"/>
            <w:tcBorders>
              <w:top w:val="single" w:sz="4" w:space="0" w:color="auto"/>
              <w:left w:val="single" w:sz="4" w:space="0" w:color="auto"/>
              <w:bottom w:val="single" w:sz="4" w:space="0" w:color="auto"/>
              <w:right w:val="single" w:sz="4" w:space="0" w:color="auto"/>
            </w:tcBorders>
            <w:hideMark/>
          </w:tcPr>
          <w:p w14:paraId="6AD991D6"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7BCB847"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47</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3</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DF6473F" w14:textId="77777777" w:rsidR="00A01E00" w:rsidRPr="002B3F36" w:rsidRDefault="00A01E00" w:rsidP="000B5F75">
            <w:pPr>
              <w:pStyle w:val="TableParagraph"/>
              <w:spacing w:before="10" w:line="256" w:lineRule="auto"/>
              <w:jc w:val="center"/>
              <w:rPr>
                <w:rFonts w:ascii="Arial" w:eastAsia="Calibri" w:hAnsi="Arial" w:cs="Arial"/>
                <w:color w:val="000000"/>
                <w:sz w:val="20"/>
                <w:szCs w:val="20"/>
                <w:lang w:val="ru-RU" w:eastAsia="en-PH"/>
              </w:rPr>
            </w:pPr>
            <w:r w:rsidRPr="002B3F36">
              <w:rPr>
                <w:rFonts w:ascii="Arial" w:hAnsi="Arial" w:cs="Arial"/>
                <w:color w:val="000000"/>
                <w:sz w:val="20"/>
                <w:szCs w:val="20"/>
                <w:lang w:val="ru-RU" w:eastAsia="en-PH"/>
              </w:rPr>
              <w:t>39</w:t>
            </w:r>
            <w:r w:rsidRPr="002B3F36">
              <w:rPr>
                <w:rFonts w:ascii="Arial" w:hAnsi="Arial" w:cs="Arial"/>
                <w:color w:val="000000"/>
                <w:sz w:val="20"/>
                <w:szCs w:val="20"/>
                <w:lang w:eastAsia="en-PH"/>
              </w:rPr>
              <w:t>.</w:t>
            </w:r>
            <w:r w:rsidRPr="002B3F36">
              <w:rPr>
                <w:rFonts w:ascii="Arial"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4C18125B"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38</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284F810" w14:textId="77777777" w:rsidR="00A01E00" w:rsidRPr="002B3F36" w:rsidRDefault="00A01E00" w:rsidP="000B5F75">
            <w:pPr>
              <w:spacing w:line="256" w:lineRule="auto"/>
              <w:jc w:val="center"/>
              <w:rPr>
                <w:rFonts w:ascii="Arial" w:eastAsia="Calibri" w:hAnsi="Arial" w:cs="Arial"/>
                <w:color w:val="000000"/>
                <w:sz w:val="20"/>
                <w:szCs w:val="20"/>
                <w:lang w:val="ru-RU" w:eastAsia="en-PH"/>
              </w:rPr>
            </w:pPr>
            <w:r w:rsidRPr="002B3F36">
              <w:rPr>
                <w:rFonts w:ascii="Arial" w:eastAsia="Calibri" w:hAnsi="Arial" w:cs="Arial"/>
                <w:color w:val="000000"/>
                <w:sz w:val="20"/>
                <w:szCs w:val="20"/>
                <w:lang w:val="ru-RU" w:eastAsia="en-PH"/>
              </w:rPr>
              <w:t>35</w:t>
            </w:r>
            <w:r w:rsidRPr="002B3F36">
              <w:rPr>
                <w:rFonts w:ascii="Arial" w:eastAsia="Calibri" w:hAnsi="Arial" w:cs="Arial"/>
                <w:color w:val="000000"/>
                <w:sz w:val="20"/>
                <w:szCs w:val="20"/>
                <w:lang w:eastAsia="en-PH"/>
              </w:rPr>
              <w:t>.</w:t>
            </w:r>
            <w:r w:rsidRPr="002B3F36">
              <w:rPr>
                <w:rFonts w:ascii="Arial" w:eastAsia="Calibri" w:hAnsi="Arial" w:cs="Arial"/>
                <w:color w:val="000000"/>
                <w:sz w:val="20"/>
                <w:szCs w:val="20"/>
                <w:lang w:val="ru-RU" w:eastAsia="en-PH"/>
              </w:rPr>
              <w:t>6</w:t>
            </w:r>
          </w:p>
        </w:tc>
      </w:tr>
    </w:tbl>
    <w:p w14:paraId="2F82DF1C" w14:textId="77777777" w:rsidR="00A01E00" w:rsidRPr="002B3F36" w:rsidRDefault="00A01E00" w:rsidP="00A01E00">
      <w:pPr>
        <w:rPr>
          <w:rFonts w:ascii="Arial" w:eastAsia="Calibri" w:hAnsi="Arial" w:cs="Arial"/>
          <w:sz w:val="24"/>
          <w:szCs w:val="24"/>
          <w:lang w:val="en-AU" w:eastAsia="ru-RU"/>
        </w:rPr>
      </w:pPr>
    </w:p>
    <w:p w14:paraId="440EE769" w14:textId="77777777" w:rsidR="00A01E00" w:rsidRPr="002B3F36" w:rsidRDefault="00A01E00" w:rsidP="00A01E00">
      <w:pPr>
        <w:pStyle w:val="ReportBodyPar"/>
      </w:pPr>
      <w:r w:rsidRPr="002B3F36">
        <w:t>Construction activities will likely raise noise levels near active work sites, auxiliary facilities, and surrounding areas, including Important Bird Areas (IBAs). Elevated noise may disturb local communities as well as sensitive wildlife, particularly bird species within these habitats.</w:t>
      </w:r>
    </w:p>
    <w:p w14:paraId="0AD08076" w14:textId="77777777" w:rsidR="00A01E00" w:rsidRPr="002B3F36" w:rsidRDefault="00A01E00" w:rsidP="00A01E00">
      <w:pPr>
        <w:pStyle w:val="ReportBodyPar"/>
      </w:pPr>
    </w:p>
    <w:p w14:paraId="7BDCF61F" w14:textId="77777777" w:rsidR="00A01E00" w:rsidRPr="002B3F36" w:rsidRDefault="00A01E00" w:rsidP="00A01E00">
      <w:pPr>
        <w:pStyle w:val="ReportBodyPar"/>
      </w:pPr>
      <w:r w:rsidRPr="002B3F36">
        <w:t>Prolonged exposure to high noise levels can also affect the health of workers. The Environmental and Social Management Plan (ESMP) therefore calls for the use of appropriate hearing protection, such as earplugs or earmuffs, alongside exposure reduction measures like task rotation and work hour limits for high-noise activities.</w:t>
      </w:r>
    </w:p>
    <w:p w14:paraId="66DAF97F" w14:textId="77777777" w:rsidR="00A01E00" w:rsidRPr="002B3F36" w:rsidRDefault="00A01E00" w:rsidP="00A01E00">
      <w:pPr>
        <w:pStyle w:val="ReportBodyPar"/>
      </w:pPr>
    </w:p>
    <w:p w14:paraId="79A26F40" w14:textId="263EDA06" w:rsidR="00A01E00" w:rsidRPr="002B3F36" w:rsidRDefault="00A01E00" w:rsidP="00A01E00">
      <w:pPr>
        <w:pStyle w:val="ReportBodyPar"/>
      </w:pPr>
      <w:r w:rsidRPr="002B3F36">
        <w:t>To minimize disturbance beyond the construction footprint, the ESMP outlines community advisories on noise risks, management protocols, and mitigation measures such as scheduling the noisiest tasks away from sensitive periods for wildlife. Continuous noise monitoring at critical points - including areas near IBAs - will guide the application of corrective actions to keep noise levels within permissible limits and protect both human and ecological receptors.</w:t>
      </w:r>
    </w:p>
    <w:p w14:paraId="543EEBB9" w14:textId="55402A88" w:rsidR="00B82A40" w:rsidRPr="002B3F36" w:rsidRDefault="00B82A40" w:rsidP="00A01E00">
      <w:pPr>
        <w:pStyle w:val="ReportBodyPar"/>
      </w:pPr>
    </w:p>
    <w:p w14:paraId="0397C59B" w14:textId="77777777" w:rsidR="003431C3" w:rsidRPr="002B3F36" w:rsidRDefault="003431C3" w:rsidP="00A01E00">
      <w:pPr>
        <w:pStyle w:val="ReportBodyPar"/>
        <w:sectPr w:rsidR="003431C3" w:rsidRPr="002B3F36">
          <w:pgSz w:w="11910" w:h="16840"/>
          <w:pgMar w:top="1040" w:right="1133" w:bottom="1300" w:left="992" w:header="563" w:footer="1114" w:gutter="0"/>
          <w:cols w:space="720"/>
        </w:sectPr>
      </w:pPr>
    </w:p>
    <w:p w14:paraId="781ED54D" w14:textId="77777777" w:rsidR="003431C3" w:rsidRPr="002B3F36" w:rsidRDefault="003431C3" w:rsidP="00A01E00">
      <w:pPr>
        <w:pStyle w:val="ReportBodyPar"/>
      </w:pPr>
    </w:p>
    <w:p w14:paraId="159F72B8" w14:textId="77777777" w:rsidR="003431C3" w:rsidRPr="002B3F36" w:rsidRDefault="003431C3" w:rsidP="00A01E00">
      <w:pPr>
        <w:pStyle w:val="ReportBodyPar"/>
      </w:pPr>
    </w:p>
    <w:p w14:paraId="0154F3CB" w14:textId="77777777" w:rsidR="003431C3" w:rsidRPr="002B3F36" w:rsidRDefault="003431C3" w:rsidP="003431C3">
      <w:pPr>
        <w:rPr>
          <w:rFonts w:ascii="Arial" w:hAnsi="Arial" w:cs="Arial"/>
        </w:rPr>
      </w:pPr>
      <w:r w:rsidRPr="002B3F36">
        <w:rPr>
          <w:rFonts w:ascii="Arial" w:hAnsi="Arial" w:cs="Arial"/>
          <w:noProof/>
        </w:rPr>
        <w:drawing>
          <wp:inline distT="0" distB="0" distL="0" distR="0" wp14:anchorId="74FA6DC2" wp14:editId="4651A10A">
            <wp:extent cx="9105900" cy="5124450"/>
            <wp:effectExtent l="19050" t="19050" r="19050" b="19050"/>
            <wp:docPr id="5293735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05900" cy="5124450"/>
                    </a:xfrm>
                    <a:prstGeom prst="rect">
                      <a:avLst/>
                    </a:prstGeom>
                    <a:noFill/>
                    <a:ln w="3175">
                      <a:solidFill>
                        <a:schemeClr val="tx1"/>
                      </a:solidFill>
                    </a:ln>
                  </pic:spPr>
                </pic:pic>
              </a:graphicData>
            </a:graphic>
          </wp:inline>
        </w:drawing>
      </w:r>
    </w:p>
    <w:p w14:paraId="331972D0" w14:textId="7D542C6A" w:rsidR="003431C3" w:rsidRPr="002B3F36" w:rsidRDefault="003431C3" w:rsidP="008F08BA">
      <w:pPr>
        <w:pStyle w:val="FigureCaption"/>
        <w:rPr>
          <w:rFonts w:cs="Arial"/>
        </w:rPr>
      </w:pPr>
      <w:bookmarkStart w:id="2054" w:name="_Toc210589605"/>
      <w:r w:rsidRPr="002B3F36">
        <w:rPr>
          <w:rFonts w:cs="Arial"/>
        </w:rPr>
        <w:t xml:space="preserve">Figure </w:t>
      </w:r>
      <w:r w:rsidR="00CF113E" w:rsidRPr="002B3F36">
        <w:rPr>
          <w:rFonts w:cs="Arial"/>
        </w:rPr>
        <w:fldChar w:fldCharType="begin"/>
      </w:r>
      <w:r w:rsidR="00CF113E" w:rsidRPr="002B3F36">
        <w:rPr>
          <w:rFonts w:cs="Arial"/>
        </w:rPr>
        <w:instrText xml:space="preserve"> SEQ Figure \* ARABIC </w:instrText>
      </w:r>
      <w:r w:rsidR="00CF113E" w:rsidRPr="002B3F36">
        <w:rPr>
          <w:rFonts w:cs="Arial"/>
        </w:rPr>
        <w:fldChar w:fldCharType="separate"/>
      </w:r>
      <w:r w:rsidR="002B3F36">
        <w:rPr>
          <w:rFonts w:cs="Arial"/>
          <w:noProof/>
        </w:rPr>
        <w:t>16</w:t>
      </w:r>
      <w:r w:rsidR="00CF113E" w:rsidRPr="002B3F36">
        <w:rPr>
          <w:rFonts w:cs="Arial"/>
        </w:rPr>
        <w:fldChar w:fldCharType="end"/>
      </w:r>
      <w:r w:rsidRPr="002B3F36">
        <w:rPr>
          <w:rFonts w:cs="Arial"/>
        </w:rPr>
        <w:t>: Air Quality and Noise Measurement Sampling Locations</w:t>
      </w:r>
      <w:bookmarkEnd w:id="2054"/>
    </w:p>
    <w:p w14:paraId="725654A7" w14:textId="77777777" w:rsidR="003431C3" w:rsidRPr="002B3F36" w:rsidRDefault="003431C3" w:rsidP="003431C3">
      <w:pPr>
        <w:pStyle w:val="FigureCaption"/>
        <w:rPr>
          <w:rFonts w:cs="Arial"/>
        </w:rPr>
      </w:pPr>
    </w:p>
    <w:p w14:paraId="2670D1A6" w14:textId="51E9E914" w:rsidR="003431C3" w:rsidRPr="002B3F36" w:rsidRDefault="003431C3" w:rsidP="00A01E00">
      <w:pPr>
        <w:pStyle w:val="ReportBodyPar"/>
        <w:sectPr w:rsidR="003431C3" w:rsidRPr="002B3F36" w:rsidSect="003431C3">
          <w:pgSz w:w="16840" w:h="11910" w:orient="landscape"/>
          <w:pgMar w:top="992" w:right="1040" w:bottom="1133" w:left="1300" w:header="563" w:footer="1114" w:gutter="0"/>
          <w:cols w:space="720"/>
          <w:docGrid w:linePitch="299"/>
        </w:sectPr>
      </w:pPr>
    </w:p>
    <w:p w14:paraId="7A469068" w14:textId="73AC2EFF" w:rsidR="00F61F8E" w:rsidRPr="002B3F36" w:rsidRDefault="000F264B">
      <w:pPr>
        <w:pStyle w:val="20"/>
      </w:pPr>
      <w:bookmarkStart w:id="2055" w:name="_Toc209605180"/>
      <w:bookmarkStart w:id="2056" w:name="_Toc209609115"/>
      <w:bookmarkStart w:id="2057" w:name="_Toc168494473"/>
      <w:bookmarkStart w:id="2058" w:name="_Toc168537986"/>
      <w:bookmarkStart w:id="2059" w:name="_Toc168548327"/>
      <w:bookmarkStart w:id="2060" w:name="_Toc168494476"/>
      <w:bookmarkStart w:id="2061" w:name="_Toc168537989"/>
      <w:bookmarkStart w:id="2062" w:name="_Toc168548330"/>
      <w:bookmarkStart w:id="2063" w:name="_bookmark116"/>
      <w:bookmarkStart w:id="2064" w:name="_Toc208973833"/>
      <w:bookmarkStart w:id="2065" w:name="_Toc208974033"/>
      <w:bookmarkStart w:id="2066" w:name="_Toc208974233"/>
      <w:bookmarkStart w:id="2067" w:name="_Toc208974435"/>
      <w:bookmarkStart w:id="2068" w:name="_Toc208974643"/>
      <w:bookmarkStart w:id="2069" w:name="_Toc210589472"/>
      <w:bookmarkEnd w:id="2055"/>
      <w:bookmarkEnd w:id="2056"/>
      <w:bookmarkEnd w:id="2057"/>
      <w:bookmarkEnd w:id="2058"/>
      <w:bookmarkEnd w:id="2059"/>
      <w:bookmarkEnd w:id="2060"/>
      <w:bookmarkEnd w:id="2061"/>
      <w:bookmarkEnd w:id="2062"/>
      <w:bookmarkEnd w:id="2063"/>
      <w:r w:rsidRPr="002B3F36">
        <w:lastRenderedPageBreak/>
        <w:t>Social Data</w:t>
      </w:r>
      <w:bookmarkEnd w:id="2064"/>
      <w:bookmarkEnd w:id="2065"/>
      <w:bookmarkEnd w:id="2066"/>
      <w:bookmarkEnd w:id="2067"/>
      <w:bookmarkEnd w:id="2068"/>
      <w:bookmarkEnd w:id="2069"/>
    </w:p>
    <w:p w14:paraId="2F93E0B4" w14:textId="465E8FD7" w:rsidR="00E8395A" w:rsidRPr="002B3F36" w:rsidRDefault="00E8395A" w:rsidP="00E8395A">
      <w:pPr>
        <w:pStyle w:val="ReportBodyPar"/>
      </w:pPr>
    </w:p>
    <w:p w14:paraId="0BF0DB4C" w14:textId="270160E7" w:rsidR="00E8395A" w:rsidRPr="002B3F36" w:rsidRDefault="00E8395A" w:rsidP="00E8395A">
      <w:pPr>
        <w:pStyle w:val="ReportBodyPar"/>
      </w:pPr>
      <w:r w:rsidRPr="002B3F36">
        <w:t xml:space="preserve">The socioeconomic context along the </w:t>
      </w:r>
      <w:r w:rsidR="003650DB" w:rsidRPr="002B3F36">
        <w:t xml:space="preserve">Mointy – Kyzylzhar </w:t>
      </w:r>
      <w:r w:rsidRPr="002B3F36">
        <w:t xml:space="preserve">railway corridor reflects a mix of industrial, mining, agricultural, and service-based economies across Ulytau and </w:t>
      </w:r>
      <w:r w:rsidR="003A184C">
        <w:t>Karagandy</w:t>
      </w:r>
      <w:r w:rsidRPr="002B3F36">
        <w:t xml:space="preserve"> regions. These areas combine urban centers with rural settlements, providing a workforce skilled in construction, mining, and technical trades while maintaining strong ties to pastoral livelihoods and local enterprises. Population growth, labor availability, and ongoing investments in infrastructure and trade position the corridor as an emerging hub for regional connectivity and economic development.</w:t>
      </w:r>
    </w:p>
    <w:p w14:paraId="3219A736" w14:textId="77777777" w:rsidR="00E8395A" w:rsidRPr="002B3F36" w:rsidRDefault="00E8395A" w:rsidP="00E8395A">
      <w:pPr>
        <w:pStyle w:val="ReportBodyPar"/>
      </w:pPr>
    </w:p>
    <w:p w14:paraId="34C11009" w14:textId="1D3089BA" w:rsidR="00E8395A" w:rsidRPr="002B3F36" w:rsidRDefault="00E8395A" w:rsidP="00E8395A">
      <w:pPr>
        <w:pStyle w:val="ReportBodyPar"/>
      </w:pPr>
      <w:r w:rsidRPr="002B3F36">
        <w:t>Cultural heritage in the project area encompasses both tangible assets, such as archaeological sites, burial mounds, and historic landscapes, as well as intangible traditions shaped by nomadic history, trade routes, and collective memory from more recent historical events. Together, these elements form an important cultural and historical backdrop for the railway project, requiring careful planning to balance development needs with the preservation of heritage values and community identity.</w:t>
      </w:r>
    </w:p>
    <w:p w14:paraId="0B933909" w14:textId="77777777" w:rsidR="00E8395A" w:rsidRPr="002B3F36" w:rsidRDefault="00E8395A" w:rsidP="00E8395A">
      <w:pPr>
        <w:pStyle w:val="ReportBodyPar"/>
      </w:pPr>
    </w:p>
    <w:p w14:paraId="001ED31B" w14:textId="77777777" w:rsidR="00F61F8E" w:rsidRPr="002B3F36" w:rsidRDefault="000F264B" w:rsidP="005A68AD">
      <w:pPr>
        <w:pStyle w:val="31"/>
      </w:pPr>
      <w:bookmarkStart w:id="2070" w:name="_Toc208973834"/>
      <w:bookmarkStart w:id="2071" w:name="_Toc208974034"/>
      <w:bookmarkStart w:id="2072" w:name="_Toc208974234"/>
      <w:bookmarkStart w:id="2073" w:name="_Toc208974436"/>
      <w:bookmarkStart w:id="2074" w:name="_Toc208974644"/>
      <w:bookmarkStart w:id="2075" w:name="_Toc210589473"/>
      <w:r w:rsidRPr="002B3F36">
        <w:t>Socioeconomic Information</w:t>
      </w:r>
      <w:bookmarkEnd w:id="2070"/>
      <w:bookmarkEnd w:id="2071"/>
      <w:bookmarkEnd w:id="2072"/>
      <w:bookmarkEnd w:id="2073"/>
      <w:bookmarkEnd w:id="2074"/>
      <w:bookmarkEnd w:id="2075"/>
    </w:p>
    <w:p w14:paraId="399566E2" w14:textId="77777777" w:rsidR="00F61F8E" w:rsidRPr="002B3F36" w:rsidRDefault="00F61F8E">
      <w:pPr>
        <w:pStyle w:val="ReportBodyPar"/>
      </w:pPr>
    </w:p>
    <w:p w14:paraId="3398CF29" w14:textId="4BEB5827" w:rsidR="00F61F8E" w:rsidRPr="002B3F36" w:rsidRDefault="00764B54">
      <w:pPr>
        <w:pStyle w:val="ReportBodyPar"/>
      </w:pPr>
      <w:r w:rsidRPr="002B3F36">
        <w:t xml:space="preserve">The Mointy–Kyzylzhar railway corridor passes through </w:t>
      </w:r>
      <w:r w:rsidR="003A184C">
        <w:t>Karagandy</w:t>
      </w:r>
      <w:r w:rsidRPr="002B3F36">
        <w:t xml:space="preserve"> and Ulytau Regions, intersecting both district centers and sparsely populated rural areas along the right-of-way. The socioeconomic setting reflects a mixed landscape: in </w:t>
      </w:r>
      <w:r w:rsidR="003A184C">
        <w:t>Karagandy</w:t>
      </w:r>
      <w:r w:rsidRPr="002B3F36">
        <w:t xml:space="preserve">, one of Kazakhstan’s most industrialized regions, a diversified economy based on mining, metallurgy, energy, and manufacturing supports a largely urbanized population, while agriculture and transport services remain important sources of local employment, particularly in Shet District. In Ulytau, a newly re-established </w:t>
      </w:r>
      <w:r w:rsidR="003A184C">
        <w:t>region</w:t>
      </w:r>
      <w:r w:rsidRPr="002B3F36">
        <w:t xml:space="preserve"> with Jezkazgan as its capital, copper mining, metallurgy, and related technical professions dominate, complemented by small and medium-scale enterprises and traditional agricultural livelihoods in rural settlements such as Zhanaarka. Together, these regions provide the industrial base, workforce, and settlement structure that frame the social and economic conditions along the project corridor.</w:t>
      </w:r>
    </w:p>
    <w:p w14:paraId="08501EB5" w14:textId="77777777" w:rsidR="00F61F8E" w:rsidRPr="002B3F36" w:rsidRDefault="00F61F8E">
      <w:pPr>
        <w:pStyle w:val="ReportBodyPar"/>
      </w:pPr>
    </w:p>
    <w:p w14:paraId="04B6ABD2" w14:textId="77777777" w:rsidR="00F61F8E" w:rsidRPr="002B3F36" w:rsidRDefault="000F264B" w:rsidP="005A68AD">
      <w:pPr>
        <w:pStyle w:val="31"/>
      </w:pPr>
      <w:bookmarkStart w:id="2076" w:name="_Toc169094764"/>
      <w:bookmarkStart w:id="2077" w:name="_Toc208973835"/>
      <w:bookmarkStart w:id="2078" w:name="_Toc208974035"/>
      <w:bookmarkStart w:id="2079" w:name="_Toc208974235"/>
      <w:bookmarkStart w:id="2080" w:name="_Toc208974437"/>
      <w:bookmarkStart w:id="2081" w:name="_Toc208974645"/>
      <w:bookmarkStart w:id="2082" w:name="_Toc210589474"/>
      <w:r w:rsidRPr="002B3F36">
        <w:t>Ulytau Region</w:t>
      </w:r>
      <w:bookmarkEnd w:id="2076"/>
      <w:bookmarkEnd w:id="2077"/>
      <w:bookmarkEnd w:id="2078"/>
      <w:bookmarkEnd w:id="2079"/>
      <w:bookmarkEnd w:id="2080"/>
      <w:bookmarkEnd w:id="2081"/>
      <w:bookmarkEnd w:id="2082"/>
    </w:p>
    <w:p w14:paraId="5877CB67" w14:textId="77777777" w:rsidR="00EA5E9E" w:rsidRPr="002B3F36" w:rsidRDefault="00EA5E9E" w:rsidP="00E02069">
      <w:pPr>
        <w:pStyle w:val="ReportBodyPar"/>
      </w:pPr>
    </w:p>
    <w:p w14:paraId="1A9DF418" w14:textId="3C5A9C83" w:rsidR="00912259" w:rsidRPr="002B3F36" w:rsidRDefault="00912259" w:rsidP="00E02069">
      <w:pPr>
        <w:pStyle w:val="ReportBodyPar"/>
      </w:pPr>
      <w:r w:rsidRPr="002B3F36">
        <w:t>As of 1 August 2025, Ulytau Region had a population of 219.9 thousand people, with an urban majority (79.5%) and 20.5% rural. For January–July 2025, natural population growth amounted to 977 persons, below the 1,348 recorded in the same period of 2024. This reflected a decline in births (2,063, –16.2% y/y) and a modest fall in deaths (1,086, –2.5% y/y). Net migration remained negative at –2,325 persons, driven primarily by internal migration.</w:t>
      </w:r>
    </w:p>
    <w:p w14:paraId="7B3327E0" w14:textId="77777777" w:rsidR="00E02069" w:rsidRPr="002B3F36" w:rsidRDefault="00E02069" w:rsidP="00E02069">
      <w:pPr>
        <w:pStyle w:val="ReportBodyPar"/>
      </w:pPr>
    </w:p>
    <w:p w14:paraId="38AA0FF7" w14:textId="748DB7DB" w:rsidR="00912259" w:rsidRPr="002B3F36" w:rsidRDefault="00912259" w:rsidP="00E02069">
      <w:pPr>
        <w:pStyle w:val="ReportBodyPar"/>
      </w:pPr>
      <w:r w:rsidRPr="002B3F36">
        <w:t>The labor force recorded 4,086 unemployed in Q2 2025 (unemployment rate 4.1%), with 2,778 persons registered with employment services as of 1 September 2025 (2.8% of the labor force). Average nominal wages in Q2 reached KZT 557,704 (+6.6% y/y), though the real wage index declined to 95.9%. Per-capita nominal income in Q1 2025 was KZT 314,824 (+19.6% y/y; real +9.3%).</w:t>
      </w:r>
    </w:p>
    <w:p w14:paraId="7BD33395" w14:textId="77777777" w:rsidR="00E02069" w:rsidRPr="002B3F36" w:rsidRDefault="00E02069" w:rsidP="00E02069">
      <w:pPr>
        <w:pStyle w:val="ReportBodyPar"/>
      </w:pPr>
    </w:p>
    <w:p w14:paraId="6F334900" w14:textId="706ED20A" w:rsidR="00912259" w:rsidRPr="002B3F36" w:rsidRDefault="00912259" w:rsidP="00E02069">
      <w:pPr>
        <w:pStyle w:val="ReportBodyPar"/>
      </w:pPr>
      <w:r w:rsidRPr="002B3F36">
        <w:t xml:space="preserve">Economic output shows mixed performance. Industrial production in January–August 2025 totaled KZT 916.9 billion (–1.9% y/y), with mining output down 3.1% and manufacturing down 0.7%, partially offset by growth in utilities (+9.0%) and water/waste services (+6.7%). </w:t>
      </w:r>
      <w:r w:rsidRPr="002B3F36">
        <w:lastRenderedPageBreak/>
        <w:t>Agriculture contributed KZT 39.4 billion (+0.9%). Transport performance was steady, with freight turnover up 0.4% but passenger turnover down 12.9%. Construction activity declined slightly (97.3% of the prior year level), though housing completions rose 43.8% (59.3 thousand m²). Fixed asset investment increased 7.1% y/y to KZT 122.4 billion.</w:t>
      </w:r>
    </w:p>
    <w:p w14:paraId="667CADA9" w14:textId="77777777" w:rsidR="00E02069" w:rsidRPr="002B3F36" w:rsidRDefault="00E02069" w:rsidP="00E02069">
      <w:pPr>
        <w:pStyle w:val="ReportBodyPar"/>
      </w:pPr>
    </w:p>
    <w:p w14:paraId="1D846FC6" w14:textId="4579CCE5" w:rsidR="00912259" w:rsidRPr="002B3F36" w:rsidRDefault="00912259" w:rsidP="00E02069">
      <w:pPr>
        <w:pStyle w:val="ReportBodyPar"/>
      </w:pPr>
      <w:r w:rsidRPr="002B3F36">
        <w:t>By 1 September 2025, 2,971 legal entities were registered (+1.0% y/y), of which 2,600 were active, including 2,015 SMEs. The region’s Gross Regional Product (GRP) for January–March 2025 amounted to KZT 512.0 billion (real index 100.7%), with GRP per capita of KZT 2.3 million (+19.2% y/y). In industry, output reached KZT 674.5 billion in January–June, but physical volumes contracted slightly (index 99.1%), due mainly to reduced copper ore production by Kazakhmys Corporation. Investment slowed to KZT 75.7 billion (95.1% physical index), reflecting fewer major repairs and equipment purchases. Trade and services performed strongly, with trade +10.7% y/y, transport and storage +35% y/y, and construction +2% y/y.</w:t>
      </w:r>
    </w:p>
    <w:p w14:paraId="6CB648AD" w14:textId="77777777" w:rsidR="00E02069" w:rsidRPr="002B3F36" w:rsidRDefault="00E02069" w:rsidP="00E02069">
      <w:pPr>
        <w:pStyle w:val="ReportBodyPar"/>
      </w:pPr>
    </w:p>
    <w:p w14:paraId="60F7F5BC" w14:textId="22E9786B" w:rsidR="00DC292F" w:rsidRPr="002B3F36" w:rsidRDefault="00DC292F" w:rsidP="00E02069">
      <w:pPr>
        <w:pStyle w:val="UnderlineBold"/>
      </w:pPr>
      <w:r w:rsidRPr="002B3F36">
        <w:rPr>
          <w:b w:val="0"/>
        </w:rPr>
        <w:t>Project Affected Areas</w:t>
      </w:r>
    </w:p>
    <w:p w14:paraId="18DBF9B8" w14:textId="3E114508" w:rsidR="00DC292F" w:rsidRPr="002B3F36" w:rsidRDefault="00DC292F" w:rsidP="00AC7A0A">
      <w:pPr>
        <w:pStyle w:val="aff9"/>
        <w:numPr>
          <w:ilvl w:val="0"/>
          <w:numId w:val="238"/>
        </w:numPr>
        <w:spacing w:before="0" w:beforeAutospacing="0"/>
        <w:rPr>
          <w:rFonts w:ascii="Arial" w:eastAsia="Calibri" w:hAnsi="Arial" w:cs="Arial"/>
          <w:lang w:eastAsia="en-GB"/>
        </w:rPr>
      </w:pPr>
      <w:r w:rsidRPr="002B3F36">
        <w:rPr>
          <w:rFonts w:ascii="Arial" w:eastAsia="Calibri" w:hAnsi="Arial" w:cs="Arial"/>
          <w:lang w:eastAsia="en-GB"/>
        </w:rPr>
        <w:t>Kengir Rural Area (Zhezkazgan vicinity)</w:t>
      </w:r>
      <w:r w:rsidR="00E02069" w:rsidRPr="002B3F36">
        <w:rPr>
          <w:rFonts w:ascii="Arial" w:eastAsia="Calibri" w:hAnsi="Arial" w:cs="Arial"/>
          <w:lang w:eastAsia="en-GB"/>
        </w:rPr>
        <w:t xml:space="preserve"> </w:t>
      </w:r>
      <w:r w:rsidRPr="002B3F36">
        <w:rPr>
          <w:rFonts w:ascii="Arial" w:eastAsia="Calibri" w:hAnsi="Arial" w:cs="Arial"/>
          <w:lang w:eastAsia="en-GB"/>
        </w:rPr>
        <w:br/>
        <w:t>Includes Kengir village (2,756 residents) and several railway settlements (Terekty, Tuyemoynak, Korganbai, plus sidings) with a combined 3,498 population (2020), half of whom are economically active. Agriculture predominates (90 farms, mostly livestock-oriented). Social infrastructure comprises two schools (399 students in Kengir, 63 in Terekty), a branch of Zhezkazgan polyclinic (1 GP, 3 nurses), and FAPs in Terekty, Korganbai, and Tuyemoynak.</w:t>
      </w:r>
    </w:p>
    <w:p w14:paraId="3982D9DE" w14:textId="3A13FA3A" w:rsidR="00DC292F" w:rsidRPr="002B3F36" w:rsidRDefault="00DC292F" w:rsidP="00AC7A0A">
      <w:pPr>
        <w:pStyle w:val="aff9"/>
        <w:numPr>
          <w:ilvl w:val="0"/>
          <w:numId w:val="238"/>
        </w:numPr>
        <w:spacing w:before="0" w:beforeAutospacing="0"/>
        <w:rPr>
          <w:rFonts w:ascii="Arial" w:eastAsia="Calibri" w:hAnsi="Arial" w:cs="Arial"/>
          <w:lang w:eastAsia="en-GB"/>
        </w:rPr>
      </w:pPr>
      <w:r w:rsidRPr="002B3F36">
        <w:rPr>
          <w:rFonts w:ascii="Arial" w:eastAsia="Calibri" w:hAnsi="Arial" w:cs="Arial"/>
          <w:lang w:eastAsia="en-GB"/>
        </w:rPr>
        <w:t>Ulytau District</w:t>
      </w:r>
      <w:r w:rsidRPr="002B3F36">
        <w:rPr>
          <w:rFonts w:ascii="Arial" w:eastAsia="Calibri" w:hAnsi="Arial" w:cs="Arial"/>
          <w:lang w:eastAsia="en-GB"/>
        </w:rPr>
        <w:br/>
        <w:t>Covers 122.9 thousand km² with Ulytau village as the administrative center, encompassing 29 settlements across 15 rural areas. As of early 2024, population stood at 11,187, predominantly Kazakh. The economy is agriculture-based (73% of GRP), with 1,338 farms (mainly livestock) and 7 cooperatives. Social services include two hospitals (32 beds), one polyclinic, six dispensaries, and an extensive school/early education network (37 institutions, including 15 general schools, 2 primary schools, and 6 kindergartens).</w:t>
      </w:r>
    </w:p>
    <w:p w14:paraId="260EA5F0" w14:textId="77777777" w:rsidR="00DC292F" w:rsidRPr="002B3F36" w:rsidRDefault="00DC292F">
      <w:pPr>
        <w:pStyle w:val="aff9"/>
        <w:numPr>
          <w:ilvl w:val="0"/>
          <w:numId w:val="238"/>
        </w:numPr>
        <w:rPr>
          <w:rFonts w:ascii="Arial" w:eastAsia="Calibri" w:hAnsi="Arial" w:cs="Arial"/>
          <w:lang w:eastAsia="en-GB"/>
        </w:rPr>
      </w:pPr>
      <w:r w:rsidRPr="002B3F36">
        <w:rPr>
          <w:rFonts w:ascii="Arial" w:eastAsia="Calibri" w:hAnsi="Arial" w:cs="Arial"/>
          <w:lang w:eastAsia="en-GB"/>
        </w:rPr>
        <w:t>Zhanaarka District</w:t>
      </w:r>
      <w:r w:rsidRPr="002B3F36">
        <w:rPr>
          <w:rFonts w:ascii="Arial" w:eastAsia="Calibri" w:hAnsi="Arial" w:cs="Arial"/>
          <w:lang w:eastAsia="en-GB"/>
        </w:rPr>
        <w:br/>
        <w:t>Had 30.5 thousand residents at end-2024 (–1.3% y/y). Natural increase was +442 with 632 births and 190 deaths; migration was negative (–864). The labor force numbered 16,294, with unemployment at 3.8%. Average wages were KZT 380,288 (+9.5% y/y; real +1.8%). Industry, led by coal, copper, manganese, and barite, dominates (65.4% of output) with manufacturing adding 12.7%. Agriculture remains significant with 821 active organizations. Health and education infrastructure includes a central hospital, outpatient clinics, FAPs, and preschools. Relevant settlements include Kyzylzhar (district center), Togysken (Sarysu River left bank), and Aktau (rural okrug center).</w:t>
      </w:r>
    </w:p>
    <w:p w14:paraId="1B00A46F" w14:textId="77777777" w:rsidR="00DC292F" w:rsidRPr="002B3F36" w:rsidRDefault="00DC292F">
      <w:pPr>
        <w:pStyle w:val="aff9"/>
        <w:numPr>
          <w:ilvl w:val="0"/>
          <w:numId w:val="238"/>
        </w:numPr>
        <w:rPr>
          <w:rFonts w:ascii="Arial" w:eastAsia="Calibri" w:hAnsi="Arial" w:cs="Arial"/>
          <w:lang w:eastAsia="en-GB"/>
        </w:rPr>
      </w:pPr>
      <w:r w:rsidRPr="002B3F36">
        <w:rPr>
          <w:rFonts w:ascii="Arial" w:eastAsia="Calibri" w:hAnsi="Arial" w:cs="Arial"/>
          <w:lang w:eastAsia="en-GB"/>
        </w:rPr>
        <w:t>Karazhal Mono-City (within Ulytau Region)</w:t>
      </w:r>
      <w:r w:rsidRPr="002B3F36">
        <w:rPr>
          <w:rFonts w:ascii="Arial" w:eastAsia="Calibri" w:hAnsi="Arial" w:cs="Arial"/>
          <w:lang w:eastAsia="en-GB"/>
        </w:rPr>
        <w:br/>
        <w:t>Reported 17.3 thousand residents in 2024, with natural increase (+229) but negative migration (–200). Labor force participation grew (8,312, +2.9% y/y), with unemployment stable at 3.5%. Average wages were KZT 445,989 (nominal +5.6%; real –1.8%). Fixed asset investment totaled KZT 9.3 billion, with strong growth (+45.7% in physical terms).</w:t>
      </w:r>
    </w:p>
    <w:p w14:paraId="5E9D758E" w14:textId="77777777" w:rsidR="00F61F8E" w:rsidRPr="002B3F36" w:rsidRDefault="00F61F8E">
      <w:pPr>
        <w:pStyle w:val="ReportBodyTextNogap"/>
      </w:pPr>
      <w:bookmarkStart w:id="2083" w:name="_Toc169094765"/>
    </w:p>
    <w:p w14:paraId="5C063A49" w14:textId="019DA179" w:rsidR="00F61F8E" w:rsidRPr="002B3F36" w:rsidRDefault="000F264B" w:rsidP="00F82096">
      <w:pPr>
        <w:pStyle w:val="31"/>
      </w:pPr>
      <w:bookmarkStart w:id="2084" w:name="_Toc208973836"/>
      <w:bookmarkStart w:id="2085" w:name="_Toc208974036"/>
      <w:bookmarkStart w:id="2086" w:name="_Toc208974236"/>
      <w:bookmarkStart w:id="2087" w:name="_Toc208974438"/>
      <w:bookmarkStart w:id="2088" w:name="_Toc208974646"/>
      <w:bookmarkStart w:id="2089" w:name="_Toc210589475"/>
      <w:r w:rsidRPr="002B3F36">
        <w:rPr>
          <w:b w:val="0"/>
        </w:rPr>
        <w:lastRenderedPageBreak/>
        <w:t>Karagandy Region</w:t>
      </w:r>
      <w:bookmarkEnd w:id="2083"/>
      <w:bookmarkEnd w:id="2084"/>
      <w:bookmarkEnd w:id="2085"/>
      <w:bookmarkEnd w:id="2086"/>
      <w:bookmarkEnd w:id="2087"/>
      <w:bookmarkEnd w:id="2088"/>
      <w:bookmarkEnd w:id="2089"/>
    </w:p>
    <w:p w14:paraId="73570C27" w14:textId="77777777" w:rsidR="00333F83" w:rsidRPr="002B3F36" w:rsidRDefault="00333F83" w:rsidP="00333F83">
      <w:pPr>
        <w:pStyle w:val="ReportBodyPar"/>
      </w:pPr>
    </w:p>
    <w:p w14:paraId="06D824B5" w14:textId="1EA1AAD5" w:rsidR="00DC292F" w:rsidRPr="002B3F36" w:rsidRDefault="00DC292F" w:rsidP="00333F83">
      <w:pPr>
        <w:pStyle w:val="ReportBodyPar"/>
      </w:pPr>
      <w:r w:rsidRPr="002B3F36">
        <w:t xml:space="preserve">As of 1 August 2025, </w:t>
      </w:r>
      <w:r w:rsidR="003A184C">
        <w:t>Karagandy</w:t>
      </w:r>
      <w:r w:rsidRPr="002B3F36">
        <w:t xml:space="preserve"> Region had a total population of 1,132.4 thousand, of which 82.3% reside in urban areas and 17.7% in rural settlements. Between January and July 2025, natural population growth was 1,863 persons, supported by 8,003 births (–12.7% y/y) and 6,140 deaths (–1.9%). Net migration remained negative at –3,360 persons, largely due to internal migration (–3,020), with external migration accounting for –340 persons.</w:t>
      </w:r>
    </w:p>
    <w:p w14:paraId="15D32319" w14:textId="77777777" w:rsidR="00333F83" w:rsidRPr="002B3F36" w:rsidRDefault="00333F83" w:rsidP="00333F83">
      <w:pPr>
        <w:pStyle w:val="ReportBodyPar"/>
      </w:pPr>
    </w:p>
    <w:p w14:paraId="2D04F219" w14:textId="5FF62DAD" w:rsidR="00DC292F" w:rsidRPr="002B3F36" w:rsidRDefault="00DC292F" w:rsidP="00333F83">
      <w:pPr>
        <w:pStyle w:val="ReportBodyPar"/>
      </w:pPr>
      <w:r w:rsidRPr="002B3F36">
        <w:t>In Q2 2025, unemployment was reported at 22.1 thousand people, equivalent to an unemployment rate of 4.0%, while 23,304 persons were registered with employment services as of 1 August (2.9% of the labor force). Wages averaged KZT 432,501 (+14.0% y/y), with a real wage index of 104.2%, while per-capita incomes in Q1 stood at KZT 235,333 (+9.2% y/y) but declined 1.3% in real terms.</w:t>
      </w:r>
    </w:p>
    <w:p w14:paraId="02433D83" w14:textId="77777777" w:rsidR="00333F83" w:rsidRPr="002B3F36" w:rsidRDefault="00333F83" w:rsidP="00333F83">
      <w:pPr>
        <w:pStyle w:val="ReportBodyPar"/>
      </w:pPr>
    </w:p>
    <w:p w14:paraId="31C86F03" w14:textId="689B8123" w:rsidR="00DC292F" w:rsidRPr="002B3F36" w:rsidRDefault="00DC292F" w:rsidP="00333F83">
      <w:pPr>
        <w:pStyle w:val="ReportBodyPar"/>
      </w:pPr>
      <w:r w:rsidRPr="002B3F36">
        <w:t>Economic activity showed strong performance. Industrial production for January–August 2025 totaled KZT 3,167.9 billion (+7.0% y/y), with notable growth in mining (+8.9%), manufacturing (+6.7%), utilities (+4.5%), and water/waste services (+7.1%). Agriculture, forestry, and fisheries contributed KZT 219.2 billion (+2.9%). Transport performance improved, with freight turnover up 7.6% and passenger turnover up 14.4%. Construction volumes rose 25% to KZT 400.7 billion, while 351.7 thousand m² of housing were commissioned (+6.3%). Fixed asset investment reached KZT 644.7 billion (+11.1%).</w:t>
      </w:r>
    </w:p>
    <w:p w14:paraId="30B5FE8D" w14:textId="77777777" w:rsidR="00333F83" w:rsidRPr="002B3F36" w:rsidRDefault="00333F83" w:rsidP="00333F83">
      <w:pPr>
        <w:pStyle w:val="ReportBodyPar"/>
      </w:pPr>
    </w:p>
    <w:p w14:paraId="715783C1" w14:textId="50F321BE" w:rsidR="00DC292F" w:rsidRPr="002B3F36" w:rsidRDefault="00DC292F" w:rsidP="00333F83">
      <w:pPr>
        <w:pStyle w:val="ReportBodyPar"/>
      </w:pPr>
      <w:r w:rsidRPr="002B3F36">
        <w:t>As of 1 September 2025, 28,776 legal entities were registered (–0.9% y/y), of which 23,032 were active (22,510 small enterprises). The region’s GRP for January–March 2025 was KZT 1.9 trillion, with a real growth rate of 7.8%, and a sectoral breakdown of 52.7% goods, 44.2% services, and 3.1% taxes/adjustments. Inflation (CPI) from December 2024 to August 2025 was +10.2% (food +10.0%, non-food +7.5%, services +12.6%). Industrial producer prices rose 10.0%. Retail trade for January–August reached KZT 1,080.2 billion (+0.5%), and wholesale trade KZT 1,752.4 billion (+0.2%). EAEU mutual trade in January–July 2025 amounted to USD 1.64 billion (–2.5%), with exports of USD 962.2 million and imports of USD 676.5 million.</w:t>
      </w:r>
    </w:p>
    <w:p w14:paraId="1A624A8C" w14:textId="77777777" w:rsidR="00333F83" w:rsidRPr="002B3F36" w:rsidRDefault="00333F83" w:rsidP="00333F83">
      <w:pPr>
        <w:pStyle w:val="ReportBodyPar"/>
      </w:pPr>
    </w:p>
    <w:p w14:paraId="2A496A9E" w14:textId="77777777" w:rsidR="00DC292F" w:rsidRPr="002B3F36" w:rsidRDefault="00DC292F" w:rsidP="00F82096">
      <w:pPr>
        <w:pStyle w:val="UnderlineBold"/>
      </w:pPr>
      <w:r w:rsidRPr="002B3F36">
        <w:t>Project-Affected Areas</w:t>
      </w:r>
    </w:p>
    <w:p w14:paraId="5D8BF861" w14:textId="77777777" w:rsidR="00DC292F" w:rsidRPr="002B3F36" w:rsidRDefault="00DC292F" w:rsidP="00333F83">
      <w:pPr>
        <w:pStyle w:val="aff9"/>
        <w:numPr>
          <w:ilvl w:val="0"/>
          <w:numId w:val="240"/>
        </w:numPr>
        <w:spacing w:before="0" w:beforeAutospacing="0" w:after="0" w:afterAutospacing="0"/>
        <w:rPr>
          <w:rFonts w:ascii="Arial" w:eastAsia="Calibri" w:hAnsi="Arial" w:cs="Arial"/>
          <w:lang w:eastAsia="en-GB"/>
        </w:rPr>
      </w:pPr>
      <w:r w:rsidRPr="002B3F36">
        <w:rPr>
          <w:rFonts w:ascii="Arial" w:eastAsia="Calibri" w:hAnsi="Arial" w:cs="Arial"/>
          <w:lang w:eastAsia="en-GB"/>
        </w:rPr>
        <w:t>Shet District</w:t>
      </w:r>
      <w:r w:rsidRPr="002B3F36">
        <w:rPr>
          <w:rFonts w:ascii="Arial" w:eastAsia="Calibri" w:hAnsi="Arial" w:cs="Arial"/>
          <w:lang w:eastAsia="en-GB"/>
        </w:rPr>
        <w:br/>
        <w:t>At the end of 2024, Shet District had 36.2 thousand residents (–2.9% y/y). Natural population growth was +353 persons (626 births; 273 deaths). Net migration was –1,445. The labor force stood at 18,531 (–0.8% y/y) with unemployment at 2.7% (500 persons). Average wages reached KZT 414,732 (+14.8% y/y; real +4.3%). Social infrastructure includes two hospitals (61 beds), 30 preschools (1,410 children), 42 schools (6,781 students), and one college (250 students).</w:t>
      </w:r>
      <w:r w:rsidRPr="002B3F36">
        <w:rPr>
          <w:rFonts w:ascii="Arial" w:eastAsia="Calibri" w:hAnsi="Arial" w:cs="Arial"/>
          <w:lang w:eastAsia="en-GB"/>
        </w:rPr>
        <w:br/>
        <w:t>Key settlements of project relevance include:</w:t>
      </w:r>
    </w:p>
    <w:p w14:paraId="5DC477EE" w14:textId="3B237EFA" w:rsidR="00DC292F" w:rsidRPr="002B3F36" w:rsidRDefault="008D5118" w:rsidP="00333F83">
      <w:pPr>
        <w:pStyle w:val="aff9"/>
        <w:numPr>
          <w:ilvl w:val="1"/>
          <w:numId w:val="240"/>
        </w:numPr>
        <w:spacing w:before="0" w:beforeAutospacing="0" w:after="0" w:afterAutospacing="0"/>
        <w:rPr>
          <w:rFonts w:ascii="Arial" w:eastAsia="Calibri" w:hAnsi="Arial" w:cs="Arial"/>
          <w:lang w:eastAsia="en-GB"/>
        </w:rPr>
      </w:pPr>
      <w:r w:rsidRPr="002B3F36">
        <w:rPr>
          <w:rFonts w:ascii="Arial" w:eastAsia="Calibri" w:hAnsi="Arial" w:cs="Arial"/>
          <w:lang w:eastAsia="en-GB"/>
        </w:rPr>
        <w:t>Mointy</w:t>
      </w:r>
      <w:r w:rsidR="00DC292F" w:rsidRPr="002B3F36">
        <w:rPr>
          <w:rFonts w:ascii="Arial" w:eastAsia="Calibri" w:hAnsi="Arial" w:cs="Arial"/>
          <w:lang w:eastAsia="en-GB"/>
        </w:rPr>
        <w:t xml:space="preserve"> – a strategic railway junction linking </w:t>
      </w:r>
      <w:r w:rsidR="003A184C">
        <w:rPr>
          <w:rFonts w:ascii="Arial" w:eastAsia="Calibri" w:hAnsi="Arial" w:cs="Arial"/>
          <w:lang w:eastAsia="en-GB"/>
        </w:rPr>
        <w:t>Karagandy</w:t>
      </w:r>
      <w:r w:rsidR="00DC292F" w:rsidRPr="002B3F36">
        <w:rPr>
          <w:rFonts w:ascii="Arial" w:eastAsia="Calibri" w:hAnsi="Arial" w:cs="Arial"/>
          <w:lang w:eastAsia="en-GB"/>
        </w:rPr>
        <w:t>, Balkhash, and Chu River corridors.</w:t>
      </w:r>
    </w:p>
    <w:p w14:paraId="5539C55E" w14:textId="77777777" w:rsidR="00DC292F" w:rsidRPr="002B3F36" w:rsidRDefault="00DC292F" w:rsidP="00333F83">
      <w:pPr>
        <w:pStyle w:val="aff9"/>
        <w:numPr>
          <w:ilvl w:val="1"/>
          <w:numId w:val="240"/>
        </w:numPr>
        <w:spacing w:before="0" w:beforeAutospacing="0" w:after="0" w:afterAutospacing="0"/>
        <w:rPr>
          <w:rFonts w:ascii="Arial" w:eastAsia="Calibri" w:hAnsi="Arial" w:cs="Arial"/>
          <w:lang w:eastAsia="en-GB"/>
        </w:rPr>
      </w:pPr>
      <w:r w:rsidRPr="002B3F36">
        <w:rPr>
          <w:rFonts w:ascii="Arial" w:eastAsia="Calibri" w:hAnsi="Arial" w:cs="Arial"/>
          <w:lang w:eastAsia="en-GB"/>
        </w:rPr>
        <w:t>Agadyr – the district’s largest settlement and a major railway hub on the Almaty–Astana line, hosting KTZ facilities (power supply EK-12, track and signaling divisions) alongside schools, cultural institutions, and healthcare.</w:t>
      </w:r>
    </w:p>
    <w:p w14:paraId="2455942C" w14:textId="77777777" w:rsidR="00DC292F" w:rsidRPr="002B3F36" w:rsidRDefault="00DC292F" w:rsidP="00333F83">
      <w:pPr>
        <w:pStyle w:val="aff9"/>
        <w:numPr>
          <w:ilvl w:val="1"/>
          <w:numId w:val="240"/>
        </w:numPr>
        <w:spacing w:before="0" w:beforeAutospacing="0" w:after="0" w:afterAutospacing="0"/>
        <w:rPr>
          <w:rFonts w:ascii="Arial" w:eastAsia="Calibri" w:hAnsi="Arial" w:cs="Arial"/>
          <w:lang w:eastAsia="en-GB"/>
        </w:rPr>
      </w:pPr>
      <w:r w:rsidRPr="002B3F36">
        <w:rPr>
          <w:rFonts w:ascii="Arial" w:eastAsia="Calibri" w:hAnsi="Arial" w:cs="Arial"/>
          <w:lang w:eastAsia="en-GB"/>
        </w:rPr>
        <w:t>Bosaga – located in Ortau rural okrug.</w:t>
      </w:r>
    </w:p>
    <w:p w14:paraId="02221A7B" w14:textId="4AFCD01A" w:rsidR="00DC292F" w:rsidRPr="002B3F36" w:rsidRDefault="00DC292F" w:rsidP="00333F83">
      <w:pPr>
        <w:pStyle w:val="aff9"/>
        <w:numPr>
          <w:ilvl w:val="1"/>
          <w:numId w:val="240"/>
        </w:numPr>
        <w:spacing w:before="0" w:beforeAutospacing="0" w:after="0" w:afterAutospacing="0"/>
        <w:rPr>
          <w:rFonts w:ascii="Arial" w:eastAsia="Calibri" w:hAnsi="Arial" w:cs="Arial"/>
          <w:lang w:eastAsia="en-GB"/>
        </w:rPr>
      </w:pPr>
      <w:r w:rsidRPr="002B3F36">
        <w:rPr>
          <w:rFonts w:ascii="Arial" w:eastAsia="Calibri" w:hAnsi="Arial" w:cs="Arial"/>
          <w:lang w:eastAsia="en-GB"/>
        </w:rPr>
        <w:t xml:space="preserve">Kiikti – settlement along the </w:t>
      </w:r>
      <w:r w:rsidR="008D5118" w:rsidRPr="002B3F36">
        <w:rPr>
          <w:rFonts w:ascii="Arial" w:eastAsia="Calibri" w:hAnsi="Arial" w:cs="Arial"/>
          <w:lang w:eastAsia="en-GB"/>
        </w:rPr>
        <w:t>Mointy</w:t>
      </w:r>
      <w:r w:rsidRPr="002B3F36">
        <w:rPr>
          <w:rFonts w:ascii="Arial" w:eastAsia="Calibri" w:hAnsi="Arial" w:cs="Arial"/>
          <w:lang w:eastAsia="en-GB"/>
        </w:rPr>
        <w:t xml:space="preserve"> River with Kiik rail station, near the Shunak impact crater and Bronze Age archaeological sites.</w:t>
      </w:r>
    </w:p>
    <w:p w14:paraId="74C07B26" w14:textId="5BCB0F3D" w:rsidR="00DC292F" w:rsidRPr="002B3F36" w:rsidRDefault="00DC292F" w:rsidP="00333F83">
      <w:pPr>
        <w:pStyle w:val="aff9"/>
        <w:numPr>
          <w:ilvl w:val="0"/>
          <w:numId w:val="240"/>
        </w:numPr>
        <w:spacing w:before="0" w:beforeAutospacing="0" w:after="0" w:afterAutospacing="0"/>
        <w:rPr>
          <w:rFonts w:ascii="Arial" w:eastAsia="Calibri" w:hAnsi="Arial" w:cs="Arial"/>
          <w:lang w:eastAsia="en-GB"/>
        </w:rPr>
      </w:pPr>
      <w:r w:rsidRPr="002B3F36">
        <w:rPr>
          <w:rFonts w:ascii="Arial" w:eastAsia="Calibri" w:hAnsi="Arial" w:cs="Arial"/>
          <w:lang w:eastAsia="en-GB"/>
        </w:rPr>
        <w:t>Zhairem Settlement</w:t>
      </w:r>
      <w:r w:rsidRPr="002B3F36">
        <w:rPr>
          <w:rFonts w:ascii="Arial" w:eastAsia="Calibri" w:hAnsi="Arial" w:cs="Arial"/>
          <w:lang w:eastAsia="en-GB"/>
        </w:rPr>
        <w:br/>
        <w:t xml:space="preserve">Functionally tied to regional supply chains, Zhairem hosts the Zhairemsky Mining and </w:t>
      </w:r>
      <w:r w:rsidRPr="002B3F36">
        <w:rPr>
          <w:rFonts w:ascii="Arial" w:eastAsia="Calibri" w:hAnsi="Arial" w:cs="Arial"/>
          <w:lang w:eastAsia="en-GB"/>
        </w:rPr>
        <w:lastRenderedPageBreak/>
        <w:t xml:space="preserve">Processing Plant (KazZinc), which develops barite-polymetallic and Fe–Mn deposits of the Atasu ore district. The settlement has three schools and is linked by the Togyskan–Karazhal–Zhambyl highway and a narrow-gauge railway to the </w:t>
      </w:r>
      <w:r w:rsidR="003A184C">
        <w:rPr>
          <w:rFonts w:ascii="Arial" w:eastAsia="Calibri" w:hAnsi="Arial" w:cs="Arial"/>
          <w:lang w:eastAsia="en-GB"/>
        </w:rPr>
        <w:t>Karagandy</w:t>
      </w:r>
      <w:r w:rsidRPr="002B3F36">
        <w:rPr>
          <w:rFonts w:ascii="Arial" w:eastAsia="Calibri" w:hAnsi="Arial" w:cs="Arial"/>
          <w:lang w:eastAsia="en-GB"/>
        </w:rPr>
        <w:t>–Seifullin–Zhezkazgan line, providing connections toward the Sarysu–Zhairem area.</w:t>
      </w:r>
    </w:p>
    <w:p w14:paraId="5E3DA518" w14:textId="77777777" w:rsidR="00333F83" w:rsidRPr="002B3F36" w:rsidRDefault="00333F83" w:rsidP="00333F83">
      <w:pPr>
        <w:pStyle w:val="ReportBodyPar"/>
      </w:pPr>
    </w:p>
    <w:p w14:paraId="3B9C7941" w14:textId="77777777" w:rsidR="00DC292F" w:rsidRPr="002B3F36" w:rsidRDefault="00DC292F">
      <w:pPr>
        <w:pStyle w:val="31"/>
        <w:rPr>
          <w:rFonts w:eastAsia="Calibri"/>
          <w:lang w:eastAsia="en-GB"/>
        </w:rPr>
      </w:pPr>
      <w:bookmarkStart w:id="2090" w:name="_Toc210589476"/>
      <w:r w:rsidRPr="002B3F36">
        <w:rPr>
          <w:rFonts w:eastAsia="Calibri"/>
          <w:lang w:eastAsia="en-GB"/>
        </w:rPr>
        <w:t>Administrative and Transport Nodes Along the Corridor</w:t>
      </w:r>
      <w:bookmarkEnd w:id="2090"/>
    </w:p>
    <w:p w14:paraId="48637E90" w14:textId="77777777" w:rsidR="00333F83" w:rsidRPr="002B3F36" w:rsidRDefault="00333F83" w:rsidP="00333F83">
      <w:pPr>
        <w:pStyle w:val="ReportBodyPar"/>
      </w:pPr>
    </w:p>
    <w:p w14:paraId="7CE494D7" w14:textId="1DA0B0D4" w:rsidR="00DC292F" w:rsidRPr="002B3F36" w:rsidRDefault="008D5118" w:rsidP="00333F83">
      <w:pPr>
        <w:pStyle w:val="ReportBodyPar"/>
      </w:pPr>
      <w:r w:rsidRPr="002B3F36">
        <w:t>Mointy</w:t>
      </w:r>
      <w:r w:rsidR="00DC292F" w:rsidRPr="002B3F36">
        <w:t xml:space="preserve"> (Shet District, </w:t>
      </w:r>
      <w:r w:rsidR="003A184C">
        <w:t>Karagandy</w:t>
      </w:r>
      <w:r w:rsidR="00DC292F" w:rsidRPr="002B3F36">
        <w:t xml:space="preserve"> Region) serves as a strategic railway junction linking routes toward </w:t>
      </w:r>
      <w:r w:rsidR="003A184C">
        <w:t>Karagandy</w:t>
      </w:r>
      <w:r w:rsidR="00DC292F" w:rsidRPr="002B3F36">
        <w:t xml:space="preserve">, Balkhash, and the Chu River, while also acting as a focal point for local services. Kyzylzhar (Zhanaarka District, Ulytau Region), the administrative seat of its rural okrug, functions as a key community hub located about 153 km west of Zhanaarka. Agadyr, the largest settlement in Shet District, lies approximately 195 km south of </w:t>
      </w:r>
      <w:r w:rsidR="003A184C">
        <w:t>Karagandy</w:t>
      </w:r>
      <w:r w:rsidR="00DC292F" w:rsidRPr="002B3F36">
        <w:t xml:space="preserve"> on the Almaty–Astana main line; it concentrates district-level facilities in education, healthcare, culture, postal/telecommunication, and hosts several KTZ operational divisions. Bosaga and Kiikti are smaller rural settlements; the latter lies on the Mointy River near the Shunak impact crater and Bronze Age archaeological sites, both facing potential impacts from construction-related traffic and workforce presence. Zhairem, an industrial settlement centered on the Zhairemsky Mining and Processing Plant (KazZinc), has airstrip access, three general education schools, and strong connectivity via regional highways and rail links, including a narrow-gauge spur line.</w:t>
      </w:r>
    </w:p>
    <w:p w14:paraId="5D3DC2A9" w14:textId="77777777" w:rsidR="00333F83" w:rsidRPr="002B3F36" w:rsidRDefault="00333F83" w:rsidP="00333F83">
      <w:pPr>
        <w:pStyle w:val="ReportBodyPar"/>
      </w:pPr>
    </w:p>
    <w:p w14:paraId="1DCAC453" w14:textId="28EDB544" w:rsidR="00DC292F" w:rsidRPr="002B3F36" w:rsidRDefault="00DC292F">
      <w:pPr>
        <w:pStyle w:val="31"/>
        <w:rPr>
          <w:rFonts w:eastAsia="Calibri"/>
          <w:lang w:eastAsia="en-GB"/>
        </w:rPr>
      </w:pPr>
      <w:bookmarkStart w:id="2091" w:name="_Toc210589477"/>
      <w:r w:rsidRPr="002B3F36">
        <w:rPr>
          <w:rFonts w:eastAsia="Calibri"/>
          <w:lang w:eastAsia="en-GB"/>
        </w:rPr>
        <w:t>Socio-Economic Survey Findings</w:t>
      </w:r>
      <w:r w:rsidR="00C87922" w:rsidRPr="002B3F36">
        <w:rPr>
          <w:rFonts w:eastAsia="Calibri"/>
          <w:lang w:eastAsia="en-GB"/>
        </w:rPr>
        <w:t xml:space="preserve"> - Ulytau</w:t>
      </w:r>
      <w:bookmarkEnd w:id="2091"/>
    </w:p>
    <w:p w14:paraId="322B6DE9" w14:textId="77777777" w:rsidR="00333F83" w:rsidRPr="002B3F36" w:rsidRDefault="00333F83" w:rsidP="00333F83">
      <w:pPr>
        <w:pStyle w:val="ReportBodyTextNogap"/>
      </w:pPr>
    </w:p>
    <w:p w14:paraId="06DA7095" w14:textId="0A09B9D9" w:rsidR="00DC292F" w:rsidRPr="002B3F36" w:rsidRDefault="00DC292F" w:rsidP="00F82096">
      <w:pPr>
        <w:pStyle w:val="ReportBodyTextNogap"/>
      </w:pPr>
      <w:r w:rsidRPr="002B3F36">
        <w:t>The socio-economic survey (SES) in Ulytau Region covered 15 households in Togusken and Aktau rural settlements. The preliminary findings are summarized below.</w:t>
      </w:r>
    </w:p>
    <w:p w14:paraId="051DC219" w14:textId="77777777" w:rsidR="00DC292F" w:rsidRPr="002B3F36" w:rsidRDefault="00DC292F" w:rsidP="00F82096">
      <w:pPr>
        <w:pStyle w:val="Bullet12"/>
      </w:pPr>
      <w:r w:rsidRPr="002B3F36">
        <w:t>Household size. The average household comprised 4.6 persons. Nearly half of households (47%) reported 4–6 members, one-third (33%) had 3 or fewer members, while the remaining 20% consisted of large families with 7–9 members.</w:t>
      </w:r>
    </w:p>
    <w:p w14:paraId="61ABF4E0" w14:textId="77777777" w:rsidR="00DC292F" w:rsidRPr="002B3F36" w:rsidRDefault="00DC292F" w:rsidP="00F82096">
      <w:pPr>
        <w:pStyle w:val="Bullet12"/>
      </w:pPr>
      <w:r w:rsidRPr="002B3F36">
        <w:t>Age profile. The average age of household heads was 50 years. Most fell into the 50–59 age group (40%), followed by 30–39 years (27%) and 40–49 years (20%). One household head was above 60 (7%), and another over 70 (7%).</w:t>
      </w:r>
    </w:p>
    <w:p w14:paraId="1CDE0D45" w14:textId="77777777" w:rsidR="00DC292F" w:rsidRPr="002B3F36" w:rsidRDefault="00DC292F" w:rsidP="00F82096">
      <w:pPr>
        <w:pStyle w:val="Bullet12"/>
      </w:pPr>
      <w:r w:rsidRPr="002B3F36">
        <w:t>Education. Among household heads, 53% had completed secondary professional education, 33% higher education, and 13% secondary schooling only. This indicates a relatively skilled population with strong vocational and technical backgrounds.</w:t>
      </w:r>
    </w:p>
    <w:p w14:paraId="0DAFC605" w14:textId="77777777" w:rsidR="00DC292F" w:rsidRPr="00157A03" w:rsidRDefault="00DC292F" w:rsidP="00F82096">
      <w:pPr>
        <w:pStyle w:val="Bullet12"/>
      </w:pPr>
      <w:r w:rsidRPr="002B3F36">
        <w:t xml:space="preserve">Income. The SES found that most households reported relatively high monthly </w:t>
      </w:r>
      <w:r w:rsidRPr="00157A03">
        <w:t>incomes.</w:t>
      </w:r>
    </w:p>
    <w:p w14:paraId="2B4C58E7" w14:textId="77777777" w:rsidR="00DC292F" w:rsidRPr="00157A03" w:rsidRDefault="00DC292F" w:rsidP="00333F83">
      <w:pPr>
        <w:pStyle w:val="aff9"/>
        <w:numPr>
          <w:ilvl w:val="0"/>
          <w:numId w:val="254"/>
        </w:numPr>
        <w:tabs>
          <w:tab w:val="clear" w:pos="720"/>
        </w:tabs>
        <w:spacing w:before="0" w:beforeAutospacing="0" w:after="0" w:afterAutospacing="0"/>
        <w:ind w:left="1440"/>
        <w:rPr>
          <w:rFonts w:ascii="Arial" w:eastAsia="Calibri" w:hAnsi="Arial" w:cs="Arial"/>
          <w:lang w:eastAsia="en-GB"/>
        </w:rPr>
      </w:pPr>
      <w:r w:rsidRPr="00157A03">
        <w:rPr>
          <w:rFonts w:ascii="Arial" w:eastAsia="Calibri" w:hAnsi="Arial" w:cs="Arial"/>
          <w:lang w:eastAsia="en-GB"/>
        </w:rPr>
        <w:t>73% of households earned above KZT 500,000,</w:t>
      </w:r>
    </w:p>
    <w:p w14:paraId="2AFB5A67" w14:textId="77777777" w:rsidR="00DC292F" w:rsidRPr="00157A03" w:rsidRDefault="00DC292F" w:rsidP="00333F83">
      <w:pPr>
        <w:pStyle w:val="aff9"/>
        <w:numPr>
          <w:ilvl w:val="0"/>
          <w:numId w:val="254"/>
        </w:numPr>
        <w:tabs>
          <w:tab w:val="clear" w:pos="720"/>
        </w:tabs>
        <w:spacing w:before="0" w:beforeAutospacing="0" w:after="0" w:afterAutospacing="0"/>
        <w:ind w:left="1440"/>
        <w:rPr>
          <w:rFonts w:ascii="Arial" w:eastAsia="Calibri" w:hAnsi="Arial" w:cs="Arial"/>
          <w:lang w:eastAsia="en-GB"/>
        </w:rPr>
      </w:pPr>
      <w:r w:rsidRPr="00157A03">
        <w:rPr>
          <w:rFonts w:ascii="Arial" w:eastAsia="Calibri" w:hAnsi="Arial" w:cs="Arial"/>
          <w:lang w:eastAsia="en-GB"/>
        </w:rPr>
        <w:t>7% reported KZT 350,000–500,000,</w:t>
      </w:r>
    </w:p>
    <w:p w14:paraId="07C7FC03" w14:textId="77777777" w:rsidR="00DC292F" w:rsidRPr="00157A03" w:rsidRDefault="00DC292F" w:rsidP="00333F83">
      <w:pPr>
        <w:pStyle w:val="aff9"/>
        <w:numPr>
          <w:ilvl w:val="0"/>
          <w:numId w:val="254"/>
        </w:numPr>
        <w:tabs>
          <w:tab w:val="clear" w:pos="720"/>
        </w:tabs>
        <w:spacing w:before="0" w:beforeAutospacing="0" w:after="0" w:afterAutospacing="0"/>
        <w:ind w:left="1440"/>
        <w:rPr>
          <w:rFonts w:ascii="Arial" w:eastAsia="Calibri" w:hAnsi="Arial" w:cs="Arial"/>
          <w:lang w:eastAsia="en-GB"/>
        </w:rPr>
      </w:pPr>
      <w:r w:rsidRPr="00157A03">
        <w:rPr>
          <w:rFonts w:ascii="Arial" w:eastAsia="Calibri" w:hAnsi="Arial" w:cs="Arial"/>
          <w:lang w:eastAsia="en-GB"/>
        </w:rPr>
        <w:t>7% between KZT 236,000–350,000,</w:t>
      </w:r>
    </w:p>
    <w:p w14:paraId="1E1BA35C" w14:textId="77777777" w:rsidR="00DC292F" w:rsidRPr="00157A03" w:rsidRDefault="00DC292F" w:rsidP="00333F83">
      <w:pPr>
        <w:pStyle w:val="aff9"/>
        <w:numPr>
          <w:ilvl w:val="0"/>
          <w:numId w:val="254"/>
        </w:numPr>
        <w:tabs>
          <w:tab w:val="clear" w:pos="720"/>
        </w:tabs>
        <w:spacing w:before="0" w:beforeAutospacing="0" w:after="0" w:afterAutospacing="0"/>
        <w:ind w:left="1440"/>
        <w:rPr>
          <w:rFonts w:ascii="Arial" w:eastAsia="Calibri" w:hAnsi="Arial" w:cs="Arial"/>
          <w:lang w:eastAsia="en-GB"/>
        </w:rPr>
      </w:pPr>
      <w:r w:rsidRPr="00157A03">
        <w:rPr>
          <w:rFonts w:ascii="Arial" w:eastAsia="Calibri" w:hAnsi="Arial" w:cs="Arial"/>
          <w:lang w:eastAsia="en-GB"/>
        </w:rPr>
        <w:t>7% between KZT 150,000–236,000, and</w:t>
      </w:r>
    </w:p>
    <w:p w14:paraId="2556B09A" w14:textId="77777777" w:rsidR="00DC292F" w:rsidRPr="00157A03" w:rsidRDefault="00DC292F" w:rsidP="00333F83">
      <w:pPr>
        <w:pStyle w:val="aff9"/>
        <w:numPr>
          <w:ilvl w:val="0"/>
          <w:numId w:val="254"/>
        </w:numPr>
        <w:tabs>
          <w:tab w:val="clear" w:pos="720"/>
        </w:tabs>
        <w:spacing w:before="0" w:beforeAutospacing="0" w:after="0" w:afterAutospacing="0"/>
        <w:ind w:left="1440"/>
        <w:rPr>
          <w:rFonts w:ascii="Arial" w:eastAsia="Calibri" w:hAnsi="Arial" w:cs="Arial"/>
          <w:lang w:eastAsia="en-GB"/>
        </w:rPr>
      </w:pPr>
      <w:r w:rsidRPr="00157A03">
        <w:rPr>
          <w:rFonts w:ascii="Arial" w:eastAsia="Calibri" w:hAnsi="Arial" w:cs="Arial"/>
          <w:lang w:eastAsia="en-GB"/>
        </w:rPr>
        <w:t>7% between KZT 85,000–150,000.</w:t>
      </w:r>
      <w:r w:rsidRPr="00157A03">
        <w:rPr>
          <w:rFonts w:ascii="Arial" w:eastAsia="Calibri" w:hAnsi="Arial" w:cs="Arial"/>
          <w:lang w:eastAsia="en-GB"/>
        </w:rPr>
        <w:br/>
        <w:t>No household reported income at or below KZT 85,000.</w:t>
      </w:r>
    </w:p>
    <w:p w14:paraId="52FF0D20" w14:textId="77777777" w:rsidR="00333F83" w:rsidRPr="002B3F36" w:rsidRDefault="00333F83" w:rsidP="00333F83">
      <w:pPr>
        <w:pStyle w:val="ReportBodyPar"/>
      </w:pPr>
    </w:p>
    <w:p w14:paraId="09C1D5EC" w14:textId="134270F1" w:rsidR="00DC292F" w:rsidRPr="002B3F36" w:rsidRDefault="00DC292F" w:rsidP="00333F83">
      <w:pPr>
        <w:pStyle w:val="ReportBodyPar"/>
      </w:pPr>
      <w:r w:rsidRPr="002B3F36">
        <w:t>On this basis, all surveyed households are well above both the World Bank international poverty line (USD 1.90/day/person) and the official Kazakhstan subsistence minimum (KZT 43,407/month in January 2024). Although no absolute poverty was recorded, households may still face risks of temporary income disruption during land acquisition or construction.</w:t>
      </w:r>
    </w:p>
    <w:p w14:paraId="76F398B3" w14:textId="77777777" w:rsidR="00333F83" w:rsidRPr="002B3F36" w:rsidRDefault="00333F83" w:rsidP="00333F83">
      <w:pPr>
        <w:pStyle w:val="ReportBodyPar"/>
      </w:pPr>
    </w:p>
    <w:p w14:paraId="6C386745" w14:textId="1C672D38" w:rsidR="00DC292F" w:rsidRPr="002B3F36" w:rsidRDefault="00DC292F" w:rsidP="00333F83">
      <w:pPr>
        <w:pStyle w:val="ReportBodyPar"/>
      </w:pPr>
      <w:r w:rsidRPr="002B3F36">
        <w:t>Ethnic composition. All surveyed households identified as Kazakh. No ethnic minorities or vulnerable groups were reported.</w:t>
      </w:r>
    </w:p>
    <w:p w14:paraId="3D3E81AE" w14:textId="77777777" w:rsidR="00333F83" w:rsidRPr="002B3F36" w:rsidRDefault="00333F83" w:rsidP="00333F83">
      <w:pPr>
        <w:pStyle w:val="ReportBodyPar"/>
      </w:pPr>
    </w:p>
    <w:p w14:paraId="5242D2C7" w14:textId="68F103DC" w:rsidR="00C87922" w:rsidRPr="002B3F36" w:rsidRDefault="00333F83" w:rsidP="00333F83">
      <w:pPr>
        <w:pStyle w:val="ReportBodyPar"/>
      </w:pPr>
      <w:r w:rsidRPr="002B3F36">
        <w:t>In c</w:t>
      </w:r>
      <w:r w:rsidR="00C87922" w:rsidRPr="002B3F36">
        <w:t>onclusion</w:t>
      </w:r>
      <w:r w:rsidRPr="002B3F36">
        <w:t xml:space="preserve">, </w:t>
      </w:r>
      <w:r w:rsidR="00C87922" w:rsidRPr="002B3F36">
        <w:t xml:space="preserve">The SES results for Ulytau suggest that </w:t>
      </w:r>
      <w:r w:rsidR="009C09CA" w:rsidRPr="002B3F36">
        <w:t xml:space="preserve">surveyed </w:t>
      </w:r>
      <w:r w:rsidR="00C87922" w:rsidRPr="002B3F36">
        <w:t>households are relatively large (average 4.6 persons), headed mostly by middle-aged individuals, and generally well-educated. Household incomes are significantly above national poverty thresholds, with most earning over KZT 500,000/month. While absolute poverty was not observed, the communities remain vulnerable to construction-related disruptions, restricted land use, and potential declines in agricultural income.</w:t>
      </w:r>
      <w:r w:rsidRPr="002B3F36">
        <w:t xml:space="preserve"> </w:t>
      </w:r>
      <w:r w:rsidR="00C87922" w:rsidRPr="002B3F36">
        <w:t>Accordingly, the Resettlement Action Plan (RAP) should prioritize:</w:t>
      </w:r>
    </w:p>
    <w:p w14:paraId="689D0F9B" w14:textId="77777777" w:rsidR="00C87922" w:rsidRPr="002B3F36" w:rsidRDefault="00C87922" w:rsidP="00333F83">
      <w:pPr>
        <w:pStyle w:val="Bullet12"/>
      </w:pPr>
      <w:r w:rsidRPr="002B3F36">
        <w:t>Timely and adequate compensation at replacement cost,</w:t>
      </w:r>
    </w:p>
    <w:p w14:paraId="6C6C9C0D" w14:textId="77777777" w:rsidR="00C87922" w:rsidRPr="002B3F36" w:rsidRDefault="00C87922" w:rsidP="00333F83">
      <w:pPr>
        <w:pStyle w:val="Bullet12"/>
      </w:pPr>
      <w:r w:rsidRPr="002B3F36">
        <w:t>Safeguarding access to pastures, water, and community services, and</w:t>
      </w:r>
    </w:p>
    <w:p w14:paraId="5349E228" w14:textId="1BA3D965" w:rsidR="00DC292F" w:rsidRPr="002B3F36" w:rsidRDefault="00C87922" w:rsidP="00333F83">
      <w:pPr>
        <w:pStyle w:val="Bullet12"/>
      </w:pPr>
      <w:r w:rsidRPr="002B3F36">
        <w:t>Livelihood restoration measures proportionate to land impacts (typically 3–5%).</w:t>
      </w:r>
    </w:p>
    <w:p w14:paraId="77D7A612" w14:textId="77777777" w:rsidR="00333F83" w:rsidRPr="002B3F36" w:rsidRDefault="00333F83" w:rsidP="00B01C23">
      <w:pPr>
        <w:pStyle w:val="ReportBodyPar"/>
      </w:pPr>
    </w:p>
    <w:p w14:paraId="206C22BB" w14:textId="38AC8424" w:rsidR="00C87922" w:rsidRPr="002B3F36" w:rsidRDefault="00C87922" w:rsidP="00F82096">
      <w:pPr>
        <w:pStyle w:val="31"/>
        <w:jc w:val="left"/>
        <w:rPr>
          <w:rFonts w:eastAsia="Times New Roman"/>
        </w:rPr>
      </w:pPr>
      <w:bookmarkStart w:id="2092" w:name="_Toc210589478"/>
      <w:r w:rsidRPr="002B3F36">
        <w:t xml:space="preserve">Socio-Economic Survey Findings – </w:t>
      </w:r>
      <w:r w:rsidR="003A184C">
        <w:t>Karagandy</w:t>
      </w:r>
      <w:bookmarkEnd w:id="2092"/>
    </w:p>
    <w:p w14:paraId="27F30F64" w14:textId="77777777" w:rsidR="00B01C23" w:rsidRPr="002B3F36" w:rsidRDefault="00B01C23" w:rsidP="00B01C23">
      <w:pPr>
        <w:pStyle w:val="ReportBodyPar"/>
      </w:pPr>
    </w:p>
    <w:p w14:paraId="6F7D2923" w14:textId="347EC89B" w:rsidR="00C87922" w:rsidRPr="002B3F36" w:rsidRDefault="00C87922" w:rsidP="00B01C23">
      <w:pPr>
        <w:pStyle w:val="ReportBodyPar"/>
      </w:pPr>
      <w:r w:rsidRPr="002B3F36">
        <w:t xml:space="preserve">The socio-economic survey (SES) in </w:t>
      </w:r>
      <w:r w:rsidR="003A184C">
        <w:rPr>
          <w:rStyle w:val="affffb"/>
        </w:rPr>
        <w:t>Karagandy</w:t>
      </w:r>
      <w:r w:rsidRPr="002B3F36">
        <w:rPr>
          <w:rStyle w:val="affffb"/>
        </w:rPr>
        <w:t xml:space="preserve"> Region</w:t>
      </w:r>
      <w:r w:rsidRPr="002B3F36">
        <w:t xml:space="preserve"> covered a </w:t>
      </w:r>
      <w:r w:rsidRPr="002B3F36">
        <w:rPr>
          <w:rStyle w:val="affffb"/>
        </w:rPr>
        <w:t>limited sample of 5 households</w:t>
      </w:r>
      <w:r w:rsidRPr="002B3F36">
        <w:t xml:space="preserve"> located in </w:t>
      </w:r>
      <w:r w:rsidRPr="002B3F36">
        <w:rPr>
          <w:rStyle w:val="affffb"/>
        </w:rPr>
        <w:t>Agadyr (1), Mointy (2), Kiikti (1), and Bosaga (1)</w:t>
      </w:r>
      <w:r w:rsidRPr="002B3F36">
        <w:t xml:space="preserve">. Due to the small sample size, these results should be regarded as </w:t>
      </w:r>
      <w:r w:rsidRPr="002B3F36">
        <w:rPr>
          <w:rStyle w:val="affffb"/>
        </w:rPr>
        <w:t>preliminary and indicative only</w:t>
      </w:r>
      <w:r w:rsidRPr="002B3F36">
        <w:t>.</w:t>
      </w:r>
      <w:r w:rsidR="00B01C23" w:rsidRPr="002B3F36">
        <w:t xml:space="preserve"> The key findings are:</w:t>
      </w:r>
    </w:p>
    <w:p w14:paraId="2FA00F50" w14:textId="77777777" w:rsidR="00C87922" w:rsidRPr="002B3F36" w:rsidRDefault="00C87922" w:rsidP="00B01C23">
      <w:pPr>
        <w:pStyle w:val="Bullet12"/>
      </w:pPr>
      <w:r w:rsidRPr="002B3F36">
        <w:rPr>
          <w:rStyle w:val="affffb"/>
        </w:rPr>
        <w:t>Household size.</w:t>
      </w:r>
      <w:r w:rsidRPr="002B3F36">
        <w:t xml:space="preserve"> The average household comprised </w:t>
      </w:r>
      <w:r w:rsidRPr="002B3F36">
        <w:rPr>
          <w:rStyle w:val="affffb"/>
        </w:rPr>
        <w:t>4.8 persons</w:t>
      </w:r>
      <w:r w:rsidRPr="002B3F36">
        <w:t xml:space="preserve">. Most households (60%) consisted of </w:t>
      </w:r>
      <w:r w:rsidRPr="002B3F36">
        <w:rPr>
          <w:rStyle w:val="affffb"/>
        </w:rPr>
        <w:t>4–6 members</w:t>
      </w:r>
      <w:r w:rsidRPr="002B3F36">
        <w:t>, while 20% were smaller (</w:t>
      </w:r>
      <w:r w:rsidRPr="002B3F36">
        <w:rPr>
          <w:rFonts w:hint="eastAsia"/>
        </w:rPr>
        <w:t>≤</w:t>
      </w:r>
      <w:r w:rsidRPr="002B3F36">
        <w:t>3 members) and 20% were larger (</w:t>
      </w:r>
      <w:r w:rsidRPr="002B3F36">
        <w:rPr>
          <w:rFonts w:hint="eastAsia"/>
        </w:rPr>
        <w:t>≥</w:t>
      </w:r>
      <w:r w:rsidRPr="002B3F36">
        <w:t>7 members).</w:t>
      </w:r>
    </w:p>
    <w:p w14:paraId="2A78439C" w14:textId="77777777" w:rsidR="00C87922" w:rsidRPr="002B3F36" w:rsidRDefault="00C87922" w:rsidP="00B01C23">
      <w:pPr>
        <w:pStyle w:val="Bullet12"/>
      </w:pPr>
      <w:r w:rsidRPr="002B3F36">
        <w:rPr>
          <w:rStyle w:val="affffb"/>
        </w:rPr>
        <w:t>Age profile.</w:t>
      </w:r>
      <w:r w:rsidRPr="002B3F36">
        <w:t xml:space="preserve"> The average age of household heads was </w:t>
      </w:r>
      <w:r w:rsidRPr="002B3F36">
        <w:rPr>
          <w:rStyle w:val="affffb"/>
        </w:rPr>
        <w:t>52 years</w:t>
      </w:r>
      <w:r w:rsidRPr="002B3F36">
        <w:t xml:space="preserve">. Two were in the </w:t>
      </w:r>
      <w:r w:rsidRPr="002B3F36">
        <w:rPr>
          <w:rStyle w:val="affffb"/>
        </w:rPr>
        <w:t>40–49 age group</w:t>
      </w:r>
      <w:r w:rsidRPr="002B3F36">
        <w:t xml:space="preserve">, two in the </w:t>
      </w:r>
      <w:r w:rsidRPr="002B3F36">
        <w:rPr>
          <w:rStyle w:val="affffb"/>
        </w:rPr>
        <w:t>50–59 group</w:t>
      </w:r>
      <w:r w:rsidRPr="002B3F36">
        <w:t xml:space="preserve">, and one was </w:t>
      </w:r>
      <w:r w:rsidRPr="002B3F36">
        <w:rPr>
          <w:rStyle w:val="affffb"/>
        </w:rPr>
        <w:t>above 60 years</w:t>
      </w:r>
      <w:r w:rsidRPr="002B3F36">
        <w:t>.</w:t>
      </w:r>
    </w:p>
    <w:p w14:paraId="62C67F74" w14:textId="77777777" w:rsidR="00C87922" w:rsidRPr="002B3F36" w:rsidRDefault="00C87922" w:rsidP="00B01C23">
      <w:pPr>
        <w:pStyle w:val="Bullet12"/>
      </w:pPr>
      <w:r w:rsidRPr="002B3F36">
        <w:rPr>
          <w:rStyle w:val="affffb"/>
        </w:rPr>
        <w:t>Education.</w:t>
      </w:r>
      <w:r w:rsidRPr="002B3F36">
        <w:t xml:space="preserve"> Among household heads, </w:t>
      </w:r>
      <w:r w:rsidRPr="002B3F36">
        <w:rPr>
          <w:rStyle w:val="affffb"/>
        </w:rPr>
        <w:t>40% had higher education</w:t>
      </w:r>
      <w:r w:rsidRPr="002B3F36">
        <w:t xml:space="preserve">, </w:t>
      </w:r>
      <w:r w:rsidRPr="002B3F36">
        <w:rPr>
          <w:rStyle w:val="affffb"/>
        </w:rPr>
        <w:t>40% secondary professional</w:t>
      </w:r>
      <w:r w:rsidRPr="002B3F36">
        <w:t xml:space="preserve">, and </w:t>
      </w:r>
      <w:r w:rsidRPr="002B3F36">
        <w:rPr>
          <w:rStyle w:val="affffb"/>
        </w:rPr>
        <w:t>20% secondary education</w:t>
      </w:r>
      <w:r w:rsidRPr="002B3F36">
        <w:t xml:space="preserve"> only, indicating a moderately educated population with access to vocational and tertiary skills.</w:t>
      </w:r>
    </w:p>
    <w:p w14:paraId="74145F6D" w14:textId="77777777" w:rsidR="00C87922" w:rsidRPr="002B3F36" w:rsidRDefault="00C87922" w:rsidP="00B01C23">
      <w:pPr>
        <w:pStyle w:val="Bullet12"/>
      </w:pPr>
      <w:r w:rsidRPr="002B3F36">
        <w:rPr>
          <w:rStyle w:val="affffb"/>
        </w:rPr>
        <w:t>Income.</w:t>
      </w:r>
      <w:r w:rsidRPr="002B3F36">
        <w:t xml:space="preserve"> Livelihoods are primarily derived from </w:t>
      </w:r>
      <w:r w:rsidRPr="002B3F36">
        <w:rPr>
          <w:rStyle w:val="affffb"/>
        </w:rPr>
        <w:t>livestock breeding and agriculture</w:t>
      </w:r>
      <w:r w:rsidRPr="002B3F36">
        <w:t xml:space="preserve">. In terms of income levels, </w:t>
      </w:r>
      <w:r w:rsidRPr="002B3F36">
        <w:rPr>
          <w:rStyle w:val="affffb"/>
        </w:rPr>
        <w:t>60% of households reported KZT 236,000–350,000 per month</w:t>
      </w:r>
      <w:r w:rsidRPr="002B3F36">
        <w:t xml:space="preserve">, while the remaining </w:t>
      </w:r>
      <w:r w:rsidRPr="002B3F36">
        <w:rPr>
          <w:rStyle w:val="affffb"/>
        </w:rPr>
        <w:t>40% earned more than KZT 500,000</w:t>
      </w:r>
      <w:r w:rsidRPr="002B3F36">
        <w:t>. None of the surveyed households reported income below KZT 150,000.</w:t>
      </w:r>
    </w:p>
    <w:p w14:paraId="4C9DD414" w14:textId="0A2AE70C" w:rsidR="00C87922" w:rsidRPr="002B3F36" w:rsidRDefault="00C87922" w:rsidP="00B01C23">
      <w:pPr>
        <w:pStyle w:val="Bullet12"/>
      </w:pPr>
      <w:r w:rsidRPr="002B3F36">
        <w:rPr>
          <w:rStyle w:val="affffb"/>
        </w:rPr>
        <w:t>Ethnicity.</w:t>
      </w:r>
      <w:r w:rsidRPr="002B3F36">
        <w:t xml:space="preserve"> All surveyed households identified as </w:t>
      </w:r>
      <w:r w:rsidRPr="002B3F36">
        <w:rPr>
          <w:rStyle w:val="affffb"/>
        </w:rPr>
        <w:t>Kazakh</w:t>
      </w:r>
      <w:r w:rsidRPr="002B3F36">
        <w:t xml:space="preserve">. No minority groups or other vulnerable ethnic populations (as defined under </w:t>
      </w:r>
      <w:r w:rsidR="00163238" w:rsidRPr="002B3F36">
        <w:t>WB PS</w:t>
      </w:r>
      <w:r w:rsidRPr="002B3F36">
        <w:t>7) were identified.</w:t>
      </w:r>
    </w:p>
    <w:p w14:paraId="6A4B4346" w14:textId="77777777" w:rsidR="00B01C23" w:rsidRPr="002B3F36" w:rsidRDefault="00B01C23" w:rsidP="00B01C23">
      <w:pPr>
        <w:pStyle w:val="ReportBodyPar"/>
      </w:pPr>
    </w:p>
    <w:p w14:paraId="1B847AAE" w14:textId="7EE2B793" w:rsidR="00F61F8E" w:rsidRPr="002B3F36" w:rsidRDefault="00B01C23" w:rsidP="00B01C23">
      <w:pPr>
        <w:pStyle w:val="ReportBodyPar"/>
      </w:pPr>
      <w:r w:rsidRPr="002B3F36">
        <w:t>In c</w:t>
      </w:r>
      <w:r w:rsidR="00C87922" w:rsidRPr="002B3F36">
        <w:t>onclusion</w:t>
      </w:r>
      <w:r w:rsidRPr="002B3F36">
        <w:t>, t</w:t>
      </w:r>
      <w:r w:rsidR="00C87922" w:rsidRPr="002B3F36">
        <w:t xml:space="preserve">he </w:t>
      </w:r>
      <w:r w:rsidR="003A184C">
        <w:t>Karagandy</w:t>
      </w:r>
      <w:r w:rsidR="00C87922" w:rsidRPr="002B3F36">
        <w:t xml:space="preserve"> SES sample suggests that surveyed households are moderately sized (4.8 persons), headed by middle-aged individuals (average 52 years), and generally well educated with a balance of vocational and higher education backgrounds. Income levels show a bimodal distribution, with most households concentrated in the mid-income bracket (KZT 236,000–350,000) and the remainder reporting relatively high incomes above KZT 500,000. Importantly, no households were recorded below the national subsistence minimum or World Bank poverty line, indicating an absence of extreme vulnerability among respondents.</w:t>
      </w:r>
    </w:p>
    <w:p w14:paraId="02585901" w14:textId="77777777" w:rsidR="008775AF" w:rsidRPr="002B3F36" w:rsidRDefault="008775AF" w:rsidP="00F82096">
      <w:pPr>
        <w:pStyle w:val="ReportBodyPar"/>
      </w:pPr>
    </w:p>
    <w:p w14:paraId="2127CEF3" w14:textId="77777777" w:rsidR="008775AF" w:rsidRPr="002B3F36" w:rsidRDefault="008775AF">
      <w:pPr>
        <w:pStyle w:val="31"/>
        <w:rPr>
          <w:rFonts w:eastAsia="Calibri"/>
          <w:lang w:eastAsia="en-GB"/>
        </w:rPr>
      </w:pPr>
      <w:bookmarkStart w:id="2093" w:name="_Toc210589479"/>
      <w:r w:rsidRPr="002B3F36">
        <w:rPr>
          <w:rFonts w:eastAsia="Calibri"/>
          <w:lang w:eastAsia="en-GB"/>
        </w:rPr>
        <w:t>General Perceptions of the Proposed Railway Project</w:t>
      </w:r>
      <w:bookmarkEnd w:id="2093"/>
    </w:p>
    <w:p w14:paraId="637AE6B9" w14:textId="5AA9775D" w:rsidR="008775AF" w:rsidRPr="002B3F36" w:rsidRDefault="008775AF" w:rsidP="00F82096">
      <w:pPr>
        <w:pStyle w:val="ReportBodyPar"/>
      </w:pPr>
      <w:r w:rsidRPr="002B3F36">
        <w:t xml:space="preserve">Consultations and socio-economic surveys in </w:t>
      </w:r>
      <w:r w:rsidR="003A184C">
        <w:t>Karagandy</w:t>
      </w:r>
      <w:r w:rsidRPr="002B3F36">
        <w:t xml:space="preserve"> and Ulytau show mixed perceptions of the Project. Local authorities and some residents see potential benefits in improved connectivity and regional development. However, most land users—especially livestock </w:t>
      </w:r>
      <w:r w:rsidRPr="002B3F36">
        <w:lastRenderedPageBreak/>
        <w:t>herders—express concerns over pasture loss, disruption of grazing routes, and long-term livelihood risks.</w:t>
      </w:r>
      <w:r w:rsidR="00B01C23" w:rsidRPr="002B3F36">
        <w:t xml:space="preserve"> </w:t>
      </w:r>
      <w:r w:rsidRPr="002B3F36">
        <w:t>Key concerns include:</w:t>
      </w:r>
    </w:p>
    <w:p w14:paraId="7CF2380C" w14:textId="77777777" w:rsidR="008775AF" w:rsidRPr="002B3F36" w:rsidRDefault="008775AF" w:rsidP="00F82096">
      <w:pPr>
        <w:pStyle w:val="Bullet12"/>
      </w:pPr>
      <w:r w:rsidRPr="002B3F36">
        <w:t>Pasture fragmentation reducing livestock mobility.</w:t>
      </w:r>
    </w:p>
    <w:p w14:paraId="735D1353" w14:textId="77777777" w:rsidR="008775AF" w:rsidRPr="002B3F36" w:rsidRDefault="008775AF" w:rsidP="00F82096">
      <w:pPr>
        <w:pStyle w:val="Bullet12"/>
      </w:pPr>
      <w:r w:rsidRPr="002B3F36">
        <w:t>Livelihood impacts from limited grazing access and relocation of water points.</w:t>
      </w:r>
    </w:p>
    <w:p w14:paraId="54BB57CE" w14:textId="77777777" w:rsidR="008775AF" w:rsidRPr="002B3F36" w:rsidRDefault="008775AF" w:rsidP="00F82096">
      <w:pPr>
        <w:pStyle w:val="Bullet12"/>
      </w:pPr>
      <w:r w:rsidRPr="002B3F36">
        <w:t>Compensation doubts regarding adequacy and timeliness.</w:t>
      </w:r>
    </w:p>
    <w:p w14:paraId="32244F08" w14:textId="77777777" w:rsidR="008775AF" w:rsidRPr="002B3F36" w:rsidRDefault="008775AF" w:rsidP="00F82096">
      <w:pPr>
        <w:pStyle w:val="Bullet12"/>
      </w:pPr>
      <w:r w:rsidRPr="002B3F36">
        <w:t>Construction impacts such as noise, dust, and restricted access roads.</w:t>
      </w:r>
    </w:p>
    <w:p w14:paraId="1E72AEB8" w14:textId="77777777" w:rsidR="00B01C23" w:rsidRPr="002B3F36" w:rsidRDefault="00B01C23" w:rsidP="00B01C23">
      <w:pPr>
        <w:pStyle w:val="ReportBodyPar"/>
      </w:pPr>
    </w:p>
    <w:p w14:paraId="35F8AD8A" w14:textId="6CF2173F" w:rsidR="008775AF" w:rsidRPr="002B3F36" w:rsidRDefault="008775AF" w:rsidP="00F82096">
      <w:pPr>
        <w:pStyle w:val="ReportBodyPar"/>
      </w:pPr>
      <w:r w:rsidRPr="002B3F36">
        <w:t>Despite these reservations, communities remain open to dialogue, stressing that support depends on effective mitigation, particularly:</w:t>
      </w:r>
    </w:p>
    <w:p w14:paraId="2026537D" w14:textId="77777777" w:rsidR="008775AF" w:rsidRPr="002B3F36" w:rsidRDefault="008775AF" w:rsidP="00F82096">
      <w:pPr>
        <w:pStyle w:val="Bullet12"/>
      </w:pPr>
      <w:r w:rsidRPr="002B3F36">
        <w:t>Livestock underpasses and crossings to maintain grazing connectivity.</w:t>
      </w:r>
    </w:p>
    <w:p w14:paraId="795D9968" w14:textId="77777777" w:rsidR="008775AF" w:rsidRPr="002B3F36" w:rsidRDefault="008775AF" w:rsidP="00F82096">
      <w:pPr>
        <w:pStyle w:val="Bullet12"/>
      </w:pPr>
      <w:r w:rsidRPr="002B3F36">
        <w:t>Fair and timely compensation, with added support for vulnerable households.</w:t>
      </w:r>
    </w:p>
    <w:p w14:paraId="16D31110" w14:textId="77777777" w:rsidR="008775AF" w:rsidRPr="002B3F36" w:rsidRDefault="008775AF" w:rsidP="00F82096">
      <w:pPr>
        <w:pStyle w:val="Bullet12"/>
      </w:pPr>
      <w:r w:rsidRPr="002B3F36">
        <w:t>Local employment opportunities during construction and operation.</w:t>
      </w:r>
    </w:p>
    <w:p w14:paraId="2FF9415D" w14:textId="77777777" w:rsidR="00B01C23" w:rsidRPr="002B3F36" w:rsidRDefault="00B01C23" w:rsidP="00B01C23">
      <w:pPr>
        <w:pStyle w:val="ReportBodyPar"/>
      </w:pPr>
    </w:p>
    <w:p w14:paraId="3A42440B" w14:textId="41713B35" w:rsidR="008775AF" w:rsidRPr="002B3F36" w:rsidRDefault="008775AF" w:rsidP="00F82096">
      <w:pPr>
        <w:pStyle w:val="ReportBodyPar"/>
      </w:pPr>
      <w:r w:rsidRPr="002B3F36">
        <w:t>Overall, perceptions are reserved but conditionally supportive. Acceptance hinges on minimizing pasture loss, ensuring livelihood restoration, and maintaining continuous consultation and grievance mechanisms.</w:t>
      </w:r>
    </w:p>
    <w:p w14:paraId="4AB6B8D7" w14:textId="77777777" w:rsidR="00F61F8E" w:rsidRPr="002B3F36" w:rsidRDefault="00F61F8E">
      <w:pPr>
        <w:pStyle w:val="ReportBodyPar"/>
      </w:pPr>
    </w:p>
    <w:p w14:paraId="5EDDEED0" w14:textId="3FAAD28F" w:rsidR="00F61F8E" w:rsidRPr="002B3F36" w:rsidRDefault="000F264B" w:rsidP="005A68AD">
      <w:pPr>
        <w:pStyle w:val="31"/>
      </w:pPr>
      <w:bookmarkStart w:id="2094" w:name="_Toc210589480"/>
      <w:bookmarkStart w:id="2095" w:name="_Toc208973837"/>
      <w:bookmarkStart w:id="2096" w:name="_Toc208974037"/>
      <w:bookmarkStart w:id="2097" w:name="_Toc208974237"/>
      <w:bookmarkStart w:id="2098" w:name="_Toc208974439"/>
      <w:bookmarkStart w:id="2099" w:name="_Toc208974647"/>
      <w:r w:rsidRPr="002B3F36">
        <w:t>Cultural Heritage</w:t>
      </w:r>
      <w:bookmarkEnd w:id="2094"/>
      <w:r w:rsidR="003130AF" w:rsidRPr="002B3F36">
        <w:t xml:space="preserve"> </w:t>
      </w:r>
      <w:bookmarkEnd w:id="2095"/>
      <w:bookmarkEnd w:id="2096"/>
      <w:bookmarkEnd w:id="2097"/>
      <w:bookmarkEnd w:id="2098"/>
      <w:bookmarkEnd w:id="2099"/>
    </w:p>
    <w:p w14:paraId="6D37C8C6" w14:textId="77777777" w:rsidR="00F61F8E" w:rsidRPr="002B3F36" w:rsidRDefault="000F264B" w:rsidP="00701F4F">
      <w:pPr>
        <w:pStyle w:val="41"/>
      </w:pPr>
      <w:bookmarkStart w:id="2100" w:name="_Toc169094761"/>
      <w:bookmarkStart w:id="2101" w:name="_Toc208973838"/>
      <w:bookmarkStart w:id="2102" w:name="_Toc208974038"/>
      <w:bookmarkStart w:id="2103" w:name="_Toc208974238"/>
      <w:bookmarkStart w:id="2104" w:name="_Toc208974440"/>
      <w:bookmarkStart w:id="2105" w:name="_Toc210589481"/>
      <w:r w:rsidRPr="002B3F36">
        <w:t>Investigations of the Tangible Aspects</w:t>
      </w:r>
      <w:bookmarkEnd w:id="2100"/>
      <w:bookmarkEnd w:id="2101"/>
      <w:bookmarkEnd w:id="2102"/>
      <w:bookmarkEnd w:id="2103"/>
      <w:bookmarkEnd w:id="2104"/>
      <w:bookmarkEnd w:id="2105"/>
    </w:p>
    <w:p w14:paraId="101E3A83" w14:textId="77777777" w:rsidR="00F61F8E" w:rsidRPr="002B3F36" w:rsidRDefault="000F264B">
      <w:pPr>
        <w:pStyle w:val="ReportBodyPar"/>
      </w:pPr>
      <w:r w:rsidRPr="002B3F36">
        <w:t>Responsibility for the safety of monuments is provided for by the current legislation of the Republic of Kazakhstan. Violations of legislation on the protection of historical and cultural monuments entail established material, administrative and criminal liability. The Ministry of Culture and Sports of the Republic of Kazakhstan is central executive body in the Government of Kazakhstan, that provides leadership in the fields of culture, internal political stability, interethnic harmony, the development of languages, state symbols, state social order, archiving and documentation, religious activities, physical culture and sports, gambling, as well as intersectoral coordination and state regulation. Henceforth, the ministry has the primary responsibility on any archaeological and historical findings in the project.</w:t>
      </w:r>
    </w:p>
    <w:p w14:paraId="72B77141" w14:textId="63E363BA" w:rsidR="00F61F8E" w:rsidRPr="002B3F36" w:rsidRDefault="00F61F8E">
      <w:pPr>
        <w:pStyle w:val="ReportBodyPar"/>
      </w:pPr>
    </w:p>
    <w:p w14:paraId="6C222A63" w14:textId="75AEACCB" w:rsidR="003B5167" w:rsidRPr="002B3F36" w:rsidRDefault="003B5167" w:rsidP="003B5167">
      <w:pPr>
        <w:pStyle w:val="ReportBodyPar"/>
      </w:pPr>
      <w:r w:rsidRPr="002B3F36">
        <w:t xml:space="preserve">A historical and cultural heritage (HCH) assessment was undertaken along the </w:t>
      </w:r>
      <w:r w:rsidR="003650DB" w:rsidRPr="002B3F36">
        <w:t>Mointy – Kyzylzhar</w:t>
      </w:r>
      <w:r w:rsidRPr="002B3F36">
        <w:t xml:space="preserve"> Railway Construction Corridor in compliance with the Law of the Republic of Kazakhstan dated December 26, 2019 “On the Protection and Use of Historical and Cultural Heritage Sites.” The assessment was performed by the Republican State Enterprise on the Right of Economic Management "Institute of Archaeology named after A.Kh. Margulan" under the Science Committee of the Ministry of Science and Higher Education. The work followed legal requirements under Article 30, mandating archaeological investigations prior to land allocation and construction activities.</w:t>
      </w:r>
    </w:p>
    <w:p w14:paraId="75C0FA31" w14:textId="77777777" w:rsidR="003B5167" w:rsidRPr="002B3F36" w:rsidRDefault="003B5167" w:rsidP="003B5167">
      <w:pPr>
        <w:pStyle w:val="ReportBodyPar"/>
      </w:pPr>
    </w:p>
    <w:p w14:paraId="074B2F1A" w14:textId="32551975" w:rsidR="003B5167" w:rsidRPr="002B3F36" w:rsidRDefault="003B5167" w:rsidP="003B5167">
      <w:pPr>
        <w:pStyle w:val="ReportBodyPar"/>
      </w:pPr>
      <w:r w:rsidRPr="002B3F36">
        <w:t>The assessment aimed to (i) identify historical and cultural heritage sites within the 32</w:t>
      </w:r>
      <w:r w:rsidR="005C152A">
        <w:t>2.2</w:t>
      </w:r>
      <w:r w:rsidRPr="002B3F36">
        <w:t>-km project alignment, (ii) establish potential constraints to construction, and (iii) recommend appropriate protection and mitigation measures for integration into the Environmental and Social Management Plan (ESMP) and construction planning process.</w:t>
      </w:r>
    </w:p>
    <w:p w14:paraId="6A5AB150" w14:textId="77777777" w:rsidR="003B5167" w:rsidRPr="002B3F36" w:rsidRDefault="003B5167" w:rsidP="003B5167">
      <w:pPr>
        <w:pStyle w:val="ReportBodyPar"/>
      </w:pPr>
    </w:p>
    <w:p w14:paraId="34514519" w14:textId="713606A0" w:rsidR="003B5167" w:rsidRPr="002B3F36" w:rsidRDefault="003B5167" w:rsidP="009B4CDB">
      <w:pPr>
        <w:pStyle w:val="ALetteritems"/>
        <w:numPr>
          <w:ilvl w:val="5"/>
          <w:numId w:val="31"/>
        </w:numPr>
        <w:ind w:left="360"/>
        <w:rPr>
          <w:rFonts w:cs="Arial"/>
        </w:rPr>
      </w:pPr>
      <w:r w:rsidRPr="002B3F36">
        <w:rPr>
          <w:rFonts w:cs="Arial"/>
        </w:rPr>
        <w:t>Study Scope and Methodology</w:t>
      </w:r>
    </w:p>
    <w:p w14:paraId="2CD48D4D" w14:textId="77777777" w:rsidR="003B5167" w:rsidRPr="002B3F36" w:rsidRDefault="003B5167" w:rsidP="003B5167">
      <w:pPr>
        <w:pStyle w:val="ReportBodyPar"/>
      </w:pPr>
    </w:p>
    <w:p w14:paraId="713D85CE" w14:textId="05BE5BD9" w:rsidR="003B5167" w:rsidRPr="002B3F36" w:rsidRDefault="003B5167" w:rsidP="003B5167">
      <w:pPr>
        <w:pStyle w:val="ReportBodyPar"/>
      </w:pPr>
      <w:r w:rsidRPr="002B3F36">
        <w:t xml:space="preserve">The study covered the </w:t>
      </w:r>
      <w:r w:rsidR="003A184C">
        <w:t>Karagandy</w:t>
      </w:r>
      <w:r w:rsidRPr="002B3F36">
        <w:t xml:space="preserve"> Region (Shetsky District) and the Ulytau Region (Zhanaarkinsky District) along the planned railway alignment. A review of statutory documents was conducted, including:</w:t>
      </w:r>
    </w:p>
    <w:p w14:paraId="0CB93FD5" w14:textId="77777777" w:rsidR="003B5167" w:rsidRPr="002B3F36" w:rsidRDefault="003B5167" w:rsidP="00B71461">
      <w:pPr>
        <w:pStyle w:val="ADBbullets"/>
        <w:rPr>
          <w:sz w:val="24"/>
          <w:szCs w:val="24"/>
        </w:rPr>
      </w:pPr>
      <w:r w:rsidRPr="002B3F36">
        <w:rPr>
          <w:sz w:val="24"/>
          <w:szCs w:val="24"/>
        </w:rPr>
        <w:lastRenderedPageBreak/>
        <w:t>State List of Historical and Cultural Monuments of Republican Significance (Order No. 88, April 14, 2020)</w:t>
      </w:r>
    </w:p>
    <w:p w14:paraId="5B1D281E" w14:textId="72D64C1A" w:rsidR="003B5167" w:rsidRPr="002B3F36" w:rsidRDefault="003B5167" w:rsidP="00B71461">
      <w:pPr>
        <w:pStyle w:val="ADBbullets"/>
        <w:rPr>
          <w:sz w:val="24"/>
          <w:szCs w:val="24"/>
        </w:rPr>
      </w:pPr>
      <w:r w:rsidRPr="002B3F36">
        <w:rPr>
          <w:sz w:val="24"/>
          <w:szCs w:val="24"/>
        </w:rPr>
        <w:t xml:space="preserve">State List of Historical and Cultural Monuments of Local Significance, </w:t>
      </w:r>
      <w:r w:rsidR="003A184C">
        <w:rPr>
          <w:sz w:val="24"/>
          <w:szCs w:val="24"/>
        </w:rPr>
        <w:t>Karagandy</w:t>
      </w:r>
      <w:r w:rsidRPr="002B3F36">
        <w:rPr>
          <w:sz w:val="24"/>
          <w:szCs w:val="24"/>
        </w:rPr>
        <w:t xml:space="preserve"> Region (Resolution No. 73/01, November 17, 2020)</w:t>
      </w:r>
    </w:p>
    <w:p w14:paraId="6F0EC082" w14:textId="77777777" w:rsidR="003B5167" w:rsidRPr="002B3F36" w:rsidRDefault="003B5167" w:rsidP="003B5167">
      <w:pPr>
        <w:pStyle w:val="ReportBodyPar"/>
      </w:pPr>
      <w:r w:rsidRPr="002B3F36">
        <w:t>Field investigations were carried out by TOO "KITNG" / "KITNG" JSS with technical oversight from the Institute of Archaeology. The assessment combined desktop studies with field-based archaeological surveys to identify and record cultural heritage sites within the corridor of influence.</w:t>
      </w:r>
    </w:p>
    <w:p w14:paraId="777B025E" w14:textId="6B41608D" w:rsidR="00B71461" w:rsidRPr="002B3F36" w:rsidRDefault="00B71461" w:rsidP="003B5167">
      <w:pPr>
        <w:pStyle w:val="ReportBodyPar"/>
      </w:pPr>
    </w:p>
    <w:p w14:paraId="2C9048AD" w14:textId="361A77AC" w:rsidR="00B71461" w:rsidRPr="002B3F36" w:rsidRDefault="00315943" w:rsidP="009B4CDB">
      <w:pPr>
        <w:pStyle w:val="ALetteritems"/>
        <w:numPr>
          <w:ilvl w:val="5"/>
          <w:numId w:val="31"/>
        </w:numPr>
        <w:ind w:left="360"/>
        <w:rPr>
          <w:rFonts w:cs="Arial"/>
        </w:rPr>
      </w:pPr>
      <w:r w:rsidRPr="002B3F36">
        <w:rPr>
          <w:rFonts w:cs="Arial"/>
        </w:rPr>
        <w:t xml:space="preserve">Framework of the </w:t>
      </w:r>
      <w:r w:rsidR="00662145" w:rsidRPr="002B3F36">
        <w:rPr>
          <w:rFonts w:cs="Arial"/>
        </w:rPr>
        <w:t>Study</w:t>
      </w:r>
    </w:p>
    <w:p w14:paraId="35A6E460" w14:textId="77777777" w:rsidR="00315943" w:rsidRPr="002B3F36" w:rsidRDefault="00315943" w:rsidP="00315943">
      <w:pPr>
        <w:pStyle w:val="ReportBodyPar"/>
      </w:pPr>
    </w:p>
    <w:p w14:paraId="1F1865C7" w14:textId="2A5F7CF1" w:rsidR="00315943" w:rsidRPr="002B3F36" w:rsidRDefault="00315943" w:rsidP="00315943">
      <w:pPr>
        <w:pStyle w:val="ReportBodyPar"/>
      </w:pPr>
      <w:r w:rsidRPr="002B3F36">
        <w:t xml:space="preserve">To safeguard the integrity, historical character, and cultural significance of heritage sites identified along the </w:t>
      </w:r>
      <w:r w:rsidR="003650DB" w:rsidRPr="002B3F36">
        <w:t xml:space="preserve">Mointy – Kyzylzhar </w:t>
      </w:r>
      <w:r w:rsidRPr="002B3F36">
        <w:t>Railway Corridor, a system of land-use restrictions and management zones has been established in line with national legislation on the Protection and Use of Historical and Cultural Heritage Sites. These zones impose specific requirements on land use, construction activities, and landscape preservation, ensuring that heritage assets remain undisturbed and retain their historical, cultural, and environmental value.</w:t>
      </w:r>
      <w:r w:rsidR="00264F8C" w:rsidRPr="002B3F36">
        <w:t xml:space="preserve"> </w:t>
      </w:r>
      <w:r w:rsidRPr="002B3F36">
        <w:t>The three key zoning categories are:</w:t>
      </w:r>
    </w:p>
    <w:p w14:paraId="1285DB90" w14:textId="77777777" w:rsidR="00315943" w:rsidRPr="002B3F36" w:rsidRDefault="00315943" w:rsidP="00315943">
      <w:pPr>
        <w:pStyle w:val="Appnumbereditems"/>
      </w:pPr>
      <w:r w:rsidRPr="002B3F36">
        <w:t>Security Zone</w:t>
      </w:r>
    </w:p>
    <w:p w14:paraId="4F559C0A" w14:textId="77777777" w:rsidR="00315943" w:rsidRPr="002B3F36" w:rsidRDefault="00315943" w:rsidP="00315943">
      <w:pPr>
        <w:pStyle w:val="Appnumbereditems"/>
      </w:pPr>
      <w:r w:rsidRPr="002B3F36">
        <w:t>Development Control Zone</w:t>
      </w:r>
    </w:p>
    <w:p w14:paraId="71B85298" w14:textId="77777777" w:rsidR="00315943" w:rsidRPr="002B3F36" w:rsidRDefault="00315943" w:rsidP="00315943">
      <w:pPr>
        <w:pStyle w:val="Appnumbereditems"/>
      </w:pPr>
      <w:r w:rsidRPr="002B3F36">
        <w:t>Protected Natural Landscape Zone</w:t>
      </w:r>
    </w:p>
    <w:p w14:paraId="474581B0" w14:textId="77777777" w:rsidR="00315943" w:rsidRPr="002B3F36" w:rsidRDefault="00315943" w:rsidP="00315943">
      <w:pPr>
        <w:pStyle w:val="ReportBodyPar"/>
      </w:pPr>
    </w:p>
    <w:p w14:paraId="508D0924" w14:textId="246AC078" w:rsidR="00315943" w:rsidRPr="002B3F36" w:rsidRDefault="00315943" w:rsidP="00315943">
      <w:pPr>
        <w:pStyle w:val="ReportBodyPar"/>
      </w:pPr>
      <w:r w:rsidRPr="002B3F36">
        <w:t>Each zone has clearly defined boundaries, purposes, and regulatory frameworks, as summarized below.</w:t>
      </w:r>
    </w:p>
    <w:p w14:paraId="2E667E22" w14:textId="77777777" w:rsidR="00315943" w:rsidRPr="002B3F36" w:rsidRDefault="00315943" w:rsidP="00315943">
      <w:pPr>
        <w:pStyle w:val="ReportBodyPar"/>
      </w:pPr>
    </w:p>
    <w:p w14:paraId="39D61205" w14:textId="3FB46FB5" w:rsidR="00315943" w:rsidRPr="002B3F36" w:rsidRDefault="00315943" w:rsidP="00315943">
      <w:pPr>
        <w:pStyle w:val="NumberList14ptspace"/>
        <w:rPr>
          <w:rFonts w:cs="Arial"/>
          <w:b/>
        </w:rPr>
      </w:pPr>
      <w:r w:rsidRPr="002B3F36">
        <w:rPr>
          <w:rFonts w:cs="Arial"/>
          <w:b/>
        </w:rPr>
        <w:t>Security Zone</w:t>
      </w:r>
    </w:p>
    <w:p w14:paraId="55B4DB01" w14:textId="77777777" w:rsidR="00315943" w:rsidRPr="002B3F36" w:rsidRDefault="00315943" w:rsidP="00315943">
      <w:pPr>
        <w:pStyle w:val="ReportBodyPar"/>
      </w:pPr>
      <w:r w:rsidRPr="002B3F36">
        <w:t>The security zone serves as the immediate buffer around a historical and cultural monument, designed to guarantee its preservation and structural integrity.</w:t>
      </w:r>
    </w:p>
    <w:p w14:paraId="14BE5592" w14:textId="77777777" w:rsidR="00315943" w:rsidRPr="002B3F36" w:rsidRDefault="00315943" w:rsidP="00315943">
      <w:pPr>
        <w:pStyle w:val="Newbullet"/>
      </w:pPr>
      <w:r w:rsidRPr="002B3F36">
        <w:t>Purpose: Prevent physical damage, unauthorized land use, and unregulated construction in proximity to the heritage site.</w:t>
      </w:r>
    </w:p>
    <w:p w14:paraId="3BC74057" w14:textId="2518D282" w:rsidR="00315943" w:rsidRPr="002B3F36" w:rsidRDefault="00315943" w:rsidP="00315943">
      <w:pPr>
        <w:pStyle w:val="Newbullet"/>
      </w:pPr>
      <w:r w:rsidRPr="002B3F36">
        <w:t>Restrictions: No construction or economic activity is permitted within this zone.</w:t>
      </w:r>
    </w:p>
    <w:p w14:paraId="14E5BE38" w14:textId="77777777" w:rsidR="00315943" w:rsidRPr="002B3F36" w:rsidRDefault="00315943" w:rsidP="00315943">
      <w:pPr>
        <w:pStyle w:val="Newbullet"/>
      </w:pPr>
      <w:r w:rsidRPr="002B3F36">
        <w:t>Only activities directly related to conservation or restoration of the monument may be undertaken.</w:t>
      </w:r>
    </w:p>
    <w:p w14:paraId="5B74AC9F" w14:textId="77777777" w:rsidR="00315943" w:rsidRPr="002B3F36" w:rsidRDefault="00315943" w:rsidP="00315943">
      <w:pPr>
        <w:pStyle w:val="Newbullet"/>
      </w:pPr>
      <w:r w:rsidRPr="002B3F36">
        <w:t>The zone must be physically demarcated through markers, fences, plowed strips, or planted vegetation to ensure visibility and enforcement.</w:t>
      </w:r>
    </w:p>
    <w:p w14:paraId="32E63AA3" w14:textId="77777777" w:rsidR="00315943" w:rsidRPr="002B3F36" w:rsidRDefault="00315943" w:rsidP="00315943">
      <w:pPr>
        <w:pStyle w:val="Newbullet"/>
      </w:pPr>
      <w:r w:rsidRPr="002B3F36">
        <w:t>Dimensions: Extends 40 meters outward from the boundary of the monument.</w:t>
      </w:r>
    </w:p>
    <w:p w14:paraId="367F96D6" w14:textId="77777777" w:rsidR="00315943" w:rsidRPr="002B3F36" w:rsidRDefault="00315943" w:rsidP="00315943">
      <w:pPr>
        <w:pStyle w:val="Newbullet"/>
      </w:pPr>
      <w:r w:rsidRPr="002B3F36">
        <w:t>This restriction ensures that the core heritage area remains intact, free from vibrations, encroachments, or other disturbances that could compromise its historical authenticity.</w:t>
      </w:r>
    </w:p>
    <w:p w14:paraId="57CA5952" w14:textId="77777777" w:rsidR="00315943" w:rsidRPr="002B3F36" w:rsidRDefault="00315943" w:rsidP="00315943">
      <w:pPr>
        <w:pStyle w:val="ReportBodyPar"/>
      </w:pPr>
    </w:p>
    <w:p w14:paraId="08D186DE" w14:textId="4555BE55" w:rsidR="00315943" w:rsidRPr="002B3F36" w:rsidRDefault="00315943" w:rsidP="00315943">
      <w:pPr>
        <w:pStyle w:val="NumberList14ptspace"/>
        <w:rPr>
          <w:rFonts w:cs="Arial"/>
          <w:b/>
        </w:rPr>
      </w:pPr>
      <w:r w:rsidRPr="002B3F36">
        <w:rPr>
          <w:rFonts w:cs="Arial"/>
          <w:b/>
        </w:rPr>
        <w:t>Development Control Zone</w:t>
      </w:r>
    </w:p>
    <w:p w14:paraId="65BCB782" w14:textId="77777777" w:rsidR="00315943" w:rsidRPr="002B3F36" w:rsidRDefault="00315943" w:rsidP="00315943">
      <w:pPr>
        <w:pStyle w:val="ReportBodyPar"/>
      </w:pPr>
      <w:r w:rsidRPr="002B3F36">
        <w:t>Surrounding the security zone, the development control zone serves to protect the architectural character and visual setting of the historical monument.</w:t>
      </w:r>
    </w:p>
    <w:p w14:paraId="02E06941" w14:textId="77777777" w:rsidR="00315943" w:rsidRPr="002B3F36" w:rsidRDefault="00315943" w:rsidP="00315943">
      <w:pPr>
        <w:pStyle w:val="Newbullet"/>
      </w:pPr>
      <w:r w:rsidRPr="002B3F36">
        <w:t>Purpose: Maintain the historic urban landscape and ensure that any surrounding development remains architecturally compatible with the heritage site.</w:t>
      </w:r>
    </w:p>
    <w:p w14:paraId="3EED7F90" w14:textId="48075898" w:rsidR="00315943" w:rsidRPr="002B3F36" w:rsidRDefault="00315943" w:rsidP="00315943">
      <w:pPr>
        <w:pStyle w:val="Newbullet"/>
      </w:pPr>
      <w:r w:rsidRPr="002B3F36">
        <w:t>Restrictions: New construction must adhere to height, width, design, materials, and color requirements aligned with the historical setting.</w:t>
      </w:r>
    </w:p>
    <w:p w14:paraId="1346D54A" w14:textId="77777777" w:rsidR="00315943" w:rsidRPr="002B3F36" w:rsidRDefault="00315943" w:rsidP="00315943">
      <w:pPr>
        <w:pStyle w:val="Newbullet"/>
      </w:pPr>
      <w:r w:rsidRPr="002B3F36">
        <w:t>Industrial facilities, warehouses, and large-scale transport infrastructure are strictly prohibited.</w:t>
      </w:r>
    </w:p>
    <w:p w14:paraId="579E4BCB" w14:textId="77777777" w:rsidR="00315943" w:rsidRPr="002B3F36" w:rsidRDefault="00315943" w:rsidP="00315943">
      <w:pPr>
        <w:pStyle w:val="Newbullet"/>
      </w:pPr>
      <w:r w:rsidRPr="002B3F36">
        <w:t>Reconstruction of existing structures is permitted only under design and material guidelines that preserve the cultural environment.</w:t>
      </w:r>
    </w:p>
    <w:p w14:paraId="06CF1CFE" w14:textId="77777777" w:rsidR="00315943" w:rsidRPr="002B3F36" w:rsidRDefault="00315943" w:rsidP="00315943">
      <w:pPr>
        <w:pStyle w:val="Newbullet"/>
      </w:pPr>
      <w:r w:rsidRPr="002B3F36">
        <w:lastRenderedPageBreak/>
        <w:t>Dimensions: Extends 40 meters beyond the security zone.</w:t>
      </w:r>
    </w:p>
    <w:p w14:paraId="2887F96D" w14:textId="77777777" w:rsidR="00315943" w:rsidRPr="002B3F36" w:rsidRDefault="00315943" w:rsidP="00315943">
      <w:pPr>
        <w:pStyle w:val="Newbullet"/>
      </w:pPr>
      <w:r w:rsidRPr="002B3F36">
        <w:t>This zone functions as a transition buffer between the monument and modern development, preserving the aesthetic and cultural values of the broader landscape.</w:t>
      </w:r>
    </w:p>
    <w:p w14:paraId="03788F50" w14:textId="77777777" w:rsidR="00315943" w:rsidRPr="002B3F36" w:rsidRDefault="00315943" w:rsidP="00315943">
      <w:pPr>
        <w:pStyle w:val="ReportBodyPar"/>
      </w:pPr>
    </w:p>
    <w:p w14:paraId="431E92D4" w14:textId="0B9AEC9F" w:rsidR="00315943" w:rsidRPr="002B3F36" w:rsidRDefault="00315943" w:rsidP="00315943">
      <w:pPr>
        <w:pStyle w:val="NumberList14ptspace"/>
        <w:rPr>
          <w:rFonts w:cs="Arial"/>
          <w:b/>
        </w:rPr>
      </w:pPr>
      <w:r w:rsidRPr="002B3F36">
        <w:rPr>
          <w:rFonts w:cs="Arial"/>
          <w:b/>
        </w:rPr>
        <w:t>Protected Natural Landscape Zone</w:t>
      </w:r>
    </w:p>
    <w:p w14:paraId="4E3F989B" w14:textId="77777777" w:rsidR="00315943" w:rsidRPr="002B3F36" w:rsidRDefault="00315943" w:rsidP="00315943">
      <w:pPr>
        <w:pStyle w:val="ReportBodyPar"/>
      </w:pPr>
      <w:r w:rsidRPr="002B3F36">
        <w:t>Beyond the development control zone lies the protected natural landscape zone, which safeguards the wider environmental and cultural context of the heritage site.</w:t>
      </w:r>
    </w:p>
    <w:p w14:paraId="2048BD14" w14:textId="77777777" w:rsidR="00315943" w:rsidRPr="002B3F36" w:rsidRDefault="00315943" w:rsidP="00315943">
      <w:pPr>
        <w:pStyle w:val="Newbullet"/>
      </w:pPr>
      <w:r w:rsidRPr="002B3F36">
        <w:t>Purpose: Conserve natural features—including water bodies, green spaces, river valleys, and topographical elements—that are historically or compositionally linked to the monument.</w:t>
      </w:r>
    </w:p>
    <w:p w14:paraId="5659E14C" w14:textId="638BEF8E" w:rsidR="00315943" w:rsidRPr="002B3F36" w:rsidRDefault="00315943" w:rsidP="00315943">
      <w:pPr>
        <w:pStyle w:val="Newbullet"/>
      </w:pPr>
      <w:r w:rsidRPr="002B3F36">
        <w:t>Restrictions: Activities altering landscape character, vegetation cover, or water systems are not permitted.</w:t>
      </w:r>
    </w:p>
    <w:p w14:paraId="13A5D412" w14:textId="77777777" w:rsidR="00315943" w:rsidRPr="002B3F36" w:rsidRDefault="00315943" w:rsidP="00315943">
      <w:pPr>
        <w:pStyle w:val="Newbullet"/>
      </w:pPr>
      <w:r w:rsidRPr="002B3F36">
        <w:t>Only land uses that maintain the visual and ecological integrity of the cultural landscape are allowed.</w:t>
      </w:r>
    </w:p>
    <w:p w14:paraId="429489B1" w14:textId="77777777" w:rsidR="00315943" w:rsidRPr="002B3F36" w:rsidRDefault="00315943" w:rsidP="00315943">
      <w:pPr>
        <w:pStyle w:val="Newbullet"/>
      </w:pPr>
      <w:r w:rsidRPr="002B3F36">
        <w:t>Dimensions: Extends 40 meters beyond the development control zone.</w:t>
      </w:r>
    </w:p>
    <w:p w14:paraId="534B170F" w14:textId="74D5453C" w:rsidR="00B71461" w:rsidRPr="002B3F36" w:rsidRDefault="00315943" w:rsidP="00315943">
      <w:pPr>
        <w:pStyle w:val="Newbullet"/>
      </w:pPr>
      <w:r w:rsidRPr="002B3F36">
        <w:t>This zone ensures that the scenic and environmental attributes contributing to the heritage site’s cultural value remain undisturbed, preventing visual intrusions or ecological degradation.</w:t>
      </w:r>
    </w:p>
    <w:p w14:paraId="1CBA3D33" w14:textId="77777777" w:rsidR="00315943" w:rsidRPr="002B3F36" w:rsidRDefault="00315943" w:rsidP="003B5167">
      <w:pPr>
        <w:pStyle w:val="ReportBodyPar"/>
      </w:pPr>
    </w:p>
    <w:p w14:paraId="1A170F9C" w14:textId="4DD97385" w:rsidR="003B5167" w:rsidRPr="002B3F36" w:rsidRDefault="003B5167" w:rsidP="009B4CDB">
      <w:pPr>
        <w:pStyle w:val="ALetteritems"/>
        <w:numPr>
          <w:ilvl w:val="5"/>
          <w:numId w:val="31"/>
        </w:numPr>
        <w:ind w:left="360"/>
        <w:rPr>
          <w:rFonts w:cs="Arial"/>
        </w:rPr>
      </w:pPr>
      <w:r w:rsidRPr="002B3F36">
        <w:rPr>
          <w:rFonts w:cs="Arial"/>
        </w:rPr>
        <w:t>Key Findings</w:t>
      </w:r>
    </w:p>
    <w:p w14:paraId="01BE9CF5" w14:textId="77777777" w:rsidR="003B5167" w:rsidRPr="002B3F36" w:rsidRDefault="003B5167" w:rsidP="003B5167">
      <w:pPr>
        <w:pStyle w:val="ReportBodyPar"/>
      </w:pPr>
    </w:p>
    <w:p w14:paraId="089808D9" w14:textId="22326B19" w:rsidR="003B5167" w:rsidRPr="002B3F36" w:rsidRDefault="003B5167" w:rsidP="003B5167">
      <w:pPr>
        <w:pStyle w:val="ReportBodyPar"/>
      </w:pPr>
      <w:r w:rsidRPr="002B3F36">
        <w:t>The investigation identified 17 historical and cultural heritage sites within the 32</w:t>
      </w:r>
      <w:r w:rsidR="005C152A">
        <w:t>2.2</w:t>
      </w:r>
      <w:r w:rsidRPr="002B3F36">
        <w:t>-km railway corridor. These primarily comprise burial mounds and associated archaeological features located at varying distances from the proposed railway centerline.</w:t>
      </w:r>
      <w:r w:rsidR="00CB5C9C" w:rsidRPr="002B3F36">
        <w:t xml:space="preserve"> The investigated sites are shown in the Table below.</w:t>
      </w:r>
      <w:r w:rsidR="00264F8C" w:rsidRPr="002B3F36">
        <w:t xml:space="preserve"> While the subsequent three tables </w:t>
      </w:r>
      <w:r w:rsidR="00662145" w:rsidRPr="002B3F36">
        <w:t>indicate</w:t>
      </w:r>
      <w:r w:rsidR="00264F8C" w:rsidRPr="002B3F36">
        <w:t xml:space="preserve"> the locations of sites from the Railway Axis (RA).</w:t>
      </w:r>
    </w:p>
    <w:p w14:paraId="4B9815E5" w14:textId="1210C199" w:rsidR="003B5167" w:rsidRPr="002B3F36" w:rsidRDefault="003B5167" w:rsidP="003B5167">
      <w:pPr>
        <w:pStyle w:val="ReportBodyPar"/>
      </w:pPr>
    </w:p>
    <w:p w14:paraId="0B01CFAC" w14:textId="63AF8E6D" w:rsidR="00B71461" w:rsidRPr="002B3F36" w:rsidRDefault="00CB5C9C" w:rsidP="006501B7">
      <w:pPr>
        <w:pStyle w:val="CaptionTable"/>
      </w:pPr>
      <w:bookmarkStart w:id="2106" w:name="_Toc210589566"/>
      <w:r w:rsidRPr="002B3F36">
        <w:t xml:space="preserve">Table </w:t>
      </w:r>
      <w:r w:rsidRPr="002B3F36">
        <w:fldChar w:fldCharType="begin"/>
      </w:r>
      <w:r w:rsidRPr="002B3F36">
        <w:instrText>SEQ Table \* ARABIC</w:instrText>
      </w:r>
      <w:r w:rsidRPr="002B3F36">
        <w:fldChar w:fldCharType="separate"/>
      </w:r>
      <w:r w:rsidR="00A023DA">
        <w:rPr>
          <w:noProof/>
        </w:rPr>
        <w:t>22</w:t>
      </w:r>
      <w:r w:rsidRPr="002B3F36">
        <w:fldChar w:fldCharType="end"/>
      </w:r>
      <w:r w:rsidRPr="002B3F36">
        <w:t>: Investigated Sites Along the Project Area</w:t>
      </w:r>
      <w:bookmarkEnd w:id="2106"/>
    </w:p>
    <w:tbl>
      <w:tblPr>
        <w:tblStyle w:val="af"/>
        <w:tblW w:w="8754" w:type="dxa"/>
        <w:tblInd w:w="421" w:type="dxa"/>
        <w:tblLook w:val="04A0" w:firstRow="1" w:lastRow="0" w:firstColumn="1" w:lastColumn="0" w:noHBand="0" w:noVBand="1"/>
      </w:tblPr>
      <w:tblGrid>
        <w:gridCol w:w="603"/>
        <w:gridCol w:w="3741"/>
        <w:gridCol w:w="4410"/>
      </w:tblGrid>
      <w:tr w:rsidR="00B71461" w:rsidRPr="002B3F36" w14:paraId="2584ADA0" w14:textId="77777777" w:rsidTr="00E8395A">
        <w:trPr>
          <w:tblHeader/>
        </w:trPr>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5F88AD68" w14:textId="77777777" w:rsidR="00B71461" w:rsidRPr="002B3F36" w:rsidRDefault="00B71461" w:rsidP="006501B7">
            <w:pPr>
              <w:jc w:val="center"/>
              <w:rPr>
                <w:rFonts w:ascii="Arial" w:hAnsi="Arial" w:cs="Arial"/>
                <w:b/>
              </w:rPr>
            </w:pPr>
            <w:r w:rsidRPr="002B3F36">
              <w:rPr>
                <w:rFonts w:ascii="Arial" w:hAnsi="Arial" w:cs="Arial"/>
                <w:b/>
              </w:rPr>
              <w:t>No.</w:t>
            </w: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19716A44" w14:textId="77777777" w:rsidR="00B71461" w:rsidRPr="002B3F36" w:rsidRDefault="00B71461" w:rsidP="006501B7">
            <w:pPr>
              <w:jc w:val="center"/>
              <w:rPr>
                <w:rFonts w:ascii="Arial" w:hAnsi="Arial" w:cs="Arial"/>
                <w:b/>
              </w:rPr>
            </w:pPr>
            <w:r w:rsidRPr="002B3F36">
              <w:rPr>
                <w:rFonts w:ascii="Arial" w:hAnsi="Arial" w:cs="Arial"/>
                <w:b/>
              </w:rPr>
              <w:t>Name</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2F06735E" w14:textId="77777777" w:rsidR="00B71461" w:rsidRPr="002B3F36" w:rsidRDefault="00B71461" w:rsidP="006501B7">
            <w:pPr>
              <w:jc w:val="center"/>
              <w:rPr>
                <w:rFonts w:ascii="Arial" w:hAnsi="Arial" w:cs="Arial"/>
                <w:b/>
              </w:rPr>
            </w:pPr>
            <w:r w:rsidRPr="002B3F36">
              <w:rPr>
                <w:rFonts w:ascii="Arial" w:hAnsi="Arial" w:cs="Arial"/>
                <w:b/>
              </w:rPr>
              <w:t>Coordinates</w:t>
            </w:r>
          </w:p>
        </w:tc>
      </w:tr>
      <w:tr w:rsidR="00B71461" w:rsidRPr="002B3F36" w14:paraId="00E45521"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0589BF"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824E2F" w14:textId="77777777" w:rsidR="00B71461" w:rsidRPr="002B3F36" w:rsidRDefault="00B71461">
            <w:pPr>
              <w:jc w:val="both"/>
              <w:rPr>
                <w:rFonts w:ascii="Arial" w:hAnsi="Arial" w:cs="Arial"/>
                <w:lang w:val="kk-KZ"/>
              </w:rPr>
            </w:pPr>
            <w:r w:rsidRPr="002B3F36">
              <w:rPr>
                <w:rFonts w:ascii="Arial" w:hAnsi="Arial" w:cs="Arial"/>
                <w:lang w:val="kk-KZ"/>
              </w:rPr>
              <w:t>Single mound Taldybulak</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FE4D32" w14:textId="77777777" w:rsidR="00B71461" w:rsidRPr="002B3F36" w:rsidRDefault="00B71461">
            <w:pPr>
              <w:jc w:val="both"/>
              <w:rPr>
                <w:rFonts w:ascii="Arial" w:hAnsi="Arial" w:cs="Arial"/>
                <w:lang w:val="kk-KZ"/>
              </w:rPr>
            </w:pPr>
            <w:r w:rsidRPr="002B3F36">
              <w:rPr>
                <w:rFonts w:ascii="Arial" w:hAnsi="Arial" w:cs="Arial"/>
                <w:lang w:val="kk-KZ"/>
              </w:rPr>
              <w:t>N47°10'59.9260" E73°13'35.8990"</w:t>
            </w:r>
          </w:p>
        </w:tc>
      </w:tr>
      <w:tr w:rsidR="00B71461" w:rsidRPr="002B3F36" w14:paraId="5E37E905"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A27DEC"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5A3A6" w14:textId="77777777" w:rsidR="00B71461" w:rsidRPr="002B3F36" w:rsidRDefault="00B71461">
            <w:pPr>
              <w:jc w:val="both"/>
              <w:rPr>
                <w:rFonts w:ascii="Arial" w:hAnsi="Arial" w:cs="Arial"/>
                <w:lang w:val="kk-KZ"/>
              </w:rPr>
            </w:pPr>
            <w:r w:rsidRPr="002B3F36">
              <w:rPr>
                <w:rFonts w:ascii="Arial" w:hAnsi="Arial" w:cs="Arial"/>
                <w:lang w:val="kk-KZ"/>
              </w:rPr>
              <w:t>Stone fence Eginzhal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23DF3C" w14:textId="77777777" w:rsidR="00B71461" w:rsidRPr="002B3F36" w:rsidRDefault="00B71461">
            <w:pPr>
              <w:jc w:val="both"/>
              <w:rPr>
                <w:rFonts w:ascii="Arial" w:hAnsi="Arial" w:cs="Arial"/>
                <w:lang w:val="kk-KZ"/>
              </w:rPr>
            </w:pPr>
            <w:r w:rsidRPr="002B3F36">
              <w:rPr>
                <w:rFonts w:ascii="Arial" w:hAnsi="Arial" w:cs="Arial"/>
                <w:lang w:val="kk-KZ"/>
              </w:rPr>
              <w:t>N47°19'56.9940" E72°40'57.0620"</w:t>
            </w:r>
          </w:p>
        </w:tc>
      </w:tr>
      <w:tr w:rsidR="00B71461" w:rsidRPr="002B3F36" w14:paraId="6B66E99E"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580F"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85F8DD" w14:textId="77777777" w:rsidR="00B71461" w:rsidRPr="002B3F36" w:rsidRDefault="00B71461">
            <w:pPr>
              <w:jc w:val="both"/>
              <w:rPr>
                <w:rFonts w:ascii="Arial" w:hAnsi="Arial" w:cs="Arial"/>
                <w:lang w:val="kk-KZ"/>
              </w:rPr>
            </w:pPr>
            <w:r w:rsidRPr="002B3F36">
              <w:rPr>
                <w:rFonts w:ascii="Arial" w:hAnsi="Arial" w:cs="Arial"/>
                <w:lang w:val="kk-KZ"/>
              </w:rPr>
              <w:t>Stone fence Eginzhal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A8FFB8" w14:textId="77777777" w:rsidR="00B71461" w:rsidRPr="002B3F36" w:rsidRDefault="00B71461">
            <w:pPr>
              <w:jc w:val="both"/>
              <w:rPr>
                <w:rFonts w:ascii="Arial" w:hAnsi="Arial" w:cs="Arial"/>
                <w:lang w:val="kk-KZ"/>
              </w:rPr>
            </w:pPr>
            <w:r w:rsidRPr="002B3F36">
              <w:rPr>
                <w:rFonts w:ascii="Arial" w:hAnsi="Arial" w:cs="Arial"/>
                <w:lang w:val="kk-KZ"/>
              </w:rPr>
              <w:t>N47°19'50.8460" E72°41'13.5030"</w:t>
            </w:r>
          </w:p>
        </w:tc>
      </w:tr>
      <w:tr w:rsidR="00B71461" w:rsidRPr="002B3F36" w14:paraId="3188F9E7"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D3FF1"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2AEFF9" w14:textId="77777777" w:rsidR="00B71461" w:rsidRPr="002B3F36" w:rsidRDefault="00B71461">
            <w:pPr>
              <w:jc w:val="both"/>
              <w:rPr>
                <w:rFonts w:ascii="Arial" w:hAnsi="Arial" w:cs="Arial"/>
                <w:lang w:val="kk-KZ"/>
              </w:rPr>
            </w:pPr>
            <w:r w:rsidRPr="002B3F36">
              <w:rPr>
                <w:rFonts w:ascii="Arial" w:hAnsi="Arial" w:cs="Arial"/>
                <w:lang w:val="kk-KZ"/>
              </w:rPr>
              <w:t>Elshibek burial ground group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44DAC2" w14:textId="77777777" w:rsidR="00B71461" w:rsidRPr="002B3F36" w:rsidRDefault="00B71461">
            <w:pPr>
              <w:jc w:val="both"/>
              <w:rPr>
                <w:rFonts w:ascii="Arial" w:hAnsi="Arial" w:cs="Arial"/>
                <w:lang w:val="kk-KZ"/>
              </w:rPr>
            </w:pPr>
            <w:r w:rsidRPr="002B3F36">
              <w:rPr>
                <w:rFonts w:ascii="Arial" w:hAnsi="Arial" w:cs="Arial"/>
                <w:lang w:val="kk-KZ"/>
              </w:rPr>
              <w:t>N47°22'27.7570" E72°35'00.0000"</w:t>
            </w:r>
          </w:p>
        </w:tc>
      </w:tr>
      <w:tr w:rsidR="00B71461" w:rsidRPr="002B3F36" w14:paraId="31C2A85E"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7D9F3"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A1209C" w14:textId="77777777" w:rsidR="00B71461" w:rsidRPr="002B3F36" w:rsidRDefault="00B71461">
            <w:pPr>
              <w:jc w:val="both"/>
              <w:rPr>
                <w:rFonts w:ascii="Arial" w:hAnsi="Arial" w:cs="Arial"/>
                <w:lang w:val="kk-KZ"/>
              </w:rPr>
            </w:pPr>
            <w:r w:rsidRPr="002B3F36">
              <w:rPr>
                <w:rFonts w:ascii="Arial" w:hAnsi="Arial" w:cs="Arial"/>
                <w:lang w:val="kk-KZ"/>
              </w:rPr>
              <w:t>Aigyrushkyn Cemetery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6CD8B6" w14:textId="77777777" w:rsidR="00B71461" w:rsidRPr="002B3F36" w:rsidRDefault="00B71461">
            <w:pPr>
              <w:jc w:val="both"/>
              <w:rPr>
                <w:rFonts w:ascii="Arial" w:hAnsi="Arial" w:cs="Arial"/>
                <w:lang w:val="kk-KZ"/>
              </w:rPr>
            </w:pPr>
            <w:r w:rsidRPr="002B3F36">
              <w:rPr>
                <w:rFonts w:ascii="Arial" w:hAnsi="Arial" w:cs="Arial"/>
                <w:lang w:val="kk-KZ"/>
              </w:rPr>
              <w:t>N47°23'27.6200" E72°27'21.7350"</w:t>
            </w:r>
          </w:p>
        </w:tc>
      </w:tr>
      <w:tr w:rsidR="00B71461" w:rsidRPr="002B3F36" w14:paraId="2EA6CEEF"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C1E782"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DB1309" w14:textId="77777777" w:rsidR="00B71461" w:rsidRPr="002B3F36" w:rsidRDefault="00B71461">
            <w:pPr>
              <w:jc w:val="both"/>
              <w:rPr>
                <w:rFonts w:ascii="Arial" w:hAnsi="Arial" w:cs="Arial"/>
                <w:lang w:val="kk-KZ"/>
              </w:rPr>
            </w:pPr>
            <w:r w:rsidRPr="002B3F36">
              <w:rPr>
                <w:rFonts w:ascii="Arial" w:hAnsi="Arial" w:cs="Arial"/>
                <w:lang w:val="kk-KZ"/>
              </w:rPr>
              <w:t>Aigyrushkyn cemetery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760B93" w14:textId="77777777" w:rsidR="00B71461" w:rsidRPr="002B3F36" w:rsidRDefault="00B71461">
            <w:pPr>
              <w:jc w:val="both"/>
              <w:rPr>
                <w:rFonts w:ascii="Arial" w:hAnsi="Arial" w:cs="Arial"/>
                <w:lang w:val="kk-KZ"/>
              </w:rPr>
            </w:pPr>
            <w:r w:rsidRPr="002B3F36">
              <w:rPr>
                <w:rFonts w:ascii="Arial" w:hAnsi="Arial" w:cs="Arial"/>
                <w:lang w:val="kk-KZ"/>
              </w:rPr>
              <w:t>N47°23'41.5520" E72°26'58.8130"</w:t>
            </w:r>
          </w:p>
        </w:tc>
      </w:tr>
      <w:tr w:rsidR="00B71461" w:rsidRPr="002B3F36" w14:paraId="5667FD13"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D7A12"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20D6D0" w14:textId="77777777" w:rsidR="00B71461" w:rsidRPr="002B3F36" w:rsidRDefault="00B71461">
            <w:pPr>
              <w:jc w:val="both"/>
              <w:rPr>
                <w:rFonts w:ascii="Arial" w:hAnsi="Arial" w:cs="Arial"/>
                <w:lang w:val="kk-KZ"/>
              </w:rPr>
            </w:pPr>
            <w:r w:rsidRPr="002B3F36">
              <w:rPr>
                <w:rFonts w:ascii="Arial" w:hAnsi="Arial" w:cs="Arial"/>
                <w:lang w:val="kk-KZ"/>
              </w:rPr>
              <w:t>Aygyrushkyn 3 mound group</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DDADF8" w14:textId="77777777" w:rsidR="00B71461" w:rsidRPr="002B3F36" w:rsidRDefault="00B71461">
            <w:pPr>
              <w:jc w:val="both"/>
              <w:rPr>
                <w:rFonts w:ascii="Arial" w:hAnsi="Arial" w:cs="Arial"/>
                <w:lang w:val="kk-KZ"/>
              </w:rPr>
            </w:pPr>
            <w:r w:rsidRPr="002B3F36">
              <w:rPr>
                <w:rFonts w:ascii="Arial" w:hAnsi="Arial" w:cs="Arial"/>
                <w:lang w:val="kk-KZ"/>
              </w:rPr>
              <w:t>N47°24'15.8180" E72°26'00.7630"</w:t>
            </w:r>
          </w:p>
        </w:tc>
      </w:tr>
      <w:tr w:rsidR="00B71461" w:rsidRPr="002B3F36" w14:paraId="0DF27FDD"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4B703"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CDEA9F" w14:textId="77777777" w:rsidR="00B71461" w:rsidRPr="002B3F36" w:rsidRDefault="00B71461">
            <w:pPr>
              <w:jc w:val="both"/>
              <w:rPr>
                <w:rFonts w:ascii="Arial" w:hAnsi="Arial" w:cs="Arial"/>
                <w:lang w:val="kk-KZ"/>
              </w:rPr>
            </w:pPr>
            <w:r w:rsidRPr="002B3F36">
              <w:rPr>
                <w:rFonts w:ascii="Arial" w:hAnsi="Arial" w:cs="Arial"/>
                <w:lang w:val="kk-KZ"/>
              </w:rPr>
              <w:t>Shazhagai burial ground</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AEAB67" w14:textId="77777777" w:rsidR="00B71461" w:rsidRPr="002B3F36" w:rsidRDefault="00B71461">
            <w:pPr>
              <w:jc w:val="both"/>
              <w:rPr>
                <w:rFonts w:ascii="Arial" w:hAnsi="Arial" w:cs="Arial"/>
                <w:lang w:val="kk-KZ"/>
              </w:rPr>
            </w:pPr>
            <w:r w:rsidRPr="002B3F36">
              <w:rPr>
                <w:rFonts w:ascii="Arial" w:hAnsi="Arial" w:cs="Arial"/>
                <w:lang w:val="kk-KZ"/>
              </w:rPr>
              <w:t>N47°32'11.5650" E72°17'00.0360"</w:t>
            </w:r>
          </w:p>
        </w:tc>
      </w:tr>
      <w:tr w:rsidR="00B71461" w:rsidRPr="002B3F36" w14:paraId="12EF9C39"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1FF510"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092E00" w14:textId="77777777" w:rsidR="00B71461" w:rsidRPr="002B3F36" w:rsidRDefault="00B71461">
            <w:pPr>
              <w:jc w:val="both"/>
              <w:rPr>
                <w:rFonts w:ascii="Arial" w:hAnsi="Arial" w:cs="Arial"/>
                <w:lang w:val="kk-KZ"/>
              </w:rPr>
            </w:pPr>
            <w:r w:rsidRPr="002B3F36">
              <w:rPr>
                <w:rFonts w:ascii="Arial" w:hAnsi="Arial" w:cs="Arial"/>
                <w:lang w:val="kk-KZ"/>
              </w:rPr>
              <w:t>Karkymbay burial ground</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36588A" w14:textId="77777777" w:rsidR="00B71461" w:rsidRPr="002B3F36" w:rsidRDefault="00B71461">
            <w:pPr>
              <w:jc w:val="both"/>
              <w:rPr>
                <w:rFonts w:ascii="Arial" w:hAnsi="Arial" w:cs="Arial"/>
                <w:lang w:val="kk-KZ"/>
              </w:rPr>
            </w:pPr>
            <w:r w:rsidRPr="002B3F36">
              <w:rPr>
                <w:rFonts w:ascii="Arial" w:hAnsi="Arial" w:cs="Arial"/>
                <w:lang w:val="kk-KZ"/>
              </w:rPr>
              <w:t>N47°40'50.5300" E71°57'26.2700"</w:t>
            </w:r>
          </w:p>
        </w:tc>
      </w:tr>
      <w:tr w:rsidR="00B71461" w:rsidRPr="002B3F36" w14:paraId="08D62219"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8F460"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D3CD28" w14:textId="77777777" w:rsidR="00B71461" w:rsidRPr="002B3F36" w:rsidRDefault="00B71461">
            <w:pPr>
              <w:jc w:val="both"/>
              <w:rPr>
                <w:rFonts w:ascii="Arial" w:hAnsi="Arial" w:cs="Arial"/>
                <w:lang w:val="kk-KZ"/>
              </w:rPr>
            </w:pPr>
            <w:r w:rsidRPr="002B3F36">
              <w:rPr>
                <w:rFonts w:ascii="Arial" w:hAnsi="Arial" w:cs="Arial"/>
                <w:lang w:val="kk-KZ"/>
              </w:rPr>
              <w:t>Single burial mound Karkymbay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725FE8" w14:textId="77777777" w:rsidR="00B71461" w:rsidRPr="002B3F36" w:rsidRDefault="00B71461">
            <w:pPr>
              <w:jc w:val="both"/>
              <w:rPr>
                <w:rFonts w:ascii="Arial" w:hAnsi="Arial" w:cs="Arial"/>
                <w:lang w:val="kk-KZ"/>
              </w:rPr>
            </w:pPr>
            <w:r w:rsidRPr="002B3F36">
              <w:rPr>
                <w:rFonts w:ascii="Arial" w:hAnsi="Arial" w:cs="Arial"/>
                <w:lang w:val="kk-KZ"/>
              </w:rPr>
              <w:t>N47°41'05.1070" E71°53'58.9910"</w:t>
            </w:r>
          </w:p>
        </w:tc>
      </w:tr>
      <w:tr w:rsidR="00B71461" w:rsidRPr="002B3F36" w14:paraId="7003C1CD"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6D241"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1CD1CB" w14:textId="77777777" w:rsidR="00B71461" w:rsidRPr="002B3F36" w:rsidRDefault="00B71461">
            <w:pPr>
              <w:jc w:val="both"/>
              <w:rPr>
                <w:rFonts w:ascii="Arial" w:hAnsi="Arial" w:cs="Arial"/>
                <w:lang w:val="kk-KZ"/>
              </w:rPr>
            </w:pPr>
            <w:r w:rsidRPr="002B3F36">
              <w:rPr>
                <w:rFonts w:ascii="Arial" w:hAnsi="Arial" w:cs="Arial"/>
                <w:lang w:val="kk-KZ"/>
              </w:rPr>
              <w:t>Single burial mound Karkymbay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A92BD8" w14:textId="77777777" w:rsidR="00B71461" w:rsidRPr="002B3F36" w:rsidRDefault="00B71461">
            <w:pPr>
              <w:jc w:val="both"/>
              <w:rPr>
                <w:rFonts w:ascii="Arial" w:hAnsi="Arial" w:cs="Arial"/>
                <w:lang w:val="kk-KZ"/>
              </w:rPr>
            </w:pPr>
            <w:r w:rsidRPr="002B3F36">
              <w:rPr>
                <w:rFonts w:ascii="Arial" w:hAnsi="Arial" w:cs="Arial"/>
                <w:lang w:val="kk-KZ"/>
              </w:rPr>
              <w:t>N47°42'05.5582" E71°51'36.9241"</w:t>
            </w:r>
          </w:p>
        </w:tc>
      </w:tr>
      <w:tr w:rsidR="00B71461" w:rsidRPr="002B3F36" w14:paraId="186CD630"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2EC87C"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CE365B" w14:textId="77777777" w:rsidR="00B71461" w:rsidRPr="002B3F36" w:rsidRDefault="00B71461">
            <w:pPr>
              <w:jc w:val="both"/>
              <w:rPr>
                <w:rFonts w:ascii="Arial" w:hAnsi="Arial" w:cs="Arial"/>
                <w:lang w:val="kk-KZ"/>
              </w:rPr>
            </w:pPr>
            <w:r w:rsidRPr="002B3F36">
              <w:rPr>
                <w:rFonts w:ascii="Arial" w:hAnsi="Arial" w:cs="Arial"/>
                <w:lang w:val="kk-KZ"/>
              </w:rPr>
              <w:t>Aydaharly burial ground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081DD1" w14:textId="77777777" w:rsidR="00B71461" w:rsidRPr="002B3F36" w:rsidRDefault="00B71461">
            <w:pPr>
              <w:jc w:val="both"/>
              <w:rPr>
                <w:rFonts w:ascii="Arial" w:hAnsi="Arial" w:cs="Arial"/>
                <w:lang w:val="kk-KZ"/>
              </w:rPr>
            </w:pPr>
            <w:r w:rsidRPr="002B3F36">
              <w:rPr>
                <w:rFonts w:ascii="Arial" w:hAnsi="Arial" w:cs="Arial"/>
                <w:lang w:val="kk-KZ"/>
              </w:rPr>
              <w:t>N47°42'05.5600" E71°50'51.0240"</w:t>
            </w:r>
          </w:p>
        </w:tc>
      </w:tr>
      <w:tr w:rsidR="00B71461" w:rsidRPr="002B3F36" w14:paraId="37D2457D"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9B46"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8E89E0" w14:textId="77777777" w:rsidR="00B71461" w:rsidRPr="002B3F36" w:rsidRDefault="00B71461">
            <w:pPr>
              <w:jc w:val="both"/>
              <w:rPr>
                <w:rFonts w:ascii="Arial" w:hAnsi="Arial" w:cs="Arial"/>
                <w:lang w:val="kk-KZ"/>
              </w:rPr>
            </w:pPr>
            <w:r w:rsidRPr="002B3F36">
              <w:rPr>
                <w:rFonts w:ascii="Arial" w:hAnsi="Arial" w:cs="Arial"/>
                <w:lang w:val="kk-KZ"/>
              </w:rPr>
              <w:t>Single burial mound Aydakharly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4C07C1" w14:textId="77777777" w:rsidR="00B71461" w:rsidRPr="002B3F36" w:rsidRDefault="00B71461">
            <w:pPr>
              <w:jc w:val="both"/>
              <w:rPr>
                <w:rFonts w:ascii="Arial" w:hAnsi="Arial" w:cs="Arial"/>
                <w:lang w:val="kk-KZ"/>
              </w:rPr>
            </w:pPr>
            <w:r w:rsidRPr="002B3F36">
              <w:rPr>
                <w:rFonts w:ascii="Arial" w:hAnsi="Arial" w:cs="Arial"/>
                <w:lang w:val="kk-KZ"/>
              </w:rPr>
              <w:t>N47°42'02.9480" E71°50'30.4390"</w:t>
            </w:r>
          </w:p>
        </w:tc>
      </w:tr>
      <w:tr w:rsidR="00B71461" w:rsidRPr="002B3F36" w14:paraId="53F9DA72"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C0A61A"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B0F72F" w14:textId="77777777" w:rsidR="00B71461" w:rsidRPr="002B3F36" w:rsidRDefault="00B71461">
            <w:pPr>
              <w:jc w:val="both"/>
              <w:rPr>
                <w:rFonts w:ascii="Arial" w:hAnsi="Arial" w:cs="Arial"/>
                <w:lang w:val="kk-KZ"/>
              </w:rPr>
            </w:pPr>
            <w:r w:rsidRPr="002B3F36">
              <w:rPr>
                <w:rFonts w:ascii="Arial" w:hAnsi="Arial" w:cs="Arial"/>
                <w:lang w:val="kk-KZ"/>
              </w:rPr>
              <w:t>Single burial mound Aydakharly 3</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078157" w14:textId="77777777" w:rsidR="00B71461" w:rsidRPr="002B3F36" w:rsidRDefault="00B71461">
            <w:pPr>
              <w:jc w:val="both"/>
              <w:rPr>
                <w:rFonts w:ascii="Arial" w:hAnsi="Arial" w:cs="Arial"/>
                <w:lang w:val="kk-KZ"/>
              </w:rPr>
            </w:pPr>
            <w:r w:rsidRPr="002B3F36">
              <w:rPr>
                <w:rFonts w:ascii="Arial" w:hAnsi="Arial" w:cs="Arial"/>
                <w:lang w:val="kk-KZ"/>
              </w:rPr>
              <w:t>N47°41'53.1499" E71°49'45.3247"</w:t>
            </w:r>
          </w:p>
        </w:tc>
      </w:tr>
      <w:tr w:rsidR="00B71461" w:rsidRPr="002B3F36" w14:paraId="2584D74B"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E1A5C"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86182E" w14:textId="77777777" w:rsidR="00B71461" w:rsidRPr="002B3F36" w:rsidRDefault="00B71461">
            <w:pPr>
              <w:jc w:val="both"/>
              <w:rPr>
                <w:rFonts w:ascii="Arial" w:hAnsi="Arial" w:cs="Arial"/>
                <w:lang w:val="kk-KZ"/>
              </w:rPr>
            </w:pPr>
            <w:r w:rsidRPr="002B3F36">
              <w:rPr>
                <w:rFonts w:ascii="Arial" w:hAnsi="Arial" w:cs="Arial"/>
                <w:lang w:val="kk-KZ"/>
              </w:rPr>
              <w:t>Single mound Shokyman</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5A97F7" w14:textId="77777777" w:rsidR="00B71461" w:rsidRPr="002B3F36" w:rsidRDefault="00B71461">
            <w:pPr>
              <w:jc w:val="both"/>
              <w:rPr>
                <w:rFonts w:ascii="Arial" w:hAnsi="Arial" w:cs="Arial"/>
                <w:lang w:val="kk-KZ"/>
              </w:rPr>
            </w:pPr>
            <w:r w:rsidRPr="002B3F36">
              <w:rPr>
                <w:rFonts w:ascii="Arial" w:hAnsi="Arial" w:cs="Arial"/>
                <w:lang w:val="kk-KZ"/>
              </w:rPr>
              <w:t>N47°46'28.4060" E71°11'40.5820"</w:t>
            </w:r>
          </w:p>
        </w:tc>
      </w:tr>
      <w:tr w:rsidR="00B71461" w:rsidRPr="002B3F36" w14:paraId="50CD8920"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415AF"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00D8AD" w14:textId="77777777" w:rsidR="00B71461" w:rsidRPr="002B3F36" w:rsidRDefault="00B71461">
            <w:pPr>
              <w:jc w:val="both"/>
              <w:rPr>
                <w:rFonts w:ascii="Arial" w:hAnsi="Arial" w:cs="Arial"/>
                <w:lang w:val="kk-KZ"/>
              </w:rPr>
            </w:pPr>
            <w:r w:rsidRPr="002B3F36">
              <w:rPr>
                <w:rFonts w:ascii="Arial" w:hAnsi="Arial" w:cs="Arial"/>
                <w:lang w:val="kk-KZ"/>
              </w:rPr>
              <w:t>Akkuduk burial ground</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8559AA" w14:textId="77777777" w:rsidR="00B71461" w:rsidRPr="002B3F36" w:rsidRDefault="00B71461">
            <w:pPr>
              <w:jc w:val="both"/>
              <w:rPr>
                <w:rFonts w:ascii="Arial" w:hAnsi="Arial" w:cs="Arial"/>
                <w:lang w:val="kk-KZ"/>
              </w:rPr>
            </w:pPr>
            <w:r w:rsidRPr="002B3F36">
              <w:rPr>
                <w:rFonts w:ascii="Arial" w:hAnsi="Arial" w:cs="Arial"/>
                <w:lang w:val="kk-KZ"/>
              </w:rPr>
              <w:t>N48°07'08.5990" E70°22'46.0840"</w:t>
            </w:r>
          </w:p>
        </w:tc>
      </w:tr>
      <w:tr w:rsidR="00B71461" w:rsidRPr="002B3F36" w14:paraId="6D402823" w14:textId="77777777" w:rsidTr="005A68AD">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27D92" w14:textId="77777777" w:rsidR="00B71461" w:rsidRPr="002B3F36" w:rsidRDefault="00B71461" w:rsidP="009B4CDB">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683EED" w14:textId="77777777" w:rsidR="00B71461" w:rsidRPr="002B3F36" w:rsidRDefault="00B71461">
            <w:pPr>
              <w:jc w:val="both"/>
              <w:rPr>
                <w:rFonts w:ascii="Arial" w:hAnsi="Arial" w:cs="Arial"/>
                <w:lang w:val="kk-KZ"/>
              </w:rPr>
            </w:pPr>
            <w:r w:rsidRPr="002B3F36">
              <w:rPr>
                <w:rFonts w:ascii="Arial" w:hAnsi="Arial" w:cs="Arial"/>
                <w:lang w:val="kk-KZ"/>
              </w:rPr>
              <w:t>Single burial mound Akkuduk</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42F1B9" w14:textId="77777777" w:rsidR="00B71461" w:rsidRPr="002B3F36" w:rsidRDefault="00B71461">
            <w:pPr>
              <w:jc w:val="both"/>
              <w:rPr>
                <w:rFonts w:ascii="Arial" w:hAnsi="Arial" w:cs="Arial"/>
                <w:lang w:val="kk-KZ"/>
              </w:rPr>
            </w:pPr>
            <w:r w:rsidRPr="002B3F36">
              <w:rPr>
                <w:rFonts w:ascii="Arial" w:hAnsi="Arial" w:cs="Arial"/>
                <w:lang w:val="kk-KZ"/>
              </w:rPr>
              <w:t>N48°08'19.1090" E70°19'24.9600"</w:t>
            </w:r>
          </w:p>
        </w:tc>
      </w:tr>
    </w:tbl>
    <w:p w14:paraId="5150B010" w14:textId="77777777" w:rsidR="00B71461" w:rsidRPr="002B3F36" w:rsidRDefault="00B71461" w:rsidP="00B71461">
      <w:pPr>
        <w:pStyle w:val="ReportBodyTextNogap"/>
        <w:rPr>
          <w:lang w:val="en"/>
        </w:rPr>
      </w:pPr>
    </w:p>
    <w:p w14:paraId="1F7F3EA4" w14:textId="77777777" w:rsidR="00B71461" w:rsidRPr="002B3F36" w:rsidRDefault="00B71461" w:rsidP="00B71461">
      <w:pPr>
        <w:pStyle w:val="ReportBodyTextNogap"/>
      </w:pPr>
    </w:p>
    <w:p w14:paraId="6F92D179" w14:textId="2AC04F33" w:rsidR="00B71461" w:rsidRPr="002B3F36" w:rsidRDefault="006501B7" w:rsidP="006D654A">
      <w:pPr>
        <w:pStyle w:val="CaptionTable"/>
      </w:pPr>
      <w:bookmarkStart w:id="2107" w:name="_Toc210589567"/>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23</w:t>
      </w:r>
      <w:r w:rsidR="00CF113E" w:rsidRPr="002B3F36">
        <w:fldChar w:fldCharType="end"/>
      </w:r>
      <w:r w:rsidRPr="002B3F36">
        <w:t xml:space="preserve">: </w:t>
      </w:r>
      <w:r w:rsidR="00FB4BB8" w:rsidRPr="002B3F36">
        <w:t>Sites</w:t>
      </w:r>
      <w:r w:rsidR="00B71461" w:rsidRPr="002B3F36">
        <w:t xml:space="preserve"> </w:t>
      </w:r>
      <w:r w:rsidR="00FB4BB8" w:rsidRPr="002B3F36">
        <w:t xml:space="preserve">Located in Security Zone (0–40m from </w:t>
      </w:r>
      <w:r w:rsidR="00264F8C" w:rsidRPr="002B3F36">
        <w:t>RA</w:t>
      </w:r>
      <w:r w:rsidR="00B71461" w:rsidRPr="002B3F36">
        <w:t>)</w:t>
      </w:r>
      <w:bookmarkEnd w:id="2107"/>
    </w:p>
    <w:tbl>
      <w:tblPr>
        <w:tblW w:w="47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902"/>
        <w:gridCol w:w="2904"/>
        <w:gridCol w:w="2844"/>
      </w:tblGrid>
      <w:tr w:rsidR="00B71461" w:rsidRPr="002B3F36" w14:paraId="0585186A" w14:textId="77777777" w:rsidTr="00F82096">
        <w:trPr>
          <w:trHeight w:val="20"/>
          <w:tblHeader/>
          <w:jc w:val="center"/>
        </w:trPr>
        <w:tc>
          <w:tcPr>
            <w:tcW w:w="18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E7AFC20" w14:textId="77777777" w:rsidR="00B71461" w:rsidRPr="002B3F36" w:rsidRDefault="00B71461" w:rsidP="00E8395A">
            <w:pPr>
              <w:tabs>
                <w:tab w:val="left" w:pos="7640"/>
              </w:tabs>
              <w:jc w:val="center"/>
              <w:rPr>
                <w:rFonts w:ascii="Arial" w:hAnsi="Arial" w:cs="Arial"/>
                <w:b/>
                <w:sz w:val="20"/>
                <w:szCs w:val="20"/>
              </w:rPr>
            </w:pPr>
            <w:r w:rsidRPr="002B3F36">
              <w:rPr>
                <w:rFonts w:ascii="Arial" w:hAnsi="Arial" w:cs="Arial"/>
                <w:b/>
                <w:sz w:val="20"/>
                <w:szCs w:val="20"/>
              </w:rPr>
              <w:lastRenderedPageBreak/>
              <w:t>No.</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F274A7D" w14:textId="6EF12273" w:rsidR="00B71461" w:rsidRPr="002B3F36" w:rsidRDefault="00E8395A" w:rsidP="00E8395A">
            <w:pPr>
              <w:tabs>
                <w:tab w:val="left" w:pos="7640"/>
              </w:tabs>
              <w:jc w:val="center"/>
              <w:rPr>
                <w:rFonts w:ascii="Arial" w:hAnsi="Arial" w:cs="Arial"/>
                <w:b/>
                <w:sz w:val="20"/>
                <w:szCs w:val="20"/>
              </w:rPr>
            </w:pPr>
            <w:r w:rsidRPr="002B3F36">
              <w:rPr>
                <w:rFonts w:ascii="Arial" w:hAnsi="Arial" w:cs="Arial"/>
                <w:b/>
              </w:rPr>
              <w:t>Name</w:t>
            </w:r>
          </w:p>
        </w:tc>
        <w:tc>
          <w:tcPr>
            <w:tcW w:w="161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16188C9" w14:textId="77777777" w:rsidR="00B71461" w:rsidRPr="002B3F36" w:rsidRDefault="00B71461" w:rsidP="00E8395A">
            <w:pPr>
              <w:tabs>
                <w:tab w:val="left" w:pos="7640"/>
              </w:tabs>
              <w:jc w:val="center"/>
              <w:rPr>
                <w:rFonts w:ascii="Arial" w:hAnsi="Arial" w:cs="Arial"/>
                <w:b/>
                <w:sz w:val="20"/>
                <w:szCs w:val="20"/>
              </w:rPr>
            </w:pPr>
            <w:r w:rsidRPr="002B3F36">
              <w:rPr>
                <w:rFonts w:ascii="Arial" w:hAnsi="Arial" w:cs="Arial"/>
                <w:b/>
                <w:sz w:val="20"/>
                <w:szCs w:val="20"/>
              </w:rPr>
              <w:t>Position relative to the axis</w:t>
            </w:r>
          </w:p>
        </w:tc>
        <w:tc>
          <w:tcPr>
            <w:tcW w:w="158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5C945BC" w14:textId="77777777" w:rsidR="00B71461" w:rsidRPr="002B3F36" w:rsidRDefault="00B71461" w:rsidP="00E8395A">
            <w:pPr>
              <w:pStyle w:val="af4"/>
              <w:jc w:val="center"/>
              <w:rPr>
                <w:rFonts w:ascii="Arial" w:hAnsi="Arial" w:cs="Arial"/>
                <w:b/>
                <w:sz w:val="20"/>
                <w:szCs w:val="20"/>
              </w:rPr>
            </w:pPr>
            <w:r w:rsidRPr="002B3F36">
              <w:rPr>
                <w:rFonts w:ascii="Arial" w:hAnsi="Arial" w:cs="Arial"/>
                <w:b/>
                <w:sz w:val="20"/>
                <w:szCs w:val="20"/>
              </w:rPr>
              <w:t>Geographic coordinates (WGS 84)</w:t>
            </w:r>
          </w:p>
        </w:tc>
      </w:tr>
      <w:tr w:rsidR="00B71461" w:rsidRPr="002B3F36" w14:paraId="222485D2" w14:textId="77777777" w:rsidTr="00B71461">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064930" w14:textId="77777777" w:rsidR="00B71461" w:rsidRPr="002B3F36" w:rsidRDefault="00B71461" w:rsidP="009B4CDB">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232967F"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Karkymbay burial ground</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9C45ABB" w14:textId="77777777" w:rsidR="00B71461" w:rsidRPr="002B3F36" w:rsidRDefault="00B71461">
            <w:pPr>
              <w:rPr>
                <w:rFonts w:ascii="Arial" w:eastAsia="Times New Roman" w:hAnsi="Arial" w:cs="Arial"/>
                <w:bCs/>
                <w:sz w:val="20"/>
                <w:szCs w:val="20"/>
                <w:lang w:val="kk-KZ"/>
              </w:rPr>
            </w:pPr>
            <w:r w:rsidRPr="002B3F36">
              <w:rPr>
                <w:rFonts w:ascii="Arial" w:hAnsi="Arial" w:cs="Arial"/>
                <w:sz w:val="20"/>
                <w:szCs w:val="20"/>
              </w:rPr>
              <w:t>directly on the axis</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CD9948B" w14:textId="77777777" w:rsidR="00B71461" w:rsidRPr="002B3F36" w:rsidRDefault="00B71461">
            <w:pPr>
              <w:pStyle w:val="af4"/>
              <w:rPr>
                <w:rFonts w:ascii="Arial" w:eastAsiaTheme="minorEastAsia" w:hAnsi="Arial" w:cs="Arial"/>
                <w:sz w:val="20"/>
                <w:szCs w:val="20"/>
                <w:lang w:val="en"/>
              </w:rPr>
            </w:pPr>
            <w:r w:rsidRPr="002B3F36">
              <w:rPr>
                <w:rFonts w:ascii="Arial" w:hAnsi="Arial" w:cs="Arial"/>
                <w:sz w:val="20"/>
                <w:szCs w:val="20"/>
                <w:lang w:val="kk-KZ"/>
              </w:rPr>
              <w:t>N47°40'50.5300" E71°57'26.2700"</w:t>
            </w:r>
          </w:p>
        </w:tc>
      </w:tr>
      <w:tr w:rsidR="00B71461" w:rsidRPr="002B3F36" w14:paraId="3FA75430" w14:textId="77777777" w:rsidTr="00B71461">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E2E7D49" w14:textId="77777777" w:rsidR="00B71461" w:rsidRPr="002B3F36" w:rsidRDefault="00B71461" w:rsidP="009B4CDB">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8895BF9"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Shazhagai burial ground</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89A1C14"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directly on the axis</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B33DCB7"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N47°32'11.5650" E72°17'00.0360"</w:t>
            </w:r>
          </w:p>
        </w:tc>
      </w:tr>
      <w:tr w:rsidR="00B71461" w:rsidRPr="002B3F36" w14:paraId="7504BBFF" w14:textId="77777777" w:rsidTr="00B71461">
        <w:trPr>
          <w:trHeight w:val="255"/>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558B15" w14:textId="77777777" w:rsidR="00B71461" w:rsidRPr="002B3F36" w:rsidRDefault="00B71461" w:rsidP="009B4CDB">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9C56FB6"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Stone fence Eginzhal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65B4CBE"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20 m to the SW</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79BF4A2"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N47°19'50.8460" E72°41'13.5030"</w:t>
            </w:r>
          </w:p>
        </w:tc>
      </w:tr>
      <w:tr w:rsidR="00B71461" w:rsidRPr="002B3F36" w14:paraId="0CCE17DF" w14:textId="77777777" w:rsidTr="00B71461">
        <w:trPr>
          <w:trHeight w:val="255"/>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1AD1AF9" w14:textId="77777777" w:rsidR="00B71461" w:rsidRPr="002B3F36" w:rsidRDefault="00B71461" w:rsidP="009B4CDB">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F0ADAD"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Single burial mound Karkymbay 1</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443C347"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10 m to the SW</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6A75754"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N47°41'05.1070" E71°53'58.9910"</w:t>
            </w:r>
          </w:p>
        </w:tc>
      </w:tr>
      <w:tr w:rsidR="00B71461" w:rsidRPr="002B3F36" w14:paraId="2344A05E" w14:textId="77777777" w:rsidTr="00B71461">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9767E48" w14:textId="77777777" w:rsidR="00B71461" w:rsidRPr="002B3F36" w:rsidRDefault="00B71461" w:rsidP="009B4CDB">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1D779CE"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Aigyrushkyn cemetery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268B206"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16 m to NE</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5825004"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N47°23'41.5520" E72°26'58.8130"</w:t>
            </w:r>
          </w:p>
        </w:tc>
      </w:tr>
      <w:tr w:rsidR="00B71461" w:rsidRPr="002B3F36" w14:paraId="5DCCD481" w14:textId="77777777" w:rsidTr="00B71461">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AC8F3D1" w14:textId="77777777" w:rsidR="00B71461" w:rsidRPr="002B3F36" w:rsidRDefault="00B71461" w:rsidP="009B4CDB">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3E5F36"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Aydaharly burial ground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5D75CA1"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directly on the axis</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209674E"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N47°42'05.5600" E71°50'51.0240"</w:t>
            </w:r>
          </w:p>
        </w:tc>
      </w:tr>
    </w:tbl>
    <w:p w14:paraId="16014969" w14:textId="77777777" w:rsidR="00B71461" w:rsidRPr="002B3F36" w:rsidRDefault="00B71461" w:rsidP="00B71461">
      <w:pPr>
        <w:pStyle w:val="ReportBodyTextNogap"/>
        <w:rPr>
          <w:lang w:val="en"/>
        </w:rPr>
      </w:pPr>
    </w:p>
    <w:p w14:paraId="4A69EDE0" w14:textId="667C0463" w:rsidR="00B71461" w:rsidRPr="002B3F36" w:rsidRDefault="006501B7" w:rsidP="006D654A">
      <w:pPr>
        <w:pStyle w:val="CaptionTable"/>
      </w:pPr>
      <w:bookmarkStart w:id="2108" w:name="_Toc210589568"/>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24</w:t>
      </w:r>
      <w:r w:rsidR="00CF113E" w:rsidRPr="002B3F36">
        <w:fldChar w:fldCharType="end"/>
      </w:r>
      <w:r w:rsidRPr="002B3F36">
        <w:t xml:space="preserve">: </w:t>
      </w:r>
      <w:r w:rsidR="00FB4BB8" w:rsidRPr="002B3F36">
        <w:t>Sites Located in Development Regulation Zone (40–80m from R</w:t>
      </w:r>
      <w:r w:rsidR="00264F8C" w:rsidRPr="002B3F36">
        <w:t>A</w:t>
      </w:r>
      <w:r w:rsidR="00FB4BB8" w:rsidRPr="002B3F36">
        <w:t>)</w:t>
      </w:r>
      <w:bookmarkEnd w:id="2108"/>
    </w:p>
    <w:tbl>
      <w:tblPr>
        <w:tblW w:w="47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916"/>
        <w:gridCol w:w="2915"/>
        <w:gridCol w:w="2916"/>
      </w:tblGrid>
      <w:tr w:rsidR="00B71461" w:rsidRPr="002B3F36" w14:paraId="4036AAB3" w14:textId="77777777" w:rsidTr="00E8395A">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CD79512" w14:textId="77777777" w:rsidR="00B71461" w:rsidRPr="002B3F36" w:rsidRDefault="00B71461" w:rsidP="00E8395A">
            <w:pPr>
              <w:tabs>
                <w:tab w:val="left" w:pos="7640"/>
              </w:tabs>
              <w:jc w:val="center"/>
              <w:rPr>
                <w:rFonts w:ascii="Arial" w:hAnsi="Arial" w:cs="Arial"/>
                <w:b/>
                <w:sz w:val="20"/>
                <w:szCs w:val="20"/>
              </w:rPr>
            </w:pPr>
            <w:r w:rsidRPr="002B3F36">
              <w:rPr>
                <w:rFonts w:ascii="Arial" w:hAnsi="Arial" w:cs="Arial"/>
                <w:b/>
                <w:sz w:val="20"/>
                <w:szCs w:val="20"/>
              </w:rPr>
              <w:t>No.</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7EC68E" w14:textId="1FD90729" w:rsidR="00B71461" w:rsidRPr="002B3F36" w:rsidRDefault="00E8395A" w:rsidP="00E8395A">
            <w:pPr>
              <w:tabs>
                <w:tab w:val="left" w:pos="7640"/>
              </w:tabs>
              <w:jc w:val="center"/>
              <w:rPr>
                <w:rFonts w:ascii="Arial" w:hAnsi="Arial" w:cs="Arial"/>
                <w:b/>
                <w:sz w:val="20"/>
                <w:szCs w:val="20"/>
              </w:rPr>
            </w:pPr>
            <w:r w:rsidRPr="002B3F36">
              <w:rPr>
                <w:rFonts w:ascii="Arial" w:hAnsi="Arial" w:cs="Arial"/>
                <w:b/>
              </w:rPr>
              <w:t>Name</w:t>
            </w:r>
          </w:p>
        </w:tc>
        <w:tc>
          <w:tcPr>
            <w:tcW w:w="161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B940874" w14:textId="77777777" w:rsidR="00B71461" w:rsidRPr="002B3F36" w:rsidRDefault="00B71461" w:rsidP="00E8395A">
            <w:pPr>
              <w:tabs>
                <w:tab w:val="left" w:pos="7640"/>
              </w:tabs>
              <w:jc w:val="center"/>
              <w:rPr>
                <w:rFonts w:ascii="Arial" w:hAnsi="Arial" w:cs="Arial"/>
                <w:b/>
                <w:sz w:val="20"/>
                <w:szCs w:val="20"/>
              </w:rPr>
            </w:pPr>
            <w:r w:rsidRPr="002B3F36">
              <w:rPr>
                <w:rFonts w:ascii="Arial" w:hAnsi="Arial" w:cs="Arial"/>
                <w:b/>
                <w:sz w:val="20"/>
                <w:szCs w:val="20"/>
              </w:rPr>
              <w:t>Position relative to the axis</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915464B" w14:textId="77777777" w:rsidR="00B71461" w:rsidRPr="002B3F36" w:rsidRDefault="00B71461" w:rsidP="00E8395A">
            <w:pPr>
              <w:pStyle w:val="af4"/>
              <w:jc w:val="center"/>
              <w:rPr>
                <w:rFonts w:ascii="Arial" w:hAnsi="Arial" w:cs="Arial"/>
                <w:b/>
                <w:sz w:val="20"/>
                <w:szCs w:val="20"/>
              </w:rPr>
            </w:pPr>
            <w:r w:rsidRPr="002B3F36">
              <w:rPr>
                <w:rFonts w:ascii="Arial" w:hAnsi="Arial" w:cs="Arial"/>
                <w:b/>
                <w:sz w:val="20"/>
                <w:szCs w:val="20"/>
              </w:rPr>
              <w:t>Geographic coordinates (WGS 84)</w:t>
            </w:r>
          </w:p>
        </w:tc>
      </w:tr>
      <w:tr w:rsidR="00B71461" w:rsidRPr="002B3F36" w14:paraId="63B03CA5" w14:textId="77777777" w:rsidTr="00B71461">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C3F6DD2" w14:textId="77777777" w:rsidR="00B71461" w:rsidRPr="002B3F36" w:rsidRDefault="00B71461" w:rsidP="009B4CDB">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64CE21" w14:textId="77777777" w:rsidR="00B71461" w:rsidRPr="002B3F36" w:rsidRDefault="00B71461">
            <w:pPr>
              <w:rPr>
                <w:rFonts w:ascii="Arial" w:eastAsia="Times New Roman" w:hAnsi="Arial" w:cs="Arial"/>
                <w:bCs/>
                <w:sz w:val="20"/>
                <w:szCs w:val="20"/>
                <w:lang w:val="kk-KZ"/>
              </w:rPr>
            </w:pPr>
            <w:r w:rsidRPr="002B3F36">
              <w:rPr>
                <w:rFonts w:ascii="Arial" w:hAnsi="Arial" w:cs="Arial"/>
                <w:sz w:val="20"/>
                <w:szCs w:val="20"/>
                <w:lang w:val="kk-KZ"/>
              </w:rPr>
              <w:t>Stone fence Eginzhal 1</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E44B4B5" w14:textId="77777777" w:rsidR="00B71461" w:rsidRPr="002B3F36" w:rsidRDefault="00B71461">
            <w:pPr>
              <w:rPr>
                <w:rFonts w:ascii="Arial" w:eastAsia="Times New Roman" w:hAnsi="Arial" w:cs="Arial"/>
                <w:bCs/>
                <w:sz w:val="20"/>
                <w:szCs w:val="20"/>
                <w:lang w:val="kk-KZ"/>
              </w:rPr>
            </w:pPr>
            <w:r w:rsidRPr="002B3F36">
              <w:rPr>
                <w:rFonts w:ascii="Arial" w:eastAsia="Times New Roman" w:hAnsi="Arial" w:cs="Arial"/>
                <w:bCs/>
                <w:sz w:val="20"/>
                <w:szCs w:val="20"/>
                <w:lang w:val="kk-KZ"/>
              </w:rPr>
              <w:t>50 m to the SW</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D5732C" w14:textId="77777777" w:rsidR="00B71461" w:rsidRPr="002B3F36" w:rsidRDefault="00B71461">
            <w:pPr>
              <w:pStyle w:val="af4"/>
              <w:rPr>
                <w:rFonts w:ascii="Arial" w:eastAsiaTheme="minorEastAsia" w:hAnsi="Arial" w:cs="Arial"/>
                <w:sz w:val="20"/>
                <w:szCs w:val="20"/>
                <w:lang w:val="en"/>
              </w:rPr>
            </w:pPr>
            <w:r w:rsidRPr="002B3F36">
              <w:rPr>
                <w:rFonts w:ascii="Arial" w:hAnsi="Arial" w:cs="Arial"/>
                <w:sz w:val="20"/>
                <w:szCs w:val="20"/>
                <w:lang w:val="kk-KZ"/>
              </w:rPr>
              <w:t>N47°19'56.9940" E72°40'57.0620"</w:t>
            </w:r>
          </w:p>
        </w:tc>
      </w:tr>
      <w:tr w:rsidR="00B71461" w:rsidRPr="002B3F36" w14:paraId="3004D893" w14:textId="77777777" w:rsidTr="00B71461">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B1361BA" w14:textId="77777777" w:rsidR="00B71461" w:rsidRPr="002B3F36" w:rsidRDefault="00B71461" w:rsidP="009B4CDB">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19909F8"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Single burial mound Aydakharly 2</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7202A10"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45 m to the south</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7FA7FC8"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N47°42'02.9480" E71°50'30.4390"</w:t>
            </w:r>
          </w:p>
        </w:tc>
      </w:tr>
      <w:tr w:rsidR="00B71461" w:rsidRPr="002B3F36" w14:paraId="675D9DC4" w14:textId="77777777" w:rsidTr="00B71461">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4F54CBA" w14:textId="77777777" w:rsidR="00B71461" w:rsidRPr="002B3F36" w:rsidRDefault="00B71461" w:rsidP="009B4CDB">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18D66CC"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Aigyrushkyn Cemetery 1</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AD50CF"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50 m to the SW</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0217F3"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N47°23'27.6200" E72°27'21.7350"</w:t>
            </w:r>
          </w:p>
        </w:tc>
      </w:tr>
      <w:tr w:rsidR="00B71461" w:rsidRPr="002B3F36" w14:paraId="7D159775" w14:textId="77777777" w:rsidTr="00B71461">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D7A55E7" w14:textId="77777777" w:rsidR="00B71461" w:rsidRPr="002B3F36" w:rsidRDefault="00B71461" w:rsidP="009B4CDB">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93E2F66"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Akkuduk burial ground</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AD2389"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75 m to the SW</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A39238B"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N48°07'08.5990" E70°22'46.0840"</w:t>
            </w:r>
          </w:p>
        </w:tc>
      </w:tr>
    </w:tbl>
    <w:p w14:paraId="40606F65" w14:textId="77777777" w:rsidR="00B71461" w:rsidRPr="002B3F36" w:rsidRDefault="00B71461" w:rsidP="006501B7">
      <w:pPr>
        <w:pStyle w:val="CaptionTable"/>
        <w:rPr>
          <w:lang w:val="en"/>
        </w:rPr>
      </w:pPr>
    </w:p>
    <w:p w14:paraId="4E9E5453" w14:textId="34D54EFC" w:rsidR="00B71461" w:rsidRPr="002B3F36" w:rsidRDefault="006501B7" w:rsidP="00FB4BB8">
      <w:pPr>
        <w:pStyle w:val="CaptionTable"/>
      </w:pPr>
      <w:bookmarkStart w:id="2109" w:name="_Toc210589569"/>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25</w:t>
      </w:r>
      <w:r w:rsidR="00CF113E" w:rsidRPr="002B3F36">
        <w:fldChar w:fldCharType="end"/>
      </w:r>
      <w:r w:rsidRPr="002B3F36">
        <w:t xml:space="preserve">: </w:t>
      </w:r>
      <w:r w:rsidR="00FB4BB8" w:rsidRPr="002B3F36">
        <w:t xml:space="preserve">Sites Located in Development Regulation Zone (80–120m from </w:t>
      </w:r>
      <w:r w:rsidR="00264F8C" w:rsidRPr="002B3F36">
        <w:t>RA</w:t>
      </w:r>
      <w:r w:rsidR="00FB4BB8" w:rsidRPr="002B3F36">
        <w:t>)</w:t>
      </w:r>
      <w:bookmarkEnd w:id="2109"/>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3056"/>
        <w:gridCol w:w="2961"/>
        <w:gridCol w:w="2934"/>
      </w:tblGrid>
      <w:tr w:rsidR="00B71461" w:rsidRPr="002B3F36" w14:paraId="18543B64" w14:textId="77777777" w:rsidTr="00E8395A">
        <w:trPr>
          <w:trHeight w:val="20"/>
          <w:tblHeader/>
          <w:jc w:val="center"/>
        </w:trPr>
        <w:tc>
          <w:tcPr>
            <w:tcW w:w="2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2B15DDCE" w14:textId="77777777" w:rsidR="00B71461" w:rsidRPr="002B3F36" w:rsidRDefault="00B71461" w:rsidP="006501B7">
            <w:pPr>
              <w:tabs>
                <w:tab w:val="left" w:pos="7640"/>
              </w:tabs>
              <w:jc w:val="center"/>
              <w:rPr>
                <w:rFonts w:ascii="Arial" w:hAnsi="Arial" w:cs="Arial"/>
                <w:b/>
                <w:sz w:val="20"/>
                <w:szCs w:val="20"/>
                <w:lang w:val="kk-KZ"/>
              </w:rPr>
            </w:pPr>
            <w:r w:rsidRPr="002B3F36">
              <w:rPr>
                <w:rFonts w:ascii="Arial" w:hAnsi="Arial" w:cs="Arial"/>
                <w:b/>
                <w:sz w:val="20"/>
                <w:szCs w:val="20"/>
                <w:lang w:val="kk-KZ"/>
              </w:rPr>
              <w:t>No.</w:t>
            </w:r>
          </w:p>
        </w:tc>
        <w:tc>
          <w:tcPr>
            <w:tcW w:w="161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0EADFA9" w14:textId="77777777" w:rsidR="00B71461" w:rsidRPr="002B3F36" w:rsidRDefault="00B71461" w:rsidP="006501B7">
            <w:pPr>
              <w:tabs>
                <w:tab w:val="left" w:pos="7640"/>
              </w:tabs>
              <w:jc w:val="center"/>
              <w:rPr>
                <w:rFonts w:ascii="Arial" w:hAnsi="Arial" w:cs="Arial"/>
                <w:b/>
                <w:sz w:val="20"/>
                <w:szCs w:val="20"/>
                <w:lang w:val="en"/>
              </w:rPr>
            </w:pPr>
          </w:p>
        </w:tc>
        <w:tc>
          <w:tcPr>
            <w:tcW w:w="156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D93163C" w14:textId="77777777" w:rsidR="00B71461" w:rsidRPr="002B3F36" w:rsidRDefault="00B71461" w:rsidP="006501B7">
            <w:pPr>
              <w:tabs>
                <w:tab w:val="left" w:pos="7640"/>
              </w:tabs>
              <w:jc w:val="center"/>
              <w:rPr>
                <w:rFonts w:ascii="Arial" w:hAnsi="Arial" w:cs="Arial"/>
                <w:b/>
                <w:sz w:val="20"/>
                <w:szCs w:val="20"/>
              </w:rPr>
            </w:pPr>
            <w:r w:rsidRPr="002B3F36">
              <w:rPr>
                <w:rFonts w:ascii="Arial" w:hAnsi="Arial" w:cs="Arial"/>
                <w:b/>
                <w:sz w:val="20"/>
                <w:szCs w:val="20"/>
              </w:rPr>
              <w:t>Position relative to the axis</w:t>
            </w:r>
          </w:p>
        </w:tc>
        <w:tc>
          <w:tcPr>
            <w:tcW w:w="154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1EC8CC59" w14:textId="77777777" w:rsidR="00B71461" w:rsidRPr="002B3F36" w:rsidRDefault="00B71461" w:rsidP="006501B7">
            <w:pPr>
              <w:pStyle w:val="af4"/>
              <w:jc w:val="center"/>
              <w:rPr>
                <w:rFonts w:ascii="Arial" w:hAnsi="Arial" w:cs="Arial"/>
                <w:b/>
                <w:sz w:val="20"/>
                <w:szCs w:val="20"/>
              </w:rPr>
            </w:pPr>
            <w:r w:rsidRPr="002B3F36">
              <w:rPr>
                <w:rFonts w:ascii="Arial" w:hAnsi="Arial" w:cs="Arial"/>
                <w:b/>
                <w:sz w:val="20"/>
                <w:szCs w:val="20"/>
              </w:rPr>
              <w:t>Geographic coordinates (WGS 84)</w:t>
            </w:r>
          </w:p>
        </w:tc>
      </w:tr>
      <w:tr w:rsidR="00B71461" w:rsidRPr="002B3F36" w14:paraId="520AA896" w14:textId="77777777" w:rsidTr="00B21BED">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277229F" w14:textId="77777777" w:rsidR="00B71461" w:rsidRPr="002B3F36" w:rsidRDefault="00B71461" w:rsidP="009B4CDB">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F782FE9"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Aygyrushkyn group of burial mounds. 3</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0D2EB1E" w14:textId="77777777" w:rsidR="00B71461" w:rsidRPr="002B3F36" w:rsidRDefault="00B71461">
            <w:pPr>
              <w:rPr>
                <w:rFonts w:ascii="Arial" w:eastAsia="Times New Roman" w:hAnsi="Arial" w:cs="Arial"/>
                <w:bCs/>
                <w:sz w:val="20"/>
                <w:szCs w:val="20"/>
              </w:rPr>
            </w:pPr>
            <w:r w:rsidRPr="002B3F36">
              <w:rPr>
                <w:rFonts w:ascii="Arial" w:hAnsi="Arial" w:cs="Arial"/>
                <w:sz w:val="20"/>
                <w:szCs w:val="20"/>
              </w:rPr>
              <w:t>90 m to the SW</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6929FD6"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N47°24'15.8180" E72°26'00.7630"</w:t>
            </w:r>
          </w:p>
        </w:tc>
      </w:tr>
      <w:tr w:rsidR="00B71461" w:rsidRPr="002B3F36" w14:paraId="760C8252" w14:textId="77777777" w:rsidTr="00B21BED">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DF26625" w14:textId="77777777" w:rsidR="00B71461" w:rsidRPr="002B3F36" w:rsidRDefault="00B71461" w:rsidP="009B4CDB">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745899C"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Elshibek burial ground group 1</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1BCFC5E" w14:textId="77777777" w:rsidR="00B71461" w:rsidRPr="002B3F36" w:rsidRDefault="00B71461">
            <w:pPr>
              <w:rPr>
                <w:rFonts w:ascii="Arial" w:eastAsia="Times New Roman" w:hAnsi="Arial" w:cs="Arial"/>
                <w:bCs/>
                <w:sz w:val="20"/>
                <w:szCs w:val="20"/>
                <w:lang w:val="kk-KZ"/>
              </w:rPr>
            </w:pPr>
            <w:r w:rsidRPr="002B3F36">
              <w:rPr>
                <w:rFonts w:ascii="Arial" w:eastAsia="Times New Roman" w:hAnsi="Arial" w:cs="Arial"/>
                <w:bCs/>
                <w:sz w:val="20"/>
                <w:szCs w:val="20"/>
                <w:lang w:val="kk-KZ"/>
              </w:rPr>
              <w:t>90 m to NE</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A2A5BB1" w14:textId="77777777" w:rsidR="00B71461" w:rsidRPr="002B3F36" w:rsidRDefault="00B71461">
            <w:pPr>
              <w:pStyle w:val="af4"/>
              <w:rPr>
                <w:rFonts w:ascii="Arial" w:eastAsiaTheme="minorEastAsia" w:hAnsi="Arial" w:cs="Arial"/>
                <w:sz w:val="20"/>
                <w:szCs w:val="20"/>
                <w:lang w:val="en"/>
              </w:rPr>
            </w:pPr>
            <w:r w:rsidRPr="002B3F36">
              <w:rPr>
                <w:rFonts w:ascii="Arial" w:hAnsi="Arial" w:cs="Arial"/>
                <w:sz w:val="20"/>
                <w:szCs w:val="20"/>
                <w:lang w:val="kk-KZ"/>
              </w:rPr>
              <w:t>N47°22'27.7570" E72°35'00.0000"</w:t>
            </w:r>
          </w:p>
        </w:tc>
      </w:tr>
      <w:tr w:rsidR="00B71461" w:rsidRPr="002B3F36" w14:paraId="63D0D1DC" w14:textId="77777777" w:rsidTr="00B21BED">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F068A4" w14:textId="77777777" w:rsidR="00B71461" w:rsidRPr="002B3F36" w:rsidRDefault="00B71461" w:rsidP="009B4CDB">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9EB484D"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Single burial mound Aydakharly 3</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2417AF3"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80 m to N</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516B955"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N47°41'53.1499" E71°49'45.3247"</w:t>
            </w:r>
          </w:p>
        </w:tc>
      </w:tr>
      <w:tr w:rsidR="00B71461" w:rsidRPr="002B3F36" w14:paraId="7B151CC0" w14:textId="77777777" w:rsidTr="00B21BED">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0FD8E9" w14:textId="77777777" w:rsidR="00B71461" w:rsidRPr="002B3F36" w:rsidRDefault="00B71461" w:rsidP="009B4CDB">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4014361" w14:textId="77777777" w:rsidR="00B71461" w:rsidRPr="002B3F36" w:rsidRDefault="00B71461">
            <w:pPr>
              <w:rPr>
                <w:rFonts w:ascii="Arial" w:eastAsia="Times New Roman" w:hAnsi="Arial" w:cs="Arial"/>
                <w:bCs/>
                <w:sz w:val="20"/>
                <w:szCs w:val="20"/>
              </w:rPr>
            </w:pPr>
            <w:r w:rsidRPr="002B3F36">
              <w:rPr>
                <w:rFonts w:ascii="Arial" w:hAnsi="Arial" w:cs="Arial"/>
                <w:sz w:val="20"/>
                <w:szCs w:val="20"/>
                <w:lang w:val="kk-KZ"/>
              </w:rPr>
              <w:t>Single mound Shokyman</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F82A6D1" w14:textId="77777777" w:rsidR="00B71461" w:rsidRPr="002B3F36" w:rsidRDefault="00B71461">
            <w:pPr>
              <w:rPr>
                <w:rFonts w:ascii="Arial" w:eastAsia="Times New Roman" w:hAnsi="Arial" w:cs="Arial"/>
                <w:bCs/>
                <w:sz w:val="20"/>
                <w:szCs w:val="20"/>
              </w:rPr>
            </w:pPr>
            <w:r w:rsidRPr="002B3F36">
              <w:rPr>
                <w:rFonts w:ascii="Arial" w:eastAsia="Times New Roman" w:hAnsi="Arial" w:cs="Arial"/>
                <w:bCs/>
                <w:sz w:val="20"/>
                <w:szCs w:val="20"/>
              </w:rPr>
              <w:t>115 m SW</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246A42C" w14:textId="77777777" w:rsidR="00B71461" w:rsidRPr="002B3F36" w:rsidRDefault="00B71461">
            <w:pPr>
              <w:pStyle w:val="af4"/>
              <w:rPr>
                <w:rFonts w:ascii="Arial" w:eastAsiaTheme="minorEastAsia" w:hAnsi="Arial" w:cs="Arial"/>
                <w:sz w:val="20"/>
                <w:szCs w:val="20"/>
              </w:rPr>
            </w:pPr>
            <w:r w:rsidRPr="002B3F36">
              <w:rPr>
                <w:rFonts w:ascii="Arial" w:hAnsi="Arial" w:cs="Arial"/>
                <w:sz w:val="20"/>
                <w:szCs w:val="20"/>
                <w:lang w:val="kk-KZ"/>
              </w:rPr>
              <w:t>N47°46'28.4060" E71°11'40.5820"</w:t>
            </w:r>
          </w:p>
        </w:tc>
      </w:tr>
      <w:tr w:rsidR="00B71461" w:rsidRPr="002B3F36" w14:paraId="4105B09B" w14:textId="77777777" w:rsidTr="00B21BED">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3FCD9BF" w14:textId="77777777" w:rsidR="00B71461" w:rsidRPr="002B3F36" w:rsidRDefault="00B71461" w:rsidP="009B4CDB">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63A7916" w14:textId="77777777" w:rsidR="00B71461" w:rsidRPr="002B3F36" w:rsidRDefault="00B71461">
            <w:pPr>
              <w:rPr>
                <w:rFonts w:ascii="Arial" w:eastAsiaTheme="minorEastAsia" w:hAnsi="Arial" w:cs="Arial"/>
                <w:sz w:val="20"/>
                <w:szCs w:val="20"/>
              </w:rPr>
            </w:pPr>
            <w:r w:rsidRPr="002B3F36">
              <w:rPr>
                <w:rFonts w:ascii="Arial" w:hAnsi="Arial" w:cs="Arial"/>
                <w:sz w:val="20"/>
                <w:szCs w:val="20"/>
                <w:lang w:val="kk-KZ"/>
              </w:rPr>
              <w:t>Single burial mound Karkymbay 2</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C440ED8" w14:textId="77777777" w:rsidR="00B71461" w:rsidRPr="002B3F36" w:rsidRDefault="00B71461">
            <w:pPr>
              <w:rPr>
                <w:rFonts w:ascii="Arial" w:hAnsi="Arial" w:cs="Arial"/>
                <w:sz w:val="20"/>
                <w:szCs w:val="20"/>
              </w:rPr>
            </w:pPr>
            <w:r w:rsidRPr="002B3F36">
              <w:rPr>
                <w:rFonts w:ascii="Arial" w:hAnsi="Arial" w:cs="Arial"/>
                <w:sz w:val="20"/>
                <w:szCs w:val="20"/>
              </w:rPr>
              <w:t>85 to C</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9FA43BE" w14:textId="77777777" w:rsidR="00B71461" w:rsidRPr="002B3F36" w:rsidRDefault="00B71461">
            <w:pPr>
              <w:pStyle w:val="af4"/>
              <w:rPr>
                <w:rFonts w:ascii="Arial" w:hAnsi="Arial" w:cs="Arial"/>
                <w:sz w:val="20"/>
                <w:szCs w:val="20"/>
              </w:rPr>
            </w:pPr>
            <w:r w:rsidRPr="002B3F36">
              <w:rPr>
                <w:rFonts w:ascii="Arial" w:hAnsi="Arial" w:cs="Arial"/>
                <w:sz w:val="20"/>
                <w:szCs w:val="20"/>
                <w:lang w:val="kk-KZ"/>
              </w:rPr>
              <w:t>N47°42'05.5582" E71°51'36.9241"</w:t>
            </w:r>
          </w:p>
        </w:tc>
      </w:tr>
      <w:tr w:rsidR="00B71461" w:rsidRPr="002B3F36" w14:paraId="3D82082F" w14:textId="77777777" w:rsidTr="00B21BED">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2550952" w14:textId="77777777" w:rsidR="00B71461" w:rsidRPr="002B3F36" w:rsidRDefault="00B71461" w:rsidP="009B4CDB">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534E8D" w14:textId="77777777" w:rsidR="00B71461" w:rsidRPr="002B3F36" w:rsidRDefault="00B71461">
            <w:pPr>
              <w:rPr>
                <w:rFonts w:ascii="Arial" w:eastAsiaTheme="minorEastAsia" w:hAnsi="Arial" w:cs="Arial"/>
                <w:sz w:val="20"/>
                <w:szCs w:val="20"/>
              </w:rPr>
            </w:pPr>
            <w:r w:rsidRPr="002B3F36">
              <w:rPr>
                <w:rFonts w:ascii="Arial" w:hAnsi="Arial" w:cs="Arial"/>
                <w:sz w:val="20"/>
                <w:szCs w:val="20"/>
                <w:lang w:val="kk-KZ"/>
              </w:rPr>
              <w:t>Single mound Taldybulak</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DF9672B" w14:textId="77777777" w:rsidR="00B71461" w:rsidRPr="002B3F36" w:rsidRDefault="00B71461">
            <w:pPr>
              <w:rPr>
                <w:rFonts w:ascii="Arial" w:hAnsi="Arial" w:cs="Arial"/>
                <w:sz w:val="20"/>
                <w:szCs w:val="20"/>
              </w:rPr>
            </w:pPr>
            <w:r w:rsidRPr="002B3F36">
              <w:rPr>
                <w:rFonts w:ascii="Arial" w:hAnsi="Arial" w:cs="Arial"/>
                <w:sz w:val="20"/>
                <w:szCs w:val="20"/>
              </w:rPr>
              <w:t>120 to C</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3F79E56" w14:textId="77777777" w:rsidR="00B71461" w:rsidRPr="002B3F36" w:rsidRDefault="00B71461">
            <w:pPr>
              <w:pStyle w:val="af4"/>
              <w:rPr>
                <w:rFonts w:ascii="Arial" w:hAnsi="Arial" w:cs="Arial"/>
                <w:sz w:val="20"/>
                <w:szCs w:val="20"/>
              </w:rPr>
            </w:pPr>
            <w:r w:rsidRPr="002B3F36">
              <w:rPr>
                <w:rFonts w:ascii="Arial" w:hAnsi="Arial" w:cs="Arial"/>
                <w:sz w:val="20"/>
                <w:szCs w:val="20"/>
                <w:lang w:val="kk-KZ"/>
              </w:rPr>
              <w:t>N47°10'59.9260" E73°13'35.8990"</w:t>
            </w:r>
          </w:p>
        </w:tc>
      </w:tr>
    </w:tbl>
    <w:p w14:paraId="0751C46C" w14:textId="77777777" w:rsidR="003B5167" w:rsidRPr="002B3F36" w:rsidRDefault="003B5167" w:rsidP="003B5167">
      <w:pPr>
        <w:pStyle w:val="ReportBodyPar"/>
      </w:pPr>
    </w:p>
    <w:p w14:paraId="66E91B6E" w14:textId="21B2D471" w:rsidR="003B5167" w:rsidRPr="002B3F36" w:rsidRDefault="003B5167" w:rsidP="009B4CDB">
      <w:pPr>
        <w:pStyle w:val="ALetteritems"/>
        <w:numPr>
          <w:ilvl w:val="5"/>
          <w:numId w:val="31"/>
        </w:numPr>
        <w:ind w:left="360"/>
        <w:rPr>
          <w:rFonts w:cs="Arial"/>
        </w:rPr>
      </w:pPr>
      <w:r w:rsidRPr="002B3F36">
        <w:rPr>
          <w:rFonts w:cs="Arial"/>
        </w:rPr>
        <w:t>Impact Assessment and Risk Considerations</w:t>
      </w:r>
    </w:p>
    <w:p w14:paraId="17CE2DA5" w14:textId="77777777" w:rsidR="003B5167" w:rsidRPr="002B3F36" w:rsidRDefault="003B5167" w:rsidP="003B5167">
      <w:pPr>
        <w:pStyle w:val="ReportBodyPar"/>
      </w:pPr>
    </w:p>
    <w:p w14:paraId="5BB9CEE2" w14:textId="77777777" w:rsidR="003B5167" w:rsidRPr="002B3F36" w:rsidRDefault="003B5167" w:rsidP="003B5167">
      <w:pPr>
        <w:pStyle w:val="ReportBodyPar"/>
      </w:pPr>
      <w:r w:rsidRPr="002B3F36">
        <w:t>Potential impacts on identified sites may arise from:</w:t>
      </w:r>
    </w:p>
    <w:p w14:paraId="50181388" w14:textId="77777777" w:rsidR="003B5167" w:rsidRPr="002B3F36" w:rsidRDefault="003B5167" w:rsidP="009B4CDB">
      <w:pPr>
        <w:pStyle w:val="ReportBodyPar"/>
        <w:numPr>
          <w:ilvl w:val="0"/>
          <w:numId w:val="91"/>
        </w:numPr>
      </w:pPr>
      <w:r w:rsidRPr="002B3F36">
        <w:t>Land clearing, excavation, and grading activities along the alignment;</w:t>
      </w:r>
    </w:p>
    <w:p w14:paraId="39B380C1" w14:textId="77777777" w:rsidR="003B5167" w:rsidRPr="002B3F36" w:rsidRDefault="003B5167" w:rsidP="009B4CDB">
      <w:pPr>
        <w:pStyle w:val="ReportBodyPar"/>
        <w:numPr>
          <w:ilvl w:val="0"/>
          <w:numId w:val="91"/>
        </w:numPr>
      </w:pPr>
      <w:r w:rsidRPr="002B3F36">
        <w:t>Vibration and dust emissions from construction machinery near burial mounds;</w:t>
      </w:r>
    </w:p>
    <w:p w14:paraId="7E5F2694" w14:textId="77777777" w:rsidR="003B5167" w:rsidRPr="002B3F36" w:rsidRDefault="003B5167" w:rsidP="009B4CDB">
      <w:pPr>
        <w:pStyle w:val="ReportBodyPar"/>
        <w:numPr>
          <w:ilvl w:val="0"/>
          <w:numId w:val="91"/>
        </w:numPr>
      </w:pPr>
      <w:r w:rsidRPr="002B3F36">
        <w:t>Indirect disturbances to the cultural landscape setting.</w:t>
      </w:r>
    </w:p>
    <w:p w14:paraId="01618B28" w14:textId="77777777" w:rsidR="003B5167" w:rsidRPr="002B3F36" w:rsidRDefault="003B5167" w:rsidP="009B4CDB">
      <w:pPr>
        <w:pStyle w:val="ReportBodyPar"/>
        <w:numPr>
          <w:ilvl w:val="0"/>
          <w:numId w:val="91"/>
        </w:numPr>
      </w:pPr>
      <w:r w:rsidRPr="002B3F36">
        <w:t>Where burial sites intersect with the security zones, there is a risk of physical damage or loss of heritage value if construction proceeds without mitigation.</w:t>
      </w:r>
    </w:p>
    <w:p w14:paraId="16243CEC" w14:textId="1727D0F0" w:rsidR="003B5167" w:rsidRPr="002B3F36" w:rsidRDefault="003B5167" w:rsidP="003B5167">
      <w:pPr>
        <w:pStyle w:val="ReportBodyPar"/>
      </w:pPr>
    </w:p>
    <w:p w14:paraId="478B51FD" w14:textId="77777777" w:rsidR="005D4AAD" w:rsidRPr="002B3F36" w:rsidRDefault="005D4AAD" w:rsidP="009B4CDB">
      <w:pPr>
        <w:pStyle w:val="ALetteritems"/>
        <w:numPr>
          <w:ilvl w:val="5"/>
          <w:numId w:val="31"/>
        </w:numPr>
        <w:ind w:left="360"/>
        <w:rPr>
          <w:rFonts w:cs="Arial"/>
        </w:rPr>
      </w:pPr>
      <w:r w:rsidRPr="002B3F36">
        <w:rPr>
          <w:rFonts w:cs="Arial"/>
        </w:rPr>
        <w:t>Conclusion</w:t>
      </w:r>
    </w:p>
    <w:p w14:paraId="320ECDE9" w14:textId="7CFE3DA1" w:rsidR="00F102AE" w:rsidRPr="002B3F36" w:rsidRDefault="00F102AE" w:rsidP="003B5167">
      <w:pPr>
        <w:pStyle w:val="ReportBodyPar"/>
      </w:pPr>
    </w:p>
    <w:p w14:paraId="2741BD2C" w14:textId="0343560F" w:rsidR="00F102AE" w:rsidRPr="002B3F36" w:rsidRDefault="00F102AE" w:rsidP="00F102AE">
      <w:pPr>
        <w:pStyle w:val="ReportBodyPar"/>
      </w:pPr>
      <w:r w:rsidRPr="002B3F36">
        <w:t xml:space="preserve">The comprehensive historical and cultural heritage assessment for the </w:t>
      </w:r>
      <w:r w:rsidR="003650DB" w:rsidRPr="002B3F36">
        <w:t xml:space="preserve">Mointy – Kyzylzhar </w:t>
      </w:r>
      <w:r w:rsidRPr="002B3F36">
        <w:t xml:space="preserve">Railway Construction Project identified 17 archaeological sites within the broader railway </w:t>
      </w:r>
      <w:r w:rsidRPr="002B3F36">
        <w:lastRenderedPageBreak/>
        <w:t xml:space="preserve">corridor. However, the findings of the state historical and cultural expertise carried out in accordance with the Law of the Republic of Kazakhstan on the Protection and Use of Historical and Cultural Heritage Objects (No. 1488-XII, 1992, as amended) confirmed that no officially registered or legally protected archaeological or cultural heritage sites fall within the designated right-of-way for the </w:t>
      </w:r>
      <w:r w:rsidR="0005126C" w:rsidRPr="002B3F36">
        <w:t xml:space="preserve">Mointy – Kyzylzhar </w:t>
      </w:r>
      <w:r w:rsidRPr="002B3F36">
        <w:t xml:space="preserve">railway section. Consequently, under Kazakhstan law and in compliance with </w:t>
      </w:r>
      <w:r w:rsidR="00F95BD8" w:rsidRPr="002B3F36">
        <w:t>WB</w:t>
      </w:r>
      <w:r w:rsidRPr="002B3F36">
        <w:t xml:space="preserve"> Performance Standard 8 (PS8) on Cultural Heritage, there are no regulatory restrictions preventing the construction of the railway along this alignment.</w:t>
      </w:r>
    </w:p>
    <w:p w14:paraId="2002FDD4" w14:textId="692FC266" w:rsidR="00F102AE" w:rsidRPr="002B3F36" w:rsidRDefault="00F102AE" w:rsidP="00F102AE">
      <w:pPr>
        <w:pStyle w:val="ReportBodyPar"/>
      </w:pPr>
    </w:p>
    <w:p w14:paraId="33D62AC7" w14:textId="1ABAED52" w:rsidR="00F102AE" w:rsidRPr="002B3F36" w:rsidRDefault="005F67D5" w:rsidP="00F102AE">
      <w:pPr>
        <w:pStyle w:val="ReportBodyPar"/>
      </w:pPr>
      <w:r w:rsidRPr="002B3F36">
        <w:t>I</w:t>
      </w:r>
      <w:r w:rsidR="00F102AE" w:rsidRPr="002B3F36">
        <w:t xml:space="preserve">n keeping with the precautionary approach required under </w:t>
      </w:r>
      <w:r w:rsidR="00163238" w:rsidRPr="002B3F36">
        <w:t>WB PS</w:t>
      </w:r>
      <w:r w:rsidR="00F102AE" w:rsidRPr="002B3F36">
        <w:t>8, the project will incorporate avoidance measures, chance finds procedures, controlled excavation protocols, and ongoing heritage monitoring within the Environmental and Social Management Plan (ESMP). These measures will ensure that construction activities comply with legal requirements, safeguard archaeological and cultural resources, and maintain full protection for any previously unknown or sensitive heritage materials encountered during railway construction.</w:t>
      </w:r>
    </w:p>
    <w:p w14:paraId="68DFF3A3" w14:textId="2917694E" w:rsidR="00F102AE" w:rsidRPr="002B3F36" w:rsidRDefault="00F102AE" w:rsidP="00F102AE">
      <w:pPr>
        <w:pStyle w:val="ReportBodyPar"/>
      </w:pPr>
    </w:p>
    <w:p w14:paraId="0741F6D7" w14:textId="2F927C2F" w:rsidR="003B5167" w:rsidRPr="002B3F36" w:rsidRDefault="003B5167" w:rsidP="009B4CDB">
      <w:pPr>
        <w:pStyle w:val="ALetteritems"/>
        <w:numPr>
          <w:ilvl w:val="5"/>
          <w:numId w:val="31"/>
        </w:numPr>
        <w:ind w:left="360"/>
        <w:rPr>
          <w:rFonts w:cs="Arial"/>
        </w:rPr>
      </w:pPr>
      <w:r w:rsidRPr="002B3F36">
        <w:rPr>
          <w:rFonts w:cs="Arial"/>
        </w:rPr>
        <w:t>Recommendations for ESMP Integration</w:t>
      </w:r>
    </w:p>
    <w:p w14:paraId="2BAAB407" w14:textId="3783DF5B" w:rsidR="005F67D5" w:rsidRPr="002B3F36" w:rsidRDefault="005F67D5">
      <w:pPr>
        <w:pStyle w:val="ReportBodyPar"/>
      </w:pPr>
    </w:p>
    <w:p w14:paraId="48D485EC" w14:textId="0B926542" w:rsidR="005F67D5" w:rsidRPr="002B3F36" w:rsidRDefault="005F67D5" w:rsidP="005F67D5">
      <w:pPr>
        <w:pStyle w:val="ReportBodyPar"/>
        <w:rPr>
          <w:lang w:val="en-PH"/>
        </w:rPr>
      </w:pPr>
      <w:r w:rsidRPr="002B3F36">
        <w:rPr>
          <w:lang w:val="en-PH"/>
        </w:rPr>
        <w:t xml:space="preserve">To ensure compliance with the Law of the Republic of Kazakhstan on the Protection and Use of Historical and Cultural Heritage Objects (No. 1488-XII, 1992, as amended), Order No. 86 of April 14, 2020 on buffer and protection zones, </w:t>
      </w:r>
      <w:r w:rsidR="00B171C6" w:rsidRPr="002B3F36">
        <w:rPr>
          <w:lang w:val="en-PH"/>
        </w:rPr>
        <w:t xml:space="preserve">WB </w:t>
      </w:r>
      <w:r w:rsidRPr="002B3F36">
        <w:rPr>
          <w:lang w:val="en-PH"/>
        </w:rPr>
        <w:t xml:space="preserve">Performance Standard 8 (PS8) on Cultural Heritage, and the WBG </w:t>
      </w:r>
      <w:r w:rsidRPr="002B3F36">
        <w:t>General</w:t>
      </w:r>
      <w:r w:rsidRPr="002B3F36">
        <w:rPr>
          <w:lang w:val="en-PH"/>
        </w:rPr>
        <w:t xml:space="preserve"> EHS Guidelines (2007), specifically Section 1.3 on Cultural Heritage and Section 1.4 on Community Health and Safety, the Environmental and Social Management Plan (ESMP) for the </w:t>
      </w:r>
      <w:r w:rsidR="0005126C" w:rsidRPr="002B3F36">
        <w:rPr>
          <w:lang w:val="en-PH"/>
        </w:rPr>
        <w:t xml:space="preserve">Mointy – Kyzylzhar </w:t>
      </w:r>
      <w:r w:rsidRPr="002B3F36">
        <w:rPr>
          <w:lang w:val="en-PH"/>
        </w:rPr>
        <w:t>Railway Construction Project will incorporate the following cultural heritage protection measures:</w:t>
      </w:r>
    </w:p>
    <w:p w14:paraId="1C228880" w14:textId="77777777" w:rsidR="005F67D5" w:rsidRPr="002B3F36" w:rsidRDefault="005F67D5" w:rsidP="009B4CDB">
      <w:pPr>
        <w:pStyle w:val="ReportBodyPar"/>
        <w:numPr>
          <w:ilvl w:val="0"/>
          <w:numId w:val="223"/>
        </w:numPr>
      </w:pPr>
      <w:r w:rsidRPr="002B3F36">
        <w:rPr>
          <w:b/>
        </w:rPr>
        <w:t>Protection of Heritage Sites</w:t>
      </w:r>
      <w:r w:rsidRPr="002B3F36">
        <w:t>: Maintain all designated buffer, security, and protected landscape zones around identified cultural heritage sites in accordance with Order No. 86 (2020) to prevent encroachment or disturbance during construction.</w:t>
      </w:r>
    </w:p>
    <w:p w14:paraId="73DB6133" w14:textId="77777777" w:rsidR="005F67D5" w:rsidRPr="002B3F36" w:rsidRDefault="005F67D5" w:rsidP="009B4CDB">
      <w:pPr>
        <w:pStyle w:val="ReportBodyPar"/>
        <w:numPr>
          <w:ilvl w:val="0"/>
          <w:numId w:val="223"/>
        </w:numPr>
      </w:pPr>
      <w:r w:rsidRPr="002B3F36">
        <w:rPr>
          <w:b/>
        </w:rPr>
        <w:t>Archaeological Excavation and Documentation</w:t>
      </w:r>
      <w:r w:rsidRPr="002B3F36">
        <w:t>: Where avoidance is not feasible (e.g., within the 0–80 m construction zone), undertake salvage archaeology or full documentation prior to any site disturbance, as required under Kazakhstan’s heritage legislation and in line with EHS Guideline 1.3.3. All excavation work will be carried out by qualified archaeologists under permits from the Ministry of Culture and Sports.</w:t>
      </w:r>
    </w:p>
    <w:p w14:paraId="422CE567" w14:textId="79F75A8D" w:rsidR="005F67D5" w:rsidRPr="002B3F36" w:rsidRDefault="005F67D5" w:rsidP="009B4CDB">
      <w:pPr>
        <w:pStyle w:val="ReportBodyPar"/>
        <w:numPr>
          <w:ilvl w:val="0"/>
          <w:numId w:val="223"/>
        </w:numPr>
      </w:pPr>
      <w:r w:rsidRPr="002B3F36">
        <w:rPr>
          <w:b/>
        </w:rPr>
        <w:t>Chance Finds Procedure</w:t>
      </w:r>
      <w:r w:rsidRPr="002B3F36">
        <w:t xml:space="preserve">: Develop and enforce a Chance Finds Procedure in accordance with EHS Guideline 1.3.2 and </w:t>
      </w:r>
      <w:r w:rsidR="00163238" w:rsidRPr="002B3F36">
        <w:t>WB PS</w:t>
      </w:r>
      <w:r w:rsidRPr="002B3F36">
        <w:t>8, ensuring immediate work stoppage, securement of the find location, site assessment by heritage specialists, and notification of the competent heritage authorities for clearance prior to resuming activities.</w:t>
      </w:r>
    </w:p>
    <w:p w14:paraId="4F696E45" w14:textId="77777777" w:rsidR="005F67D5" w:rsidRPr="002B3F36" w:rsidRDefault="005F67D5" w:rsidP="009B4CDB">
      <w:pPr>
        <w:pStyle w:val="ReportBodyPar"/>
        <w:numPr>
          <w:ilvl w:val="0"/>
          <w:numId w:val="223"/>
        </w:numPr>
      </w:pPr>
      <w:r w:rsidRPr="002B3F36">
        <w:rPr>
          <w:b/>
        </w:rPr>
        <w:t>Avoidance of Sensitive Sites (&gt;80 m)</w:t>
      </w:r>
      <w:r w:rsidRPr="002B3F36">
        <w:t>: Ensure that construction activities do not encroach upon burial mounds or protected cultural features outside the approved alignment, consistent with EHS Guideline 1.3.1 on identification and protection of heritage resources.</w:t>
      </w:r>
    </w:p>
    <w:p w14:paraId="1AB81C58" w14:textId="77777777" w:rsidR="005F67D5" w:rsidRPr="002B3F36" w:rsidRDefault="005F67D5" w:rsidP="009B4CDB">
      <w:pPr>
        <w:pStyle w:val="ReportBodyPar"/>
        <w:numPr>
          <w:ilvl w:val="0"/>
          <w:numId w:val="223"/>
        </w:numPr>
      </w:pPr>
      <w:r w:rsidRPr="002B3F36">
        <w:rPr>
          <w:b/>
        </w:rPr>
        <w:t>Training, Monitoring, and Community Engagement</w:t>
      </w:r>
      <w:r w:rsidRPr="002B3F36">
        <w:t>: Provide regular worker training and community outreach on cultural heritage sensitivity and legal obligations as required under EHS Guideline 1.4.1, and establish monitoring and reporting protocols with Key Performance Indicators (KPIs) per EHS Guideline 1.3.4 to ensure continuous oversight and transparent reporting of heritage management actions.</w:t>
      </w:r>
    </w:p>
    <w:p w14:paraId="47E61F68" w14:textId="77777777" w:rsidR="005F67D5" w:rsidRPr="002B3F36" w:rsidRDefault="005F67D5" w:rsidP="005F67D5">
      <w:pPr>
        <w:pStyle w:val="ReportBodyPar"/>
        <w:rPr>
          <w:lang w:val="en-PH"/>
        </w:rPr>
      </w:pPr>
    </w:p>
    <w:p w14:paraId="24241631" w14:textId="2159D959" w:rsidR="005F67D5" w:rsidRPr="002B3F36" w:rsidRDefault="005F67D5" w:rsidP="005F67D5">
      <w:pPr>
        <w:pStyle w:val="ReportBodyPar"/>
      </w:pPr>
      <w:r w:rsidRPr="002B3F36">
        <w:t xml:space="preserve">These integrated measures will ensure that railway construction activities comply fully with Kazakhstan’s regulatory framework, </w:t>
      </w:r>
      <w:r w:rsidR="00163238" w:rsidRPr="002B3F36">
        <w:t>WB PS</w:t>
      </w:r>
      <w:r w:rsidRPr="002B3F36">
        <w:t xml:space="preserve">8, and the WBG General EHS Guidelines (2007) </w:t>
      </w:r>
      <w:r w:rsidRPr="002B3F36">
        <w:lastRenderedPageBreak/>
        <w:t>while safeguarding archaeological resources, preserving cultural heritage, and maintaining community trust throughout the project lifecycle.</w:t>
      </w:r>
    </w:p>
    <w:p w14:paraId="591C6D9D" w14:textId="77777777" w:rsidR="005F67D5" w:rsidRPr="002B3F36" w:rsidRDefault="005F67D5">
      <w:pPr>
        <w:pStyle w:val="ReportBodyPar"/>
      </w:pPr>
    </w:p>
    <w:p w14:paraId="443C6BA0" w14:textId="77777777" w:rsidR="00F61F8E" w:rsidRPr="002B3F36" w:rsidRDefault="000F264B" w:rsidP="00701F4F">
      <w:pPr>
        <w:pStyle w:val="41"/>
      </w:pPr>
      <w:bookmarkStart w:id="2110" w:name="_Toc169094762"/>
      <w:bookmarkStart w:id="2111" w:name="_Toc208973839"/>
      <w:bookmarkStart w:id="2112" w:name="_Toc208974039"/>
      <w:bookmarkStart w:id="2113" w:name="_Toc208974239"/>
      <w:bookmarkStart w:id="2114" w:name="_Toc208974441"/>
      <w:bookmarkStart w:id="2115" w:name="_Toc210589482"/>
      <w:r w:rsidRPr="002B3F36">
        <w:t>Intangible Aspects</w:t>
      </w:r>
      <w:bookmarkEnd w:id="2110"/>
      <w:bookmarkEnd w:id="2111"/>
      <w:bookmarkEnd w:id="2112"/>
      <w:bookmarkEnd w:id="2113"/>
      <w:bookmarkEnd w:id="2114"/>
      <w:bookmarkEnd w:id="2115"/>
    </w:p>
    <w:p w14:paraId="6AC931C9" w14:textId="77777777" w:rsidR="00315943" w:rsidRPr="002B3F36" w:rsidRDefault="00315943" w:rsidP="00315943">
      <w:pPr>
        <w:pStyle w:val="ReportParagraph"/>
      </w:pPr>
      <w:r w:rsidRPr="002B3F36">
        <w:t>The Karagandy Region occupies a significant place in the historical and cultural heritage of Kazakhstan. Its territory once formed part of the northern branch of the ancient Silk Road, serving as a major artery for trade, commerce, and cultural exchange between Kazakhstan and neighboring civilizations.</w:t>
      </w:r>
    </w:p>
    <w:p w14:paraId="4387EC99" w14:textId="77777777" w:rsidR="00315943" w:rsidRPr="002B3F36" w:rsidRDefault="00315943" w:rsidP="00315943">
      <w:pPr>
        <w:pStyle w:val="ReportParagraph"/>
      </w:pPr>
    </w:p>
    <w:p w14:paraId="7A8DD271" w14:textId="77777777" w:rsidR="005C7E32" w:rsidRPr="002B3F36" w:rsidRDefault="00315943" w:rsidP="00315943">
      <w:pPr>
        <w:pStyle w:val="ReportParagraph"/>
      </w:pPr>
      <w:r w:rsidRPr="002B3F36">
        <w:t>In the 1930s and 1940s, the region became a center of political repression under Stalin, with mass deportations of various ethnic groups to this territory. The infamous Karlag labor camp operated here, and following the Second World War, the Spassk camp held prisoners of war from Germany, Japan, Italy, and Romania. Today, the Memorial to Victims of Stalinist Totalitarianism stands at Spassk, where historians have documented 5,152 graves of prisoners representing multiple nationalities</w:t>
      </w:r>
    </w:p>
    <w:p w14:paraId="7E001088" w14:textId="546D20A8" w:rsidR="005C7E32" w:rsidRPr="002B3F36" w:rsidRDefault="005C7E32" w:rsidP="00315943">
      <w:pPr>
        <w:pStyle w:val="ReportParagraph"/>
      </w:pPr>
    </w:p>
    <w:p w14:paraId="798AB315" w14:textId="6DDC0810" w:rsidR="005C7E32" w:rsidRPr="002B3F36" w:rsidRDefault="005C7E32" w:rsidP="00315943">
      <w:pPr>
        <w:pStyle w:val="ReportParagraph"/>
      </w:pPr>
      <w:r w:rsidRPr="002B3F36">
        <w:t>Beyond its physical landscape, Kyzylzhar holds deep intangible cultural significance shaped by centuries of trade, migration, and pastoral traditions. As part of the wider Karagandy Region, its cultural memory reflects oral histories of nomadic lifeways, seasonal livestock movements, and folklore linked to the ancient Silk Road that once traversed this territory. Local customs, music, and storytelling preserve ancestral knowledge of the steppe, while the legacy of 20th-century political repression and wartime displacement continues to influence collective identity and commemorative practices within the community.</w:t>
      </w:r>
    </w:p>
    <w:p w14:paraId="2D2E3CB5" w14:textId="61DBBEFF" w:rsidR="005C7E32" w:rsidRPr="002B3F36" w:rsidRDefault="005C7E32" w:rsidP="00315943">
      <w:pPr>
        <w:pStyle w:val="ReportParagraph"/>
      </w:pPr>
    </w:p>
    <w:p w14:paraId="463B3545" w14:textId="22449199" w:rsidR="005C7E32" w:rsidRPr="002B3F36" w:rsidRDefault="005C7E32" w:rsidP="00315943">
      <w:pPr>
        <w:pStyle w:val="ReportParagraph"/>
      </w:pPr>
      <w:r w:rsidRPr="002B3F36">
        <w:t>Mointy embodies the cultural narratives of resilience and adaptation associated with Kazakhstan’s vast interior steppe. Historically a waypoint along internal trade and migration routes, the area carries traditions of hospitality, folk music, and spiritual practices tied to the natural environment, particularly water sources and grazing lands critical to nomadic livelihoods. Memories of Soviet-era industrial expansion and the shifting patterns of rural settlement are also embedded in local oral histories, shaping the community’s sense of place and its relationship to both land and heritage.</w:t>
      </w:r>
    </w:p>
    <w:p w14:paraId="3B925B78" w14:textId="25BD8E31" w:rsidR="005A68AD" w:rsidRPr="002B3F36" w:rsidRDefault="005A68AD" w:rsidP="00315943">
      <w:pPr>
        <w:pStyle w:val="ReportParagraph"/>
      </w:pPr>
    </w:p>
    <w:p w14:paraId="7404A8FE" w14:textId="1589714C" w:rsidR="00B67C3A" w:rsidRPr="002B3F36" w:rsidRDefault="00B67C3A">
      <w:pPr>
        <w:rPr>
          <w:rFonts w:ascii="Arial" w:eastAsia="Arial" w:hAnsi="Arial" w:cs="Arial"/>
          <w:sz w:val="24"/>
          <w:szCs w:val="24"/>
          <w:lang w:eastAsia="en-PH"/>
        </w:rPr>
      </w:pPr>
      <w:r w:rsidRPr="002B3F36">
        <w:rPr>
          <w:rFonts w:ascii="Arial" w:hAnsi="Arial" w:cs="Arial"/>
        </w:rPr>
        <w:br w:type="page"/>
      </w:r>
    </w:p>
    <w:p w14:paraId="47D954DA" w14:textId="55B34236" w:rsidR="00F61F8E" w:rsidRPr="002B3F36" w:rsidRDefault="000F264B">
      <w:pPr>
        <w:pStyle w:val="1"/>
        <w:numPr>
          <w:ilvl w:val="0"/>
          <w:numId w:val="1"/>
        </w:numPr>
        <w:autoSpaceDE/>
        <w:autoSpaceDN/>
        <w:spacing w:line="253" w:lineRule="auto"/>
        <w:ind w:right="72"/>
        <w:jc w:val="both"/>
        <w:rPr>
          <w:rFonts w:cs="Arial"/>
        </w:rPr>
      </w:pPr>
      <w:bookmarkStart w:id="2116" w:name="_bookmark117"/>
      <w:bookmarkStart w:id="2117" w:name="_Toc208973840"/>
      <w:bookmarkStart w:id="2118" w:name="_Toc208974040"/>
      <w:bookmarkStart w:id="2119" w:name="_Toc208974240"/>
      <w:bookmarkStart w:id="2120" w:name="_Toc208974442"/>
      <w:bookmarkStart w:id="2121" w:name="_Toc208974648"/>
      <w:bookmarkStart w:id="2122" w:name="_Toc210589483"/>
      <w:bookmarkEnd w:id="2116"/>
      <w:r w:rsidRPr="002B3F36">
        <w:rPr>
          <w:rFonts w:cs="Arial"/>
        </w:rPr>
        <w:lastRenderedPageBreak/>
        <w:t>Impact Assessment Process</w:t>
      </w:r>
      <w:bookmarkEnd w:id="2117"/>
      <w:bookmarkEnd w:id="2118"/>
      <w:bookmarkEnd w:id="2119"/>
      <w:bookmarkEnd w:id="2120"/>
      <w:bookmarkEnd w:id="2121"/>
      <w:bookmarkEnd w:id="2122"/>
    </w:p>
    <w:p w14:paraId="58FFE623" w14:textId="77777777" w:rsidR="00D50A14" w:rsidRPr="002B3F36" w:rsidRDefault="00D50A14" w:rsidP="00F82096">
      <w:pPr>
        <w:pStyle w:val="ReportBodyPar"/>
      </w:pPr>
    </w:p>
    <w:p w14:paraId="592B0B50" w14:textId="5ED7AC6E" w:rsidR="00F61F8E" w:rsidRPr="002B3F36" w:rsidRDefault="000F264B">
      <w:pPr>
        <w:pStyle w:val="20"/>
        <w:rPr>
          <w:color w:val="auto"/>
        </w:rPr>
      </w:pPr>
      <w:bookmarkStart w:id="2123" w:name="_bookmark119"/>
      <w:bookmarkStart w:id="2124" w:name="_Toc210222531"/>
      <w:bookmarkStart w:id="2125" w:name="_Toc210222704"/>
      <w:bookmarkStart w:id="2126" w:name="_Toc210238219"/>
      <w:bookmarkStart w:id="2127" w:name="_Toc210339019"/>
      <w:bookmarkStart w:id="2128" w:name="_bookmark120"/>
      <w:bookmarkStart w:id="2129" w:name="_Toc208973842"/>
      <w:bookmarkStart w:id="2130" w:name="_Toc208974042"/>
      <w:bookmarkStart w:id="2131" w:name="_Toc208974242"/>
      <w:bookmarkStart w:id="2132" w:name="_Toc208974444"/>
      <w:bookmarkStart w:id="2133" w:name="_Toc208974650"/>
      <w:bookmarkStart w:id="2134" w:name="_Toc210589484"/>
      <w:bookmarkEnd w:id="2123"/>
      <w:bookmarkEnd w:id="2124"/>
      <w:bookmarkEnd w:id="2125"/>
      <w:bookmarkEnd w:id="2126"/>
      <w:bookmarkEnd w:id="2127"/>
      <w:bookmarkEnd w:id="2128"/>
      <w:r w:rsidRPr="002B3F36">
        <w:rPr>
          <w:color w:val="auto"/>
        </w:rPr>
        <w:t>Impact Evaluation</w:t>
      </w:r>
      <w:bookmarkEnd w:id="2129"/>
      <w:bookmarkEnd w:id="2130"/>
      <w:bookmarkEnd w:id="2131"/>
      <w:bookmarkEnd w:id="2132"/>
      <w:bookmarkEnd w:id="2133"/>
      <w:bookmarkEnd w:id="2134"/>
    </w:p>
    <w:p w14:paraId="1C422DCB" w14:textId="77777777" w:rsidR="00352085" w:rsidRDefault="00352085" w:rsidP="00352085">
      <w:pPr>
        <w:pStyle w:val="ReportBodyPar"/>
      </w:pPr>
    </w:p>
    <w:p w14:paraId="52859AEF" w14:textId="494924DC" w:rsidR="007A2395" w:rsidRDefault="007A2395" w:rsidP="00352085">
      <w:pPr>
        <w:pStyle w:val="ReportBodyPar"/>
      </w:pPr>
      <w:r w:rsidRPr="002B3F36">
        <w:t xml:space="preserve">Aligned with </w:t>
      </w:r>
      <w:r w:rsidR="00F95BD8" w:rsidRPr="002B3F36">
        <w:t>WB</w:t>
      </w:r>
      <w:r w:rsidRPr="002B3F36">
        <w:t xml:space="preserve"> Performance Standard 1 (PS1) on the Assessment and Management of Environmental and Social Risks and Impacts, </w:t>
      </w:r>
      <w:r w:rsidR="002B14AF" w:rsidRPr="002B3F36">
        <w:t xml:space="preserve">one </w:t>
      </w:r>
      <w:r w:rsidR="009D0CE5" w:rsidRPr="002B3F36">
        <w:t>crucial</w:t>
      </w:r>
      <w:r w:rsidR="002B14AF" w:rsidRPr="002B3F36">
        <w:t xml:space="preserve"> </w:t>
      </w:r>
      <w:r w:rsidRPr="002B3F36">
        <w:t xml:space="preserve">step of the process involves evaluating the significance of predicted impacts for the </w:t>
      </w:r>
      <w:r w:rsidR="003650DB" w:rsidRPr="002B3F36">
        <w:t xml:space="preserve">Mointy – Kyzylzhar </w:t>
      </w:r>
      <w:r w:rsidRPr="002B3F36">
        <w:t>Railway Construction Project. This evaluation combines an assessment of impact magnitude with the sensitivity, value, and importance of affected environmental and social receptors. For unplanned events, such as accidents or natural hazards, the likelihood of occurrence is also factored into the analysis.</w:t>
      </w:r>
    </w:p>
    <w:p w14:paraId="6E938F53" w14:textId="77777777" w:rsidR="00352085" w:rsidRPr="002B3F36" w:rsidRDefault="00352085" w:rsidP="00352085">
      <w:pPr>
        <w:pStyle w:val="ReportBodyPar"/>
      </w:pPr>
    </w:p>
    <w:p w14:paraId="6A959731" w14:textId="28DC62CA" w:rsidR="007A2395" w:rsidRDefault="007A2395" w:rsidP="00352085">
      <w:pPr>
        <w:pStyle w:val="ReportBodyPar"/>
      </w:pPr>
      <w:r w:rsidRPr="002B3F36">
        <w:t xml:space="preserve">The determination of significance is guided by defined evaluation matrices and thresholds consistent with PS1 and good industry risk management practice, including the World Bank Group Environmental, Health, and Safety (EHS) Guidelines. Impacts are then classified across a scale of significance, ranging from negligible to major. In this framework, impacts rated as Moderate or Major are treated as significant and require the application of the mitigation hierarchy to ensure risks are reduced to </w:t>
      </w:r>
      <w:r w:rsidR="002632A5">
        <w:t>“a</w:t>
      </w:r>
      <w:r w:rsidRPr="002B3F36">
        <w:t xml:space="preserve">s </w:t>
      </w:r>
      <w:r w:rsidR="00352085">
        <w:t>l</w:t>
      </w:r>
      <w:r w:rsidRPr="002B3F36">
        <w:t xml:space="preserve">ow </w:t>
      </w:r>
      <w:r w:rsidR="00352085">
        <w:t>a</w:t>
      </w:r>
      <w:r w:rsidRPr="002B3F36">
        <w:t xml:space="preserve">s </w:t>
      </w:r>
      <w:r w:rsidR="002632A5">
        <w:t>r</w:t>
      </w:r>
      <w:r w:rsidRPr="002B3F36">
        <w:t xml:space="preserve">easonably </w:t>
      </w:r>
      <w:r w:rsidR="002632A5">
        <w:t>p</w:t>
      </w:r>
      <w:r w:rsidRPr="002B3F36">
        <w:t>racticable</w:t>
      </w:r>
      <w:r w:rsidR="002632A5">
        <w:t>”</w:t>
      </w:r>
      <w:r w:rsidRPr="002B3F36">
        <w:t xml:space="preserve"> (ALARP). Where constraints limit further reduction, residual impacts must be clearly documented and justified with reference to technical, environmental, or socio-economic considerations.</w:t>
      </w:r>
    </w:p>
    <w:p w14:paraId="6AFAD212" w14:textId="77777777" w:rsidR="00352085" w:rsidRPr="002B3F36" w:rsidRDefault="00352085" w:rsidP="00352085">
      <w:pPr>
        <w:pStyle w:val="ReportBodyPar"/>
      </w:pPr>
    </w:p>
    <w:p w14:paraId="635DDB98" w14:textId="694DC25D" w:rsidR="00F61F8E" w:rsidRPr="002B3F36" w:rsidRDefault="007A2395" w:rsidP="00352085">
      <w:pPr>
        <w:pStyle w:val="ReportBodyPar"/>
      </w:pPr>
      <w:r w:rsidRPr="002B3F36">
        <w:t>The outcome of this evaluation step provides a robust, evidence-based foundation for identifying priority mitigation measures and integrating them into the Project’s Environmental and Social Management Plan (ESMP), thereby ensuring that environmental and social risks are managed effectively throughout the project lifecycle</w:t>
      </w:r>
      <w:r w:rsidR="000F264B" w:rsidRPr="002B3F36">
        <w:t>.</w:t>
      </w:r>
    </w:p>
    <w:p w14:paraId="22BE46C3" w14:textId="77777777" w:rsidR="00F61F8E" w:rsidRPr="002B3F36" w:rsidRDefault="000F264B">
      <w:pPr>
        <w:pStyle w:val="20"/>
        <w:rPr>
          <w:color w:val="auto"/>
        </w:rPr>
      </w:pPr>
      <w:bookmarkStart w:id="2135" w:name="_Toc208973843"/>
      <w:bookmarkStart w:id="2136" w:name="_Toc208974043"/>
      <w:bookmarkStart w:id="2137" w:name="_Toc208974243"/>
      <w:bookmarkStart w:id="2138" w:name="_Toc208974445"/>
      <w:bookmarkStart w:id="2139" w:name="_Toc208974651"/>
      <w:bookmarkStart w:id="2140" w:name="_Toc210589485"/>
      <w:r w:rsidRPr="002B3F36">
        <w:rPr>
          <w:color w:val="auto"/>
        </w:rPr>
        <w:t>Impact Magnitude</w:t>
      </w:r>
      <w:bookmarkEnd w:id="2135"/>
      <w:bookmarkEnd w:id="2136"/>
      <w:bookmarkEnd w:id="2137"/>
      <w:bookmarkEnd w:id="2138"/>
      <w:bookmarkEnd w:id="2139"/>
      <w:bookmarkEnd w:id="2140"/>
    </w:p>
    <w:p w14:paraId="0211BE2F" w14:textId="77777777" w:rsidR="00352085" w:rsidRDefault="00352085" w:rsidP="00352085">
      <w:pPr>
        <w:pStyle w:val="ReportBodyTextNogap"/>
      </w:pPr>
    </w:p>
    <w:p w14:paraId="0CD083E9" w14:textId="7DB9B124" w:rsidR="007A2395" w:rsidRDefault="007A2395" w:rsidP="00352085">
      <w:pPr>
        <w:pStyle w:val="ReportBodyTextNogap"/>
      </w:pPr>
      <w:r w:rsidRPr="002B3F36">
        <w:t xml:space="preserve">Under </w:t>
      </w:r>
      <w:r w:rsidR="00B171C6" w:rsidRPr="002B3F36">
        <w:t xml:space="preserve">WB </w:t>
      </w:r>
      <w:r w:rsidRPr="002B3F36">
        <w:t xml:space="preserve">Performance Standard 1 (PS1), impact magnitude refers to the intensity of change expected to occur in an environmental or social receptor as a result of the Project’s construction or operational activities. For the </w:t>
      </w:r>
      <w:r w:rsidR="003650DB" w:rsidRPr="002B3F36">
        <w:t xml:space="preserve">Mointy – Kyzylzhar </w:t>
      </w:r>
      <w:r w:rsidRPr="002B3F36">
        <w:t>Railway Construction Project, magnitude is determined by assessing a combination of impact characteristics—including type, extent, duration, scale/intensity, and frequency—to define the overall level of change on affected receptors.</w:t>
      </w:r>
    </w:p>
    <w:p w14:paraId="57CDA864" w14:textId="77777777" w:rsidR="00352085" w:rsidRPr="002B3F36" w:rsidRDefault="00352085" w:rsidP="00352085">
      <w:pPr>
        <w:pStyle w:val="ReportBodyTextNogap"/>
      </w:pPr>
    </w:p>
    <w:p w14:paraId="53EC5A83" w14:textId="1CE998AD" w:rsidR="00F61F8E" w:rsidRDefault="007A2395" w:rsidP="00352085">
      <w:pPr>
        <w:pStyle w:val="ReportBodyTextNogap"/>
      </w:pPr>
      <w:r w:rsidRPr="002B3F36">
        <w:t>Magnitude is considered independent of likelihood for planned activities, as impacts are assumed to occur if the activity itself takes place. However, for unplanned events (e.g., accidental spills, equipment failures, or other unexpected occurrences), both the magnitude of impact and the likelihood of occurrence are assessed to determine overall significance. This ensures that emergency preparedness, risk mitigation, and response measures are designed in proportion to the potential risks identified for each scenario, thereby safeguarding communities, ecosystems, and project assets.</w:t>
      </w:r>
    </w:p>
    <w:p w14:paraId="4892F505" w14:textId="77777777" w:rsidR="00352085" w:rsidRPr="002B3F36" w:rsidRDefault="00352085" w:rsidP="00352085">
      <w:pPr>
        <w:pStyle w:val="ReportBodyTextNogap"/>
      </w:pPr>
    </w:p>
    <w:p w14:paraId="511FD155" w14:textId="2E84F174" w:rsidR="00F61F8E" w:rsidRPr="002B3F36" w:rsidRDefault="00096BA2" w:rsidP="00AF2F14">
      <w:pPr>
        <w:pStyle w:val="CaptionTable"/>
      </w:pPr>
      <w:bookmarkStart w:id="2141" w:name="_bookmark121"/>
      <w:bookmarkStart w:id="2142" w:name="_Toc210589570"/>
      <w:bookmarkEnd w:id="2141"/>
      <w:r w:rsidRPr="002B3F36">
        <w:t xml:space="preserve">Table </w:t>
      </w:r>
      <w:r w:rsidR="0021258E" w:rsidRPr="002B3F36">
        <w:fldChar w:fldCharType="begin"/>
      </w:r>
      <w:r w:rsidR="0021258E" w:rsidRPr="002B3F36">
        <w:rPr>
          <w:noProof/>
        </w:rPr>
        <w:instrText xml:space="preserve"> SEQ Table \* ARABIC </w:instrText>
      </w:r>
      <w:r w:rsidR="0021258E" w:rsidRPr="002B3F36">
        <w:fldChar w:fldCharType="separate"/>
      </w:r>
      <w:r w:rsidR="00A023DA">
        <w:rPr>
          <w:noProof/>
        </w:rPr>
        <w:t>26</w:t>
      </w:r>
      <w:r w:rsidR="0021258E" w:rsidRPr="002B3F36">
        <w:fldChar w:fldCharType="end"/>
      </w:r>
      <w:r w:rsidR="000F264B" w:rsidRPr="002B3F36">
        <w:rPr>
          <w:spacing w:val="-5"/>
        </w:rPr>
        <w:t>:</w:t>
      </w:r>
      <w:r w:rsidR="006D654A" w:rsidRPr="002B3F36">
        <w:rPr>
          <w:spacing w:val="-5"/>
        </w:rPr>
        <w:t xml:space="preserve"> </w:t>
      </w:r>
      <w:r w:rsidR="000F264B" w:rsidRPr="002B3F36">
        <w:t>Impact</w:t>
      </w:r>
      <w:r w:rsidR="000F264B" w:rsidRPr="002B3F36">
        <w:rPr>
          <w:spacing w:val="26"/>
        </w:rPr>
        <w:t xml:space="preserve"> </w:t>
      </w:r>
      <w:r w:rsidR="000F264B" w:rsidRPr="002B3F36">
        <w:t>Characteristic</w:t>
      </w:r>
      <w:r w:rsidR="000F264B" w:rsidRPr="002B3F36">
        <w:rPr>
          <w:spacing w:val="32"/>
        </w:rPr>
        <w:t xml:space="preserve"> </w:t>
      </w:r>
      <w:r w:rsidR="000F264B" w:rsidRPr="002B3F36">
        <w:rPr>
          <w:spacing w:val="-2"/>
        </w:rPr>
        <w:t>Terminology</w:t>
      </w:r>
      <w:bookmarkEnd w:id="2142"/>
    </w:p>
    <w:tbl>
      <w:tblPr>
        <w:tblStyle w:val="TableGrid2"/>
        <w:tblW w:w="0" w:type="auto"/>
        <w:tblLayout w:type="fixed"/>
        <w:tblLook w:val="01E0" w:firstRow="1" w:lastRow="1" w:firstColumn="1" w:lastColumn="1" w:noHBand="0" w:noVBand="0"/>
      </w:tblPr>
      <w:tblGrid>
        <w:gridCol w:w="1975"/>
        <w:gridCol w:w="4264"/>
        <w:gridCol w:w="3408"/>
      </w:tblGrid>
      <w:tr w:rsidR="00F61F8E" w:rsidRPr="002B3F36" w14:paraId="1C5EA29A" w14:textId="77777777" w:rsidTr="00F82096">
        <w:trPr>
          <w:trHeight w:val="420"/>
          <w:tblHeader/>
        </w:trPr>
        <w:tc>
          <w:tcPr>
            <w:tcW w:w="1975" w:type="dxa"/>
            <w:shd w:val="clear" w:color="auto" w:fill="D9D9D9"/>
            <w:vAlign w:val="center"/>
          </w:tcPr>
          <w:p w14:paraId="5CF4A78B" w14:textId="77777777" w:rsidR="00F61F8E" w:rsidRPr="002B3F36" w:rsidRDefault="000F264B" w:rsidP="005A68AD">
            <w:pPr>
              <w:pStyle w:val="TableParagraph"/>
              <w:spacing w:before="0"/>
              <w:ind w:left="122"/>
              <w:jc w:val="center"/>
              <w:rPr>
                <w:rFonts w:ascii="Arial" w:hAnsi="Arial" w:cs="Arial"/>
                <w:b/>
                <w:sz w:val="20"/>
                <w:szCs w:val="20"/>
              </w:rPr>
            </w:pPr>
            <w:r w:rsidRPr="002B3F36">
              <w:rPr>
                <w:rFonts w:ascii="Arial" w:hAnsi="Arial" w:cs="Arial"/>
                <w:b/>
                <w:spacing w:val="-2"/>
                <w:sz w:val="20"/>
                <w:szCs w:val="20"/>
              </w:rPr>
              <w:t>Characteristic</w:t>
            </w:r>
          </w:p>
        </w:tc>
        <w:tc>
          <w:tcPr>
            <w:tcW w:w="4264" w:type="dxa"/>
            <w:shd w:val="clear" w:color="auto" w:fill="D9D9D9"/>
            <w:vAlign w:val="center"/>
          </w:tcPr>
          <w:p w14:paraId="30CC5883" w14:textId="77777777" w:rsidR="00F61F8E" w:rsidRPr="002B3F36" w:rsidRDefault="000F264B" w:rsidP="005A68AD">
            <w:pPr>
              <w:pStyle w:val="TableParagraph"/>
              <w:spacing w:before="0"/>
              <w:ind w:left="102"/>
              <w:jc w:val="center"/>
              <w:rPr>
                <w:rFonts w:ascii="Arial" w:hAnsi="Arial" w:cs="Arial"/>
                <w:b/>
                <w:sz w:val="20"/>
                <w:szCs w:val="20"/>
              </w:rPr>
            </w:pPr>
            <w:r w:rsidRPr="002B3F36">
              <w:rPr>
                <w:rFonts w:ascii="Arial" w:hAnsi="Arial" w:cs="Arial"/>
                <w:b/>
                <w:spacing w:val="-2"/>
                <w:sz w:val="20"/>
                <w:szCs w:val="20"/>
              </w:rPr>
              <w:t>Definition</w:t>
            </w:r>
          </w:p>
        </w:tc>
        <w:tc>
          <w:tcPr>
            <w:tcW w:w="3408" w:type="dxa"/>
            <w:shd w:val="clear" w:color="auto" w:fill="D9D9D9"/>
            <w:vAlign w:val="center"/>
          </w:tcPr>
          <w:p w14:paraId="2A6C6B57" w14:textId="77777777" w:rsidR="00F61F8E" w:rsidRPr="002B3F36" w:rsidRDefault="000F264B" w:rsidP="005A68AD">
            <w:pPr>
              <w:pStyle w:val="TableParagraph"/>
              <w:spacing w:before="0"/>
              <w:ind w:left="102"/>
              <w:jc w:val="center"/>
              <w:rPr>
                <w:rFonts w:ascii="Arial" w:hAnsi="Arial" w:cs="Arial"/>
                <w:b/>
                <w:sz w:val="20"/>
                <w:szCs w:val="20"/>
              </w:rPr>
            </w:pPr>
            <w:r w:rsidRPr="002B3F36">
              <w:rPr>
                <w:rFonts w:ascii="Arial" w:hAnsi="Arial" w:cs="Arial"/>
                <w:b/>
                <w:spacing w:val="-2"/>
                <w:sz w:val="20"/>
                <w:szCs w:val="20"/>
              </w:rPr>
              <w:t>Designations</w:t>
            </w:r>
          </w:p>
        </w:tc>
      </w:tr>
      <w:tr w:rsidR="00F61F8E" w:rsidRPr="002B3F36" w14:paraId="76D7A3BB" w14:textId="77777777">
        <w:trPr>
          <w:trHeight w:val="916"/>
        </w:trPr>
        <w:tc>
          <w:tcPr>
            <w:tcW w:w="1975" w:type="dxa"/>
          </w:tcPr>
          <w:p w14:paraId="7590B80C" w14:textId="77777777" w:rsidR="00F61F8E" w:rsidRPr="002B3F36" w:rsidRDefault="000F264B" w:rsidP="005A68AD">
            <w:pPr>
              <w:pStyle w:val="TableParagraph"/>
              <w:spacing w:before="0"/>
              <w:ind w:left="122"/>
              <w:jc w:val="both"/>
              <w:rPr>
                <w:rFonts w:ascii="Arial" w:hAnsi="Arial" w:cs="Arial"/>
                <w:sz w:val="20"/>
                <w:szCs w:val="20"/>
              </w:rPr>
            </w:pPr>
            <w:r w:rsidRPr="002B3F36">
              <w:rPr>
                <w:rFonts w:ascii="Arial" w:hAnsi="Arial" w:cs="Arial"/>
                <w:spacing w:val="-4"/>
                <w:sz w:val="20"/>
                <w:szCs w:val="20"/>
              </w:rPr>
              <w:t>Type</w:t>
            </w:r>
          </w:p>
        </w:tc>
        <w:tc>
          <w:tcPr>
            <w:tcW w:w="4264" w:type="dxa"/>
          </w:tcPr>
          <w:p w14:paraId="4BF196D9" w14:textId="77777777" w:rsidR="00F61F8E" w:rsidRPr="002B3F36" w:rsidRDefault="000F264B" w:rsidP="005A68AD">
            <w:pPr>
              <w:pStyle w:val="TableParagraph"/>
              <w:spacing w:before="0"/>
              <w:ind w:left="102" w:right="136"/>
              <w:jc w:val="both"/>
              <w:rPr>
                <w:rFonts w:ascii="Arial" w:hAnsi="Arial" w:cs="Arial"/>
                <w:sz w:val="20"/>
                <w:szCs w:val="20"/>
              </w:rPr>
            </w:pPr>
            <w:r w:rsidRPr="002B3F36">
              <w:rPr>
                <w:rFonts w:ascii="Arial" w:hAnsi="Arial" w:cs="Arial"/>
                <w:sz w:val="20"/>
                <w:szCs w:val="20"/>
              </w:rPr>
              <w:t>A descriptor indicating the relationship of the potential impact to the Project (in terms of cause and effect).</w:t>
            </w:r>
          </w:p>
        </w:tc>
        <w:tc>
          <w:tcPr>
            <w:tcW w:w="3408" w:type="dxa"/>
          </w:tcPr>
          <w:p w14:paraId="0E34F1A8" w14:textId="77777777" w:rsidR="00F61F8E" w:rsidRPr="002B3F36" w:rsidRDefault="000F264B" w:rsidP="009B4CDB">
            <w:pPr>
              <w:pStyle w:val="TableParagraph"/>
              <w:numPr>
                <w:ilvl w:val="0"/>
                <w:numId w:val="59"/>
              </w:numPr>
              <w:tabs>
                <w:tab w:val="left" w:pos="462"/>
              </w:tabs>
              <w:spacing w:before="0"/>
              <w:ind w:left="462"/>
              <w:jc w:val="both"/>
              <w:rPr>
                <w:rFonts w:ascii="Arial" w:hAnsi="Arial" w:cs="Arial"/>
                <w:sz w:val="20"/>
                <w:szCs w:val="20"/>
              </w:rPr>
            </w:pPr>
            <w:r w:rsidRPr="002B3F36">
              <w:rPr>
                <w:rFonts w:ascii="Arial" w:hAnsi="Arial" w:cs="Arial"/>
                <w:spacing w:val="-2"/>
                <w:sz w:val="20"/>
                <w:szCs w:val="20"/>
              </w:rPr>
              <w:t>Direct</w:t>
            </w:r>
          </w:p>
          <w:p w14:paraId="20275FF2" w14:textId="77777777" w:rsidR="00F61F8E" w:rsidRPr="002B3F36" w:rsidRDefault="000F264B" w:rsidP="009B4CDB">
            <w:pPr>
              <w:pStyle w:val="TableParagraph"/>
              <w:numPr>
                <w:ilvl w:val="0"/>
                <w:numId w:val="59"/>
              </w:numPr>
              <w:tabs>
                <w:tab w:val="left" w:pos="462"/>
              </w:tabs>
              <w:spacing w:before="0"/>
              <w:ind w:left="462"/>
              <w:jc w:val="both"/>
              <w:rPr>
                <w:rFonts w:ascii="Arial" w:hAnsi="Arial" w:cs="Arial"/>
                <w:sz w:val="20"/>
                <w:szCs w:val="20"/>
              </w:rPr>
            </w:pPr>
            <w:r w:rsidRPr="002B3F36">
              <w:rPr>
                <w:rFonts w:ascii="Arial" w:hAnsi="Arial" w:cs="Arial"/>
                <w:spacing w:val="-2"/>
                <w:sz w:val="20"/>
                <w:szCs w:val="20"/>
              </w:rPr>
              <w:t>Indirect</w:t>
            </w:r>
          </w:p>
          <w:p w14:paraId="21989D4F" w14:textId="77777777" w:rsidR="00F61F8E" w:rsidRPr="002B3F36" w:rsidRDefault="000F264B" w:rsidP="009B4CDB">
            <w:pPr>
              <w:pStyle w:val="TableParagraph"/>
              <w:numPr>
                <w:ilvl w:val="0"/>
                <w:numId w:val="59"/>
              </w:numPr>
              <w:tabs>
                <w:tab w:val="left" w:pos="462"/>
              </w:tabs>
              <w:spacing w:before="0"/>
              <w:ind w:left="462"/>
              <w:jc w:val="both"/>
              <w:rPr>
                <w:rFonts w:ascii="Arial" w:hAnsi="Arial" w:cs="Arial"/>
                <w:sz w:val="20"/>
                <w:szCs w:val="20"/>
              </w:rPr>
            </w:pPr>
            <w:r w:rsidRPr="002B3F36">
              <w:rPr>
                <w:rFonts w:ascii="Arial" w:hAnsi="Arial" w:cs="Arial"/>
                <w:spacing w:val="-2"/>
                <w:sz w:val="20"/>
                <w:szCs w:val="20"/>
              </w:rPr>
              <w:t>Induced</w:t>
            </w:r>
          </w:p>
        </w:tc>
      </w:tr>
      <w:tr w:rsidR="00F61F8E" w:rsidRPr="002B3F36" w14:paraId="0860B126" w14:textId="77777777">
        <w:trPr>
          <w:trHeight w:val="923"/>
        </w:trPr>
        <w:tc>
          <w:tcPr>
            <w:tcW w:w="1975" w:type="dxa"/>
          </w:tcPr>
          <w:p w14:paraId="49B13A70" w14:textId="77777777" w:rsidR="00F61F8E" w:rsidRPr="002B3F36" w:rsidRDefault="000F264B" w:rsidP="005A68AD">
            <w:pPr>
              <w:pStyle w:val="TableParagraph"/>
              <w:spacing w:before="0"/>
              <w:ind w:left="122"/>
              <w:jc w:val="both"/>
              <w:rPr>
                <w:rFonts w:ascii="Arial" w:hAnsi="Arial" w:cs="Arial"/>
                <w:sz w:val="20"/>
                <w:szCs w:val="20"/>
              </w:rPr>
            </w:pPr>
            <w:r w:rsidRPr="002B3F36">
              <w:rPr>
                <w:rFonts w:ascii="Arial" w:hAnsi="Arial" w:cs="Arial"/>
                <w:spacing w:val="-2"/>
                <w:sz w:val="20"/>
                <w:szCs w:val="20"/>
              </w:rPr>
              <w:lastRenderedPageBreak/>
              <w:t>Extent</w:t>
            </w:r>
          </w:p>
        </w:tc>
        <w:tc>
          <w:tcPr>
            <w:tcW w:w="4264" w:type="dxa"/>
          </w:tcPr>
          <w:p w14:paraId="2F1BBE1E" w14:textId="77777777" w:rsidR="00F61F8E" w:rsidRPr="002B3F36" w:rsidRDefault="000F264B" w:rsidP="005A68AD">
            <w:pPr>
              <w:pStyle w:val="TableParagraph"/>
              <w:spacing w:before="0"/>
              <w:ind w:left="102" w:right="136"/>
              <w:jc w:val="both"/>
              <w:rPr>
                <w:rFonts w:ascii="Arial" w:hAnsi="Arial" w:cs="Arial"/>
                <w:sz w:val="20"/>
                <w:szCs w:val="20"/>
              </w:rPr>
            </w:pPr>
            <w:r w:rsidRPr="002B3F36">
              <w:rPr>
                <w:rFonts w:ascii="Arial" w:hAnsi="Arial" w:cs="Arial"/>
                <w:sz w:val="20"/>
                <w:szCs w:val="20"/>
              </w:rPr>
              <w:t>The “reach” of the potential impact (e.g., confined to a small area around the Project Footprint, projected for several km, etc.).</w:t>
            </w:r>
          </w:p>
        </w:tc>
        <w:tc>
          <w:tcPr>
            <w:tcW w:w="3408" w:type="dxa"/>
          </w:tcPr>
          <w:p w14:paraId="56596029" w14:textId="77777777" w:rsidR="00F61F8E" w:rsidRPr="002B3F36" w:rsidRDefault="000F264B" w:rsidP="009B4CDB">
            <w:pPr>
              <w:pStyle w:val="TableParagraph"/>
              <w:numPr>
                <w:ilvl w:val="0"/>
                <w:numId w:val="58"/>
              </w:numPr>
              <w:tabs>
                <w:tab w:val="left" w:pos="462"/>
              </w:tabs>
              <w:spacing w:before="0"/>
              <w:ind w:left="462"/>
              <w:jc w:val="both"/>
              <w:rPr>
                <w:rFonts w:ascii="Arial" w:hAnsi="Arial" w:cs="Arial"/>
                <w:sz w:val="20"/>
                <w:szCs w:val="20"/>
              </w:rPr>
            </w:pPr>
            <w:r w:rsidRPr="002B3F36">
              <w:rPr>
                <w:rFonts w:ascii="Arial" w:hAnsi="Arial" w:cs="Arial"/>
                <w:spacing w:val="-2"/>
                <w:sz w:val="20"/>
                <w:szCs w:val="20"/>
              </w:rPr>
              <w:t>Local</w:t>
            </w:r>
          </w:p>
          <w:p w14:paraId="3DCAE7E0" w14:textId="77777777" w:rsidR="00F61F8E" w:rsidRPr="002B3F36" w:rsidRDefault="000F264B" w:rsidP="009B4CDB">
            <w:pPr>
              <w:pStyle w:val="TableParagraph"/>
              <w:numPr>
                <w:ilvl w:val="0"/>
                <w:numId w:val="58"/>
              </w:numPr>
              <w:tabs>
                <w:tab w:val="left" w:pos="462"/>
              </w:tabs>
              <w:spacing w:before="0"/>
              <w:ind w:left="462"/>
              <w:jc w:val="both"/>
              <w:rPr>
                <w:rFonts w:ascii="Arial" w:hAnsi="Arial" w:cs="Arial"/>
                <w:sz w:val="20"/>
                <w:szCs w:val="20"/>
              </w:rPr>
            </w:pPr>
            <w:r w:rsidRPr="002B3F36">
              <w:rPr>
                <w:rFonts w:ascii="Arial" w:hAnsi="Arial" w:cs="Arial"/>
                <w:spacing w:val="-2"/>
                <w:sz w:val="20"/>
                <w:szCs w:val="20"/>
              </w:rPr>
              <w:t>Regional</w:t>
            </w:r>
          </w:p>
          <w:p w14:paraId="2C2E5431" w14:textId="77777777" w:rsidR="00F61F8E" w:rsidRPr="002B3F36" w:rsidRDefault="000F264B" w:rsidP="009B4CDB">
            <w:pPr>
              <w:pStyle w:val="TableParagraph"/>
              <w:numPr>
                <w:ilvl w:val="0"/>
                <w:numId w:val="58"/>
              </w:numPr>
              <w:tabs>
                <w:tab w:val="left" w:pos="462"/>
              </w:tabs>
              <w:spacing w:before="0"/>
              <w:ind w:left="462"/>
              <w:jc w:val="both"/>
              <w:rPr>
                <w:rFonts w:ascii="Arial" w:hAnsi="Arial" w:cs="Arial"/>
                <w:sz w:val="20"/>
                <w:szCs w:val="20"/>
              </w:rPr>
            </w:pPr>
            <w:r w:rsidRPr="002B3F36">
              <w:rPr>
                <w:rFonts w:ascii="Arial" w:hAnsi="Arial" w:cs="Arial"/>
                <w:spacing w:val="-2"/>
                <w:sz w:val="20"/>
                <w:szCs w:val="20"/>
              </w:rPr>
              <w:t>International</w:t>
            </w:r>
          </w:p>
        </w:tc>
      </w:tr>
      <w:tr w:rsidR="00F61F8E" w:rsidRPr="002B3F36" w14:paraId="1A80CFAA" w14:textId="77777777">
        <w:trPr>
          <w:trHeight w:val="1166"/>
        </w:trPr>
        <w:tc>
          <w:tcPr>
            <w:tcW w:w="1975" w:type="dxa"/>
          </w:tcPr>
          <w:p w14:paraId="0078AE04" w14:textId="77777777" w:rsidR="00F61F8E" w:rsidRPr="002B3F36" w:rsidRDefault="000F264B" w:rsidP="005A68AD">
            <w:pPr>
              <w:pStyle w:val="TableParagraph"/>
              <w:spacing w:before="0"/>
              <w:ind w:left="122"/>
              <w:jc w:val="both"/>
              <w:rPr>
                <w:rFonts w:ascii="Arial" w:hAnsi="Arial" w:cs="Arial"/>
                <w:sz w:val="20"/>
                <w:szCs w:val="20"/>
              </w:rPr>
            </w:pPr>
            <w:r w:rsidRPr="002B3F36">
              <w:rPr>
                <w:rFonts w:ascii="Arial" w:hAnsi="Arial" w:cs="Arial"/>
                <w:spacing w:val="-2"/>
                <w:sz w:val="20"/>
                <w:szCs w:val="20"/>
              </w:rPr>
              <w:t>Duration</w:t>
            </w:r>
          </w:p>
        </w:tc>
        <w:tc>
          <w:tcPr>
            <w:tcW w:w="4264" w:type="dxa"/>
          </w:tcPr>
          <w:p w14:paraId="30B86D33" w14:textId="77777777" w:rsidR="00F61F8E" w:rsidRPr="002B3F36" w:rsidRDefault="000F264B" w:rsidP="005A68AD">
            <w:pPr>
              <w:pStyle w:val="TableParagraph"/>
              <w:spacing w:before="0"/>
              <w:ind w:left="102"/>
              <w:jc w:val="both"/>
              <w:rPr>
                <w:rFonts w:ascii="Arial" w:hAnsi="Arial" w:cs="Arial"/>
                <w:sz w:val="20"/>
                <w:szCs w:val="20"/>
              </w:rPr>
            </w:pPr>
            <w:r w:rsidRPr="002B3F36">
              <w:rPr>
                <w:rFonts w:ascii="Arial" w:hAnsi="Arial" w:cs="Arial"/>
                <w:sz w:val="20"/>
                <w:szCs w:val="20"/>
              </w:rPr>
              <w:t>The time period over which a receptor is potentially affected.</w:t>
            </w:r>
          </w:p>
        </w:tc>
        <w:tc>
          <w:tcPr>
            <w:tcW w:w="3408" w:type="dxa"/>
          </w:tcPr>
          <w:p w14:paraId="2E421BA4" w14:textId="77777777" w:rsidR="00F61F8E" w:rsidRPr="002B3F36" w:rsidRDefault="000F264B" w:rsidP="009B4CDB">
            <w:pPr>
              <w:pStyle w:val="TableParagraph"/>
              <w:numPr>
                <w:ilvl w:val="0"/>
                <w:numId w:val="57"/>
              </w:numPr>
              <w:tabs>
                <w:tab w:val="left" w:pos="462"/>
              </w:tabs>
              <w:spacing w:before="0"/>
              <w:ind w:left="462"/>
              <w:jc w:val="both"/>
              <w:rPr>
                <w:rFonts w:ascii="Arial" w:hAnsi="Arial" w:cs="Arial"/>
                <w:sz w:val="20"/>
                <w:szCs w:val="20"/>
              </w:rPr>
            </w:pPr>
            <w:r w:rsidRPr="002B3F36">
              <w:rPr>
                <w:rFonts w:ascii="Arial" w:hAnsi="Arial" w:cs="Arial"/>
                <w:spacing w:val="-2"/>
                <w:sz w:val="20"/>
                <w:szCs w:val="20"/>
              </w:rPr>
              <w:t>Temporary</w:t>
            </w:r>
          </w:p>
          <w:p w14:paraId="392B26F3" w14:textId="77777777" w:rsidR="00F61F8E" w:rsidRPr="002B3F36" w:rsidRDefault="000F264B" w:rsidP="009B4CDB">
            <w:pPr>
              <w:pStyle w:val="TableParagraph"/>
              <w:numPr>
                <w:ilvl w:val="0"/>
                <w:numId w:val="57"/>
              </w:numPr>
              <w:tabs>
                <w:tab w:val="left" w:pos="462"/>
              </w:tabs>
              <w:spacing w:before="0"/>
              <w:ind w:left="462"/>
              <w:jc w:val="both"/>
              <w:rPr>
                <w:rFonts w:ascii="Arial" w:hAnsi="Arial" w:cs="Arial"/>
                <w:sz w:val="20"/>
                <w:szCs w:val="20"/>
              </w:rPr>
            </w:pPr>
            <w:r w:rsidRPr="002B3F36">
              <w:rPr>
                <w:rFonts w:ascii="Arial" w:hAnsi="Arial" w:cs="Arial"/>
                <w:sz w:val="20"/>
                <w:szCs w:val="20"/>
              </w:rPr>
              <w:t>Short-</w:t>
            </w:r>
            <w:r w:rsidRPr="002B3F36">
              <w:rPr>
                <w:rFonts w:ascii="Arial" w:hAnsi="Arial" w:cs="Arial"/>
                <w:spacing w:val="-4"/>
                <w:sz w:val="20"/>
                <w:szCs w:val="20"/>
              </w:rPr>
              <w:t>term</w:t>
            </w:r>
          </w:p>
          <w:p w14:paraId="47821B98" w14:textId="77777777" w:rsidR="00F61F8E" w:rsidRPr="002B3F36" w:rsidRDefault="000F264B" w:rsidP="009B4CDB">
            <w:pPr>
              <w:pStyle w:val="TableParagraph"/>
              <w:numPr>
                <w:ilvl w:val="0"/>
                <w:numId w:val="57"/>
              </w:numPr>
              <w:tabs>
                <w:tab w:val="left" w:pos="462"/>
              </w:tabs>
              <w:spacing w:before="0"/>
              <w:ind w:left="462"/>
              <w:jc w:val="both"/>
              <w:rPr>
                <w:rFonts w:ascii="Arial" w:hAnsi="Arial" w:cs="Arial"/>
                <w:sz w:val="20"/>
                <w:szCs w:val="20"/>
              </w:rPr>
            </w:pPr>
            <w:r w:rsidRPr="002B3F36">
              <w:rPr>
                <w:rFonts w:ascii="Arial" w:hAnsi="Arial" w:cs="Arial"/>
                <w:sz w:val="20"/>
                <w:szCs w:val="20"/>
              </w:rPr>
              <w:t>Long-</w:t>
            </w:r>
            <w:r w:rsidRPr="002B3F36">
              <w:rPr>
                <w:rFonts w:ascii="Arial" w:hAnsi="Arial" w:cs="Arial"/>
                <w:spacing w:val="-4"/>
                <w:sz w:val="20"/>
                <w:szCs w:val="20"/>
              </w:rPr>
              <w:t>term</w:t>
            </w:r>
          </w:p>
          <w:p w14:paraId="65697A2C" w14:textId="77777777" w:rsidR="00F61F8E" w:rsidRPr="002B3F36" w:rsidRDefault="000F264B" w:rsidP="009B4CDB">
            <w:pPr>
              <w:pStyle w:val="TableParagraph"/>
              <w:numPr>
                <w:ilvl w:val="0"/>
                <w:numId w:val="57"/>
              </w:numPr>
              <w:tabs>
                <w:tab w:val="left" w:pos="462"/>
              </w:tabs>
              <w:spacing w:before="0"/>
              <w:ind w:left="462"/>
              <w:jc w:val="both"/>
              <w:rPr>
                <w:rFonts w:ascii="Arial" w:hAnsi="Arial" w:cs="Arial"/>
                <w:sz w:val="20"/>
                <w:szCs w:val="20"/>
              </w:rPr>
            </w:pPr>
            <w:r w:rsidRPr="002B3F36">
              <w:rPr>
                <w:rFonts w:ascii="Arial" w:hAnsi="Arial" w:cs="Arial"/>
                <w:spacing w:val="-2"/>
                <w:sz w:val="20"/>
                <w:szCs w:val="20"/>
              </w:rPr>
              <w:t>Permanent</w:t>
            </w:r>
          </w:p>
        </w:tc>
      </w:tr>
      <w:tr w:rsidR="00F61F8E" w:rsidRPr="002B3F36" w14:paraId="5562FF69" w14:textId="77777777">
        <w:trPr>
          <w:trHeight w:val="1178"/>
        </w:trPr>
        <w:tc>
          <w:tcPr>
            <w:tcW w:w="1975" w:type="dxa"/>
          </w:tcPr>
          <w:p w14:paraId="5AAB72E4" w14:textId="77777777" w:rsidR="00F61F8E" w:rsidRPr="002B3F36" w:rsidRDefault="000F264B" w:rsidP="005A68AD">
            <w:pPr>
              <w:pStyle w:val="TableParagraph"/>
              <w:spacing w:before="0"/>
              <w:ind w:left="122"/>
              <w:jc w:val="both"/>
              <w:rPr>
                <w:rFonts w:ascii="Arial" w:hAnsi="Arial" w:cs="Arial"/>
                <w:sz w:val="20"/>
                <w:szCs w:val="20"/>
              </w:rPr>
            </w:pPr>
            <w:r w:rsidRPr="002B3F36">
              <w:rPr>
                <w:rFonts w:ascii="Arial" w:hAnsi="Arial" w:cs="Arial"/>
                <w:spacing w:val="-2"/>
                <w:sz w:val="20"/>
                <w:szCs w:val="20"/>
              </w:rPr>
              <w:t>Scale</w:t>
            </w:r>
          </w:p>
        </w:tc>
        <w:tc>
          <w:tcPr>
            <w:tcW w:w="4264" w:type="dxa"/>
          </w:tcPr>
          <w:p w14:paraId="7E636F43" w14:textId="77777777" w:rsidR="00F61F8E" w:rsidRPr="002B3F36" w:rsidRDefault="000F264B" w:rsidP="005A68AD">
            <w:pPr>
              <w:pStyle w:val="TableParagraph"/>
              <w:spacing w:before="0"/>
              <w:ind w:left="102" w:right="136"/>
              <w:jc w:val="both"/>
              <w:rPr>
                <w:rFonts w:ascii="Arial" w:hAnsi="Arial" w:cs="Arial"/>
                <w:sz w:val="20"/>
                <w:szCs w:val="20"/>
              </w:rPr>
            </w:pPr>
            <w:r w:rsidRPr="002B3F36">
              <w:rPr>
                <w:rFonts w:ascii="Arial" w:hAnsi="Arial" w:cs="Arial"/>
                <w:sz w:val="20"/>
                <w:szCs w:val="20"/>
              </w:rPr>
              <w:t>The size of the potential impact (e.g., the size of the</w:t>
            </w:r>
            <w:r w:rsidRPr="002B3F36">
              <w:rPr>
                <w:rFonts w:ascii="Arial" w:hAnsi="Arial" w:cs="Arial"/>
                <w:spacing w:val="34"/>
                <w:sz w:val="20"/>
                <w:szCs w:val="20"/>
              </w:rPr>
              <w:t xml:space="preserve"> </w:t>
            </w:r>
            <w:r w:rsidRPr="002B3F36">
              <w:rPr>
                <w:rFonts w:ascii="Arial" w:hAnsi="Arial" w:cs="Arial"/>
                <w:sz w:val="20"/>
                <w:szCs w:val="20"/>
              </w:rPr>
              <w:t>area</w:t>
            </w:r>
            <w:r w:rsidRPr="002B3F36">
              <w:rPr>
                <w:rFonts w:ascii="Arial" w:hAnsi="Arial" w:cs="Arial"/>
                <w:spacing w:val="32"/>
                <w:sz w:val="20"/>
                <w:szCs w:val="20"/>
              </w:rPr>
              <w:t xml:space="preserve"> </w:t>
            </w:r>
            <w:r w:rsidRPr="002B3F36">
              <w:rPr>
                <w:rFonts w:ascii="Arial" w:hAnsi="Arial" w:cs="Arial"/>
                <w:sz w:val="20"/>
                <w:szCs w:val="20"/>
              </w:rPr>
              <w:t>with the</w:t>
            </w:r>
            <w:r w:rsidRPr="002B3F36">
              <w:rPr>
                <w:rFonts w:ascii="Arial" w:hAnsi="Arial" w:cs="Arial"/>
                <w:spacing w:val="30"/>
                <w:sz w:val="20"/>
                <w:szCs w:val="20"/>
              </w:rPr>
              <w:t xml:space="preserve"> </w:t>
            </w:r>
            <w:r w:rsidRPr="002B3F36">
              <w:rPr>
                <w:rFonts w:ascii="Arial" w:hAnsi="Arial" w:cs="Arial"/>
                <w:sz w:val="20"/>
                <w:szCs w:val="20"/>
              </w:rPr>
              <w:t>potential</w:t>
            </w:r>
            <w:r w:rsidRPr="002B3F36">
              <w:rPr>
                <w:rFonts w:ascii="Arial" w:hAnsi="Arial" w:cs="Arial"/>
                <w:spacing w:val="31"/>
                <w:sz w:val="20"/>
                <w:szCs w:val="20"/>
              </w:rPr>
              <w:t xml:space="preserve"> </w:t>
            </w:r>
            <w:r w:rsidRPr="002B3F36">
              <w:rPr>
                <w:rFonts w:ascii="Arial" w:hAnsi="Arial" w:cs="Arial"/>
                <w:sz w:val="20"/>
                <w:szCs w:val="20"/>
              </w:rPr>
              <w:t>to</w:t>
            </w:r>
            <w:r w:rsidRPr="002B3F36">
              <w:rPr>
                <w:rFonts w:ascii="Arial" w:hAnsi="Arial" w:cs="Arial"/>
                <w:spacing w:val="31"/>
                <w:sz w:val="20"/>
                <w:szCs w:val="20"/>
              </w:rPr>
              <w:t xml:space="preserve"> </w:t>
            </w:r>
            <w:r w:rsidRPr="002B3F36">
              <w:rPr>
                <w:rFonts w:ascii="Arial" w:hAnsi="Arial" w:cs="Arial"/>
                <w:sz w:val="20"/>
                <w:szCs w:val="20"/>
              </w:rPr>
              <w:t>be</w:t>
            </w:r>
            <w:r w:rsidRPr="002B3F36">
              <w:rPr>
                <w:rFonts w:ascii="Arial" w:hAnsi="Arial" w:cs="Arial"/>
                <w:spacing w:val="30"/>
                <w:sz w:val="20"/>
                <w:szCs w:val="20"/>
              </w:rPr>
              <w:t xml:space="preserve"> </w:t>
            </w:r>
            <w:r w:rsidRPr="002B3F36">
              <w:rPr>
                <w:rFonts w:ascii="Arial" w:hAnsi="Arial" w:cs="Arial"/>
                <w:sz w:val="20"/>
                <w:szCs w:val="20"/>
              </w:rPr>
              <w:t>damaged or impacted, the fraction of a resource that could potentially be lost or affected, etc.).</w:t>
            </w:r>
          </w:p>
        </w:tc>
        <w:tc>
          <w:tcPr>
            <w:tcW w:w="3408" w:type="dxa"/>
          </w:tcPr>
          <w:p w14:paraId="47B066C2" w14:textId="77777777" w:rsidR="00F61F8E" w:rsidRPr="002B3F36" w:rsidRDefault="000F264B" w:rsidP="005A68AD">
            <w:pPr>
              <w:pStyle w:val="TableParagraph"/>
              <w:spacing w:before="0"/>
              <w:ind w:left="102" w:right="204"/>
              <w:jc w:val="both"/>
              <w:rPr>
                <w:rFonts w:ascii="Arial" w:hAnsi="Arial" w:cs="Arial"/>
                <w:sz w:val="20"/>
                <w:szCs w:val="20"/>
              </w:rPr>
            </w:pPr>
            <w:r w:rsidRPr="002B3F36">
              <w:rPr>
                <w:rFonts w:ascii="Arial" w:hAnsi="Arial" w:cs="Arial"/>
                <w:sz w:val="20"/>
                <w:szCs w:val="20"/>
              </w:rPr>
              <w:t xml:space="preserve">[no fixed designations; intended to be a numerical value or a qualitative description of </w:t>
            </w:r>
            <w:r w:rsidRPr="002B3F36">
              <w:rPr>
                <w:rFonts w:ascii="Arial" w:hAnsi="Arial" w:cs="Arial"/>
                <w:spacing w:val="-2"/>
                <w:sz w:val="20"/>
                <w:szCs w:val="20"/>
              </w:rPr>
              <w:t>“intensity”]</w:t>
            </w:r>
          </w:p>
        </w:tc>
      </w:tr>
      <w:tr w:rsidR="00F61F8E" w:rsidRPr="002B3F36" w14:paraId="763276EA" w14:textId="77777777">
        <w:trPr>
          <w:trHeight w:val="913"/>
        </w:trPr>
        <w:tc>
          <w:tcPr>
            <w:tcW w:w="1975" w:type="dxa"/>
          </w:tcPr>
          <w:p w14:paraId="51ED3E4D" w14:textId="77777777" w:rsidR="00F61F8E" w:rsidRPr="002B3F36" w:rsidRDefault="000F264B" w:rsidP="005A68AD">
            <w:pPr>
              <w:pStyle w:val="TableParagraph"/>
              <w:spacing w:before="0"/>
              <w:ind w:left="122"/>
              <w:jc w:val="both"/>
              <w:rPr>
                <w:rFonts w:ascii="Arial" w:hAnsi="Arial" w:cs="Arial"/>
                <w:sz w:val="20"/>
                <w:szCs w:val="20"/>
              </w:rPr>
            </w:pPr>
            <w:r w:rsidRPr="002B3F36">
              <w:rPr>
                <w:rFonts w:ascii="Arial" w:hAnsi="Arial" w:cs="Arial"/>
                <w:spacing w:val="-2"/>
                <w:sz w:val="20"/>
                <w:szCs w:val="20"/>
              </w:rPr>
              <w:t>Frequency</w:t>
            </w:r>
          </w:p>
        </w:tc>
        <w:tc>
          <w:tcPr>
            <w:tcW w:w="4264" w:type="dxa"/>
          </w:tcPr>
          <w:p w14:paraId="157C040A" w14:textId="77777777" w:rsidR="00F61F8E" w:rsidRPr="002B3F36" w:rsidRDefault="000F264B" w:rsidP="005A68AD">
            <w:pPr>
              <w:pStyle w:val="TableParagraph"/>
              <w:spacing w:before="0"/>
              <w:ind w:left="102" w:right="207"/>
              <w:jc w:val="both"/>
              <w:rPr>
                <w:rFonts w:ascii="Arial" w:hAnsi="Arial" w:cs="Arial"/>
                <w:sz w:val="20"/>
                <w:szCs w:val="20"/>
              </w:rPr>
            </w:pPr>
            <w:r w:rsidRPr="002B3F36">
              <w:rPr>
                <w:rFonts w:ascii="Arial" w:hAnsi="Arial" w:cs="Arial"/>
                <w:sz w:val="20"/>
                <w:szCs w:val="20"/>
              </w:rPr>
              <w:t>A measure of the constancy or periodicity of the potential impact.</w:t>
            </w:r>
          </w:p>
        </w:tc>
        <w:tc>
          <w:tcPr>
            <w:tcW w:w="3408" w:type="dxa"/>
          </w:tcPr>
          <w:p w14:paraId="51B3B4F8" w14:textId="77777777" w:rsidR="00F61F8E" w:rsidRPr="002B3F36" w:rsidRDefault="000F264B" w:rsidP="005A68AD">
            <w:pPr>
              <w:pStyle w:val="TableParagraph"/>
              <w:spacing w:before="0"/>
              <w:ind w:left="102" w:right="204"/>
              <w:jc w:val="both"/>
              <w:rPr>
                <w:rFonts w:ascii="Arial" w:hAnsi="Arial" w:cs="Arial"/>
                <w:sz w:val="20"/>
                <w:szCs w:val="20"/>
              </w:rPr>
            </w:pPr>
            <w:r w:rsidRPr="002B3F36">
              <w:rPr>
                <w:rFonts w:ascii="Arial" w:hAnsi="Arial" w:cs="Arial"/>
                <w:sz w:val="20"/>
                <w:szCs w:val="20"/>
              </w:rPr>
              <w:t>[no fixed designations; intended to be a numerical value or a qualitative description]</w:t>
            </w:r>
          </w:p>
        </w:tc>
      </w:tr>
    </w:tbl>
    <w:p w14:paraId="0908F3A2" w14:textId="77777777" w:rsidR="00F61F8E" w:rsidRPr="002B3F36" w:rsidRDefault="00F61F8E" w:rsidP="00160801">
      <w:pPr>
        <w:pStyle w:val="ReportBodyPar"/>
      </w:pPr>
    </w:p>
    <w:p w14:paraId="377754CF" w14:textId="0D448CBC" w:rsidR="00F61F8E" w:rsidRPr="002B3F36" w:rsidRDefault="000F264B" w:rsidP="00160801">
      <w:pPr>
        <w:pStyle w:val="ReportBodyPar"/>
      </w:pPr>
      <w:r w:rsidRPr="002B3F36">
        <w:t>The</w:t>
      </w:r>
      <w:r w:rsidRPr="002B3F36">
        <w:rPr>
          <w:spacing w:val="-5"/>
        </w:rPr>
        <w:t xml:space="preserve"> </w:t>
      </w:r>
      <w:r w:rsidRPr="002B3F36">
        <w:t>definitions</w:t>
      </w:r>
      <w:r w:rsidRPr="002B3F36">
        <w:rPr>
          <w:spacing w:val="-5"/>
        </w:rPr>
        <w:t xml:space="preserve"> </w:t>
      </w:r>
      <w:r w:rsidRPr="002B3F36">
        <w:t>for</w:t>
      </w:r>
      <w:r w:rsidRPr="002B3F36">
        <w:rPr>
          <w:spacing w:val="-5"/>
        </w:rPr>
        <w:t xml:space="preserve"> </w:t>
      </w:r>
      <w:r w:rsidRPr="002B3F36">
        <w:t>the</w:t>
      </w:r>
      <w:r w:rsidRPr="002B3F36">
        <w:rPr>
          <w:spacing w:val="-3"/>
        </w:rPr>
        <w:t xml:space="preserve"> </w:t>
      </w:r>
      <w:r w:rsidRPr="002B3F36">
        <w:t>“type”</w:t>
      </w:r>
      <w:r w:rsidRPr="002B3F36">
        <w:rPr>
          <w:spacing w:val="-4"/>
        </w:rPr>
        <w:t xml:space="preserve"> </w:t>
      </w:r>
      <w:r w:rsidRPr="002B3F36">
        <w:t>designations</w:t>
      </w:r>
      <w:r w:rsidRPr="002B3F36">
        <w:rPr>
          <w:spacing w:val="-5"/>
        </w:rPr>
        <w:t xml:space="preserve"> </w:t>
      </w:r>
      <w:r w:rsidRPr="002B3F36">
        <w:t>are</w:t>
      </w:r>
      <w:r w:rsidRPr="002B3F36">
        <w:rPr>
          <w:spacing w:val="-3"/>
        </w:rPr>
        <w:t xml:space="preserve"> </w:t>
      </w:r>
      <w:r w:rsidRPr="002B3F36">
        <w:t>shown</w:t>
      </w:r>
      <w:r w:rsidR="005A552C" w:rsidRPr="002B3F36">
        <w:t xml:space="preserve"> in the Table below</w:t>
      </w:r>
      <w:r w:rsidR="005A552C" w:rsidRPr="002B3F36">
        <w:rPr>
          <w:b/>
        </w:rPr>
        <w:t>.</w:t>
      </w:r>
      <w:r w:rsidRPr="002B3F36">
        <w:rPr>
          <w:spacing w:val="-5"/>
        </w:rPr>
        <w:t xml:space="preserve"> </w:t>
      </w:r>
      <w:r w:rsidRPr="002B3F36">
        <w:t>Definitions</w:t>
      </w:r>
      <w:r w:rsidRPr="002B3F36">
        <w:rPr>
          <w:spacing w:val="-5"/>
        </w:rPr>
        <w:t xml:space="preserve"> </w:t>
      </w:r>
      <w:r w:rsidRPr="002B3F36">
        <w:t>for</w:t>
      </w:r>
      <w:r w:rsidRPr="002B3F36">
        <w:rPr>
          <w:spacing w:val="-5"/>
        </w:rPr>
        <w:t xml:space="preserve"> </w:t>
      </w:r>
      <w:r w:rsidRPr="002B3F36">
        <w:t>the</w:t>
      </w:r>
      <w:r w:rsidRPr="002B3F36">
        <w:rPr>
          <w:spacing w:val="-3"/>
        </w:rPr>
        <w:t xml:space="preserve"> </w:t>
      </w:r>
      <w:r w:rsidRPr="002B3F36">
        <w:t>other designations are receptor-specific and are discussed in the receptor-specific impact assessment sections presented later in the report.</w:t>
      </w:r>
    </w:p>
    <w:p w14:paraId="4EE16766" w14:textId="77777777" w:rsidR="00F61F8E" w:rsidRPr="002B3F36" w:rsidRDefault="00F61F8E" w:rsidP="00323ED5">
      <w:pPr>
        <w:pStyle w:val="ReportBodyTextNogap"/>
      </w:pPr>
    </w:p>
    <w:p w14:paraId="38489709" w14:textId="4A82BBB9" w:rsidR="00F61F8E" w:rsidRPr="002B3F36" w:rsidRDefault="00096BA2" w:rsidP="001A7316">
      <w:pPr>
        <w:pStyle w:val="CaptionTable"/>
      </w:pPr>
      <w:bookmarkStart w:id="2143" w:name="_bookmark122"/>
      <w:bookmarkStart w:id="2144" w:name="_Toc210589571"/>
      <w:bookmarkEnd w:id="2143"/>
      <w:r w:rsidRPr="002B3F36">
        <w:t xml:space="preserve">Table </w:t>
      </w:r>
      <w:r w:rsidR="0021258E" w:rsidRPr="002B3F36">
        <w:rPr>
          <w:iCs/>
        </w:rPr>
        <w:fldChar w:fldCharType="begin"/>
      </w:r>
      <w:r w:rsidR="0021258E" w:rsidRPr="002B3F36">
        <w:rPr>
          <w:iCs/>
          <w:noProof/>
        </w:rPr>
        <w:instrText xml:space="preserve"> SEQ Table \* ARABIC </w:instrText>
      </w:r>
      <w:r w:rsidR="0021258E" w:rsidRPr="002B3F36">
        <w:rPr>
          <w:iCs/>
        </w:rPr>
        <w:fldChar w:fldCharType="separate"/>
      </w:r>
      <w:r w:rsidR="00A023DA">
        <w:rPr>
          <w:iCs/>
          <w:noProof/>
        </w:rPr>
        <w:t>27</w:t>
      </w:r>
      <w:r w:rsidR="0021258E" w:rsidRPr="002B3F36">
        <w:rPr>
          <w:iCs/>
        </w:rPr>
        <w:fldChar w:fldCharType="end"/>
      </w:r>
      <w:r w:rsidR="000F264B" w:rsidRPr="002B3F36">
        <w:rPr>
          <w:spacing w:val="-5"/>
        </w:rPr>
        <w:t>:</w:t>
      </w:r>
      <w:r w:rsidR="006D654A" w:rsidRPr="002B3F36">
        <w:rPr>
          <w:spacing w:val="-5"/>
        </w:rPr>
        <w:t xml:space="preserve"> </w:t>
      </w:r>
      <w:r w:rsidR="00D47B1A" w:rsidRPr="002B3F36">
        <w:rPr>
          <w:spacing w:val="-5"/>
        </w:rPr>
        <w:t xml:space="preserve">Impact </w:t>
      </w:r>
      <w:r w:rsidR="000F264B" w:rsidRPr="002B3F36">
        <w:t>Designation</w:t>
      </w:r>
      <w:r w:rsidR="000F264B" w:rsidRPr="002B3F36">
        <w:rPr>
          <w:spacing w:val="20"/>
        </w:rPr>
        <w:t xml:space="preserve"> </w:t>
      </w:r>
      <w:r w:rsidR="000F264B" w:rsidRPr="002B3F36">
        <w:rPr>
          <w:spacing w:val="-2"/>
        </w:rPr>
        <w:t>Definitions</w:t>
      </w:r>
      <w:bookmarkEnd w:id="2144"/>
    </w:p>
    <w:tbl>
      <w:tblPr>
        <w:tblStyle w:val="TableGrid2"/>
        <w:tblW w:w="0" w:type="auto"/>
        <w:tblLayout w:type="fixed"/>
        <w:tblLook w:val="01E0" w:firstRow="1" w:lastRow="1" w:firstColumn="1" w:lastColumn="1" w:noHBand="0" w:noVBand="0"/>
      </w:tblPr>
      <w:tblGrid>
        <w:gridCol w:w="1795"/>
        <w:gridCol w:w="7839"/>
      </w:tblGrid>
      <w:tr w:rsidR="00F61F8E" w:rsidRPr="002B3F36" w14:paraId="146DECD3" w14:textId="77777777" w:rsidTr="00F82096">
        <w:trPr>
          <w:trHeight w:val="420"/>
          <w:tblHeader/>
        </w:trPr>
        <w:tc>
          <w:tcPr>
            <w:tcW w:w="1795" w:type="dxa"/>
            <w:shd w:val="clear" w:color="auto" w:fill="D9D9D9"/>
            <w:vAlign w:val="center"/>
          </w:tcPr>
          <w:p w14:paraId="7BF77D55" w14:textId="77777777" w:rsidR="00F61F8E" w:rsidRPr="002B3F36" w:rsidRDefault="000F264B" w:rsidP="00160801">
            <w:pPr>
              <w:pStyle w:val="TableParagraph"/>
              <w:spacing w:before="0"/>
              <w:ind w:left="108"/>
              <w:jc w:val="center"/>
              <w:rPr>
                <w:rFonts w:ascii="Arial" w:hAnsi="Arial" w:cs="Arial"/>
                <w:b/>
                <w:sz w:val="20"/>
                <w:szCs w:val="20"/>
              </w:rPr>
            </w:pPr>
            <w:r w:rsidRPr="002B3F36">
              <w:rPr>
                <w:rFonts w:ascii="Arial" w:hAnsi="Arial" w:cs="Arial"/>
                <w:b/>
                <w:spacing w:val="-2"/>
                <w:sz w:val="20"/>
                <w:szCs w:val="20"/>
              </w:rPr>
              <w:t>Designation</w:t>
            </w:r>
          </w:p>
        </w:tc>
        <w:tc>
          <w:tcPr>
            <w:tcW w:w="7839" w:type="dxa"/>
            <w:shd w:val="clear" w:color="auto" w:fill="D9D9D9"/>
            <w:vAlign w:val="center"/>
          </w:tcPr>
          <w:p w14:paraId="609021CF" w14:textId="77777777" w:rsidR="00F61F8E" w:rsidRPr="002B3F36" w:rsidRDefault="000F264B" w:rsidP="00160801">
            <w:pPr>
              <w:pStyle w:val="TableParagraph"/>
              <w:spacing w:before="0"/>
              <w:ind w:left="102"/>
              <w:jc w:val="center"/>
              <w:rPr>
                <w:rFonts w:ascii="Arial" w:hAnsi="Arial" w:cs="Arial"/>
                <w:b/>
                <w:sz w:val="20"/>
                <w:szCs w:val="20"/>
              </w:rPr>
            </w:pPr>
            <w:r w:rsidRPr="002B3F36">
              <w:rPr>
                <w:rFonts w:ascii="Arial" w:hAnsi="Arial" w:cs="Arial"/>
                <w:b/>
                <w:spacing w:val="-2"/>
                <w:sz w:val="20"/>
                <w:szCs w:val="20"/>
              </w:rPr>
              <w:t>Definition</w:t>
            </w:r>
          </w:p>
        </w:tc>
      </w:tr>
      <w:tr w:rsidR="00F61F8E" w:rsidRPr="002B3F36" w14:paraId="569C5A3C" w14:textId="77777777">
        <w:trPr>
          <w:trHeight w:val="412"/>
        </w:trPr>
        <w:tc>
          <w:tcPr>
            <w:tcW w:w="9634" w:type="dxa"/>
            <w:gridSpan w:val="2"/>
          </w:tcPr>
          <w:p w14:paraId="58232056" w14:textId="77777777" w:rsidR="00F61F8E" w:rsidRPr="002B3F36" w:rsidRDefault="000F264B" w:rsidP="00160801">
            <w:pPr>
              <w:pStyle w:val="TableParagraph"/>
              <w:spacing w:before="0"/>
              <w:ind w:left="108"/>
              <w:jc w:val="both"/>
              <w:rPr>
                <w:rFonts w:ascii="Arial" w:hAnsi="Arial" w:cs="Arial"/>
                <w:b/>
                <w:sz w:val="20"/>
                <w:szCs w:val="20"/>
              </w:rPr>
            </w:pPr>
            <w:r w:rsidRPr="002B3F36">
              <w:rPr>
                <w:rFonts w:ascii="Arial" w:hAnsi="Arial" w:cs="Arial"/>
                <w:b/>
                <w:spacing w:val="-4"/>
                <w:sz w:val="20"/>
                <w:szCs w:val="20"/>
              </w:rPr>
              <w:t>Type</w:t>
            </w:r>
          </w:p>
        </w:tc>
      </w:tr>
      <w:tr w:rsidR="00F61F8E" w:rsidRPr="002B3F36" w14:paraId="66EE8D4E" w14:textId="77777777" w:rsidTr="00160801">
        <w:trPr>
          <w:trHeight w:val="849"/>
        </w:trPr>
        <w:tc>
          <w:tcPr>
            <w:tcW w:w="1795" w:type="dxa"/>
          </w:tcPr>
          <w:p w14:paraId="473E8537"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Direct</w:t>
            </w:r>
          </w:p>
        </w:tc>
        <w:tc>
          <w:tcPr>
            <w:tcW w:w="7839" w:type="dxa"/>
          </w:tcPr>
          <w:p w14:paraId="44896B84" w14:textId="77777777" w:rsidR="00F61F8E" w:rsidRPr="002B3F36" w:rsidRDefault="000F264B" w:rsidP="00160801">
            <w:pPr>
              <w:pStyle w:val="TableParagraph"/>
              <w:spacing w:before="0"/>
              <w:ind w:left="102" w:right="471"/>
              <w:jc w:val="both"/>
              <w:rPr>
                <w:rFonts w:ascii="Arial" w:hAnsi="Arial" w:cs="Arial"/>
                <w:sz w:val="20"/>
                <w:szCs w:val="20"/>
              </w:rPr>
            </w:pPr>
            <w:r w:rsidRPr="002B3F36">
              <w:rPr>
                <w:rFonts w:ascii="Arial" w:hAnsi="Arial" w:cs="Arial"/>
                <w:sz w:val="20"/>
                <w:szCs w:val="20"/>
              </w:rPr>
              <w:t>Potential impacts that result from a direct interaction between the Project and a</w:t>
            </w:r>
            <w:r w:rsidRPr="002B3F36">
              <w:rPr>
                <w:rFonts w:ascii="Arial" w:hAnsi="Arial" w:cs="Arial"/>
                <w:spacing w:val="80"/>
                <w:sz w:val="20"/>
                <w:szCs w:val="20"/>
              </w:rPr>
              <w:t xml:space="preserve"> </w:t>
            </w:r>
            <w:r w:rsidRPr="002B3F36">
              <w:rPr>
                <w:rFonts w:ascii="Arial" w:hAnsi="Arial" w:cs="Arial"/>
                <w:sz w:val="20"/>
                <w:szCs w:val="20"/>
              </w:rPr>
              <w:t>resource/receptor (e.g., between occupation of a plot of land and the</w:t>
            </w:r>
            <w:r w:rsidRPr="002B3F36">
              <w:rPr>
                <w:rFonts w:ascii="Arial" w:hAnsi="Arial" w:cs="Arial"/>
                <w:spacing w:val="40"/>
                <w:sz w:val="20"/>
                <w:szCs w:val="20"/>
              </w:rPr>
              <w:t xml:space="preserve"> </w:t>
            </w:r>
            <w:r w:rsidRPr="002B3F36">
              <w:rPr>
                <w:rFonts w:ascii="Arial" w:hAnsi="Arial" w:cs="Arial"/>
                <w:sz w:val="20"/>
                <w:szCs w:val="20"/>
              </w:rPr>
              <w:t>habitats</w:t>
            </w:r>
            <w:r w:rsidRPr="002B3F36">
              <w:rPr>
                <w:rFonts w:ascii="Arial" w:hAnsi="Arial" w:cs="Arial"/>
                <w:spacing w:val="40"/>
                <w:sz w:val="20"/>
                <w:szCs w:val="20"/>
              </w:rPr>
              <w:t xml:space="preserve"> </w:t>
            </w:r>
            <w:r w:rsidRPr="002B3F36">
              <w:rPr>
                <w:rFonts w:ascii="Arial" w:hAnsi="Arial" w:cs="Arial"/>
                <w:sz w:val="20"/>
                <w:szCs w:val="20"/>
              </w:rPr>
              <w:t>which are affected).</w:t>
            </w:r>
          </w:p>
        </w:tc>
      </w:tr>
      <w:tr w:rsidR="00F61F8E" w:rsidRPr="002B3F36" w14:paraId="7F8DA96C" w14:textId="77777777">
        <w:trPr>
          <w:trHeight w:val="1165"/>
        </w:trPr>
        <w:tc>
          <w:tcPr>
            <w:tcW w:w="1795" w:type="dxa"/>
          </w:tcPr>
          <w:p w14:paraId="68AFC7D1"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Indirect</w:t>
            </w:r>
          </w:p>
        </w:tc>
        <w:tc>
          <w:tcPr>
            <w:tcW w:w="7839" w:type="dxa"/>
          </w:tcPr>
          <w:p w14:paraId="3A919F00" w14:textId="77777777" w:rsidR="00F61F8E" w:rsidRPr="002B3F36" w:rsidRDefault="000F264B" w:rsidP="00160801">
            <w:pPr>
              <w:pStyle w:val="TableParagraph"/>
              <w:spacing w:before="0"/>
              <w:ind w:left="102" w:right="152"/>
              <w:jc w:val="both"/>
              <w:rPr>
                <w:rFonts w:ascii="Arial" w:hAnsi="Arial" w:cs="Arial"/>
                <w:sz w:val="20"/>
                <w:szCs w:val="20"/>
              </w:rPr>
            </w:pPr>
            <w:r w:rsidRPr="002B3F36">
              <w:rPr>
                <w:rFonts w:ascii="Arial" w:hAnsi="Arial" w:cs="Arial"/>
                <w:sz w:val="20"/>
                <w:szCs w:val="20"/>
              </w:rPr>
              <w:t>Potential</w:t>
            </w:r>
            <w:r w:rsidRPr="002B3F36">
              <w:rPr>
                <w:rFonts w:ascii="Arial" w:hAnsi="Arial" w:cs="Arial"/>
                <w:spacing w:val="40"/>
                <w:sz w:val="20"/>
                <w:szCs w:val="20"/>
              </w:rPr>
              <w:t xml:space="preserve"> </w:t>
            </w:r>
            <w:r w:rsidRPr="002B3F36">
              <w:rPr>
                <w:rFonts w:ascii="Arial" w:hAnsi="Arial" w:cs="Arial"/>
                <w:sz w:val="20"/>
                <w:szCs w:val="20"/>
              </w:rPr>
              <w:t>impacts</w:t>
            </w:r>
            <w:r w:rsidRPr="002B3F36">
              <w:rPr>
                <w:rFonts w:ascii="Arial" w:hAnsi="Arial" w:cs="Arial"/>
                <w:spacing w:val="35"/>
                <w:sz w:val="20"/>
                <w:szCs w:val="20"/>
              </w:rPr>
              <w:t xml:space="preserve"> </w:t>
            </w:r>
            <w:r w:rsidRPr="002B3F36">
              <w:rPr>
                <w:rFonts w:ascii="Arial" w:hAnsi="Arial" w:cs="Arial"/>
                <w:sz w:val="20"/>
                <w:szCs w:val="20"/>
              </w:rPr>
              <w:t>that</w:t>
            </w:r>
            <w:r w:rsidRPr="002B3F36">
              <w:rPr>
                <w:rFonts w:ascii="Arial" w:hAnsi="Arial" w:cs="Arial"/>
                <w:spacing w:val="40"/>
                <w:sz w:val="20"/>
                <w:szCs w:val="20"/>
              </w:rPr>
              <w:t xml:space="preserve"> </w:t>
            </w:r>
            <w:r w:rsidRPr="002B3F36">
              <w:rPr>
                <w:rFonts w:ascii="Arial" w:hAnsi="Arial" w:cs="Arial"/>
                <w:sz w:val="20"/>
                <w:szCs w:val="20"/>
              </w:rPr>
              <w:t>follow</w:t>
            </w:r>
            <w:r w:rsidRPr="002B3F36">
              <w:rPr>
                <w:rFonts w:ascii="Arial" w:hAnsi="Arial" w:cs="Arial"/>
                <w:spacing w:val="35"/>
                <w:sz w:val="20"/>
                <w:szCs w:val="20"/>
              </w:rPr>
              <w:t xml:space="preserve"> </w:t>
            </w:r>
            <w:r w:rsidRPr="002B3F36">
              <w:rPr>
                <w:rFonts w:ascii="Arial" w:hAnsi="Arial" w:cs="Arial"/>
                <w:sz w:val="20"/>
                <w:szCs w:val="20"/>
              </w:rPr>
              <w:t>on</w:t>
            </w:r>
            <w:r w:rsidRPr="002B3F36">
              <w:rPr>
                <w:rFonts w:ascii="Arial" w:hAnsi="Arial" w:cs="Arial"/>
                <w:spacing w:val="38"/>
                <w:sz w:val="20"/>
                <w:szCs w:val="20"/>
              </w:rPr>
              <w:t xml:space="preserve"> </w:t>
            </w:r>
            <w:r w:rsidRPr="002B3F36">
              <w:rPr>
                <w:rFonts w:ascii="Arial" w:hAnsi="Arial" w:cs="Arial"/>
                <w:sz w:val="20"/>
                <w:szCs w:val="20"/>
              </w:rPr>
              <w:t>from</w:t>
            </w:r>
            <w:r w:rsidRPr="002B3F36">
              <w:rPr>
                <w:rFonts w:ascii="Arial" w:hAnsi="Arial" w:cs="Arial"/>
                <w:spacing w:val="37"/>
                <w:sz w:val="20"/>
                <w:szCs w:val="20"/>
              </w:rPr>
              <w:t xml:space="preserve"> </w:t>
            </w:r>
            <w:r w:rsidRPr="002B3F36">
              <w:rPr>
                <w:rFonts w:ascii="Arial" w:hAnsi="Arial" w:cs="Arial"/>
                <w:sz w:val="20"/>
                <w:szCs w:val="20"/>
              </w:rPr>
              <w:t>the</w:t>
            </w:r>
            <w:r w:rsidRPr="002B3F36">
              <w:rPr>
                <w:rFonts w:ascii="Arial" w:hAnsi="Arial" w:cs="Arial"/>
                <w:spacing w:val="37"/>
                <w:sz w:val="20"/>
                <w:szCs w:val="20"/>
              </w:rPr>
              <w:t xml:space="preserve"> </w:t>
            </w:r>
            <w:r w:rsidRPr="002B3F36">
              <w:rPr>
                <w:rFonts w:ascii="Arial" w:hAnsi="Arial" w:cs="Arial"/>
                <w:sz w:val="20"/>
                <w:szCs w:val="20"/>
              </w:rPr>
              <w:t>direct</w:t>
            </w:r>
            <w:r w:rsidRPr="002B3F36">
              <w:rPr>
                <w:rFonts w:ascii="Arial" w:hAnsi="Arial" w:cs="Arial"/>
                <w:spacing w:val="38"/>
                <w:sz w:val="20"/>
                <w:szCs w:val="20"/>
              </w:rPr>
              <w:t xml:space="preserve"> </w:t>
            </w:r>
            <w:r w:rsidRPr="002B3F36">
              <w:rPr>
                <w:rFonts w:ascii="Arial" w:hAnsi="Arial" w:cs="Arial"/>
                <w:sz w:val="20"/>
                <w:szCs w:val="20"/>
              </w:rPr>
              <w:t>interactions</w:t>
            </w:r>
            <w:r w:rsidRPr="002B3F36">
              <w:rPr>
                <w:rFonts w:ascii="Arial" w:hAnsi="Arial" w:cs="Arial"/>
                <w:spacing w:val="35"/>
                <w:sz w:val="20"/>
                <w:szCs w:val="20"/>
              </w:rPr>
              <w:t xml:space="preserve"> </w:t>
            </w:r>
            <w:r w:rsidRPr="002B3F36">
              <w:rPr>
                <w:rFonts w:ascii="Arial" w:hAnsi="Arial" w:cs="Arial"/>
                <w:sz w:val="20"/>
                <w:szCs w:val="20"/>
              </w:rPr>
              <w:t>between</w:t>
            </w:r>
            <w:r w:rsidRPr="002B3F36">
              <w:rPr>
                <w:rFonts w:ascii="Arial" w:hAnsi="Arial" w:cs="Arial"/>
                <w:spacing w:val="38"/>
                <w:sz w:val="20"/>
                <w:szCs w:val="20"/>
              </w:rPr>
              <w:t xml:space="preserve"> </w:t>
            </w:r>
            <w:r w:rsidRPr="002B3F36">
              <w:rPr>
                <w:rFonts w:ascii="Arial" w:hAnsi="Arial" w:cs="Arial"/>
                <w:sz w:val="20"/>
                <w:szCs w:val="20"/>
              </w:rPr>
              <w:t>the</w:t>
            </w:r>
            <w:r w:rsidRPr="002B3F36">
              <w:rPr>
                <w:rFonts w:ascii="Arial" w:hAnsi="Arial" w:cs="Arial"/>
                <w:spacing w:val="40"/>
                <w:sz w:val="20"/>
                <w:szCs w:val="20"/>
              </w:rPr>
              <w:t xml:space="preserve"> </w:t>
            </w:r>
            <w:r w:rsidRPr="002B3F36">
              <w:rPr>
                <w:rFonts w:ascii="Arial" w:hAnsi="Arial" w:cs="Arial"/>
                <w:sz w:val="20"/>
                <w:szCs w:val="20"/>
              </w:rPr>
              <w:t>Project and its environment as a result of subsequent interactions within the environment</w:t>
            </w:r>
            <w:r w:rsidRPr="002B3F36">
              <w:rPr>
                <w:rFonts w:ascii="Arial" w:hAnsi="Arial" w:cs="Arial"/>
                <w:spacing w:val="80"/>
                <w:sz w:val="20"/>
                <w:szCs w:val="20"/>
              </w:rPr>
              <w:t xml:space="preserve"> </w:t>
            </w:r>
            <w:r w:rsidRPr="002B3F36">
              <w:rPr>
                <w:rFonts w:ascii="Arial" w:hAnsi="Arial" w:cs="Arial"/>
                <w:sz w:val="20"/>
                <w:szCs w:val="20"/>
              </w:rPr>
              <w:t>(e.g., viability of a species</w:t>
            </w:r>
            <w:r w:rsidRPr="002B3F36">
              <w:rPr>
                <w:rFonts w:ascii="Arial" w:hAnsi="Arial" w:cs="Arial"/>
                <w:spacing w:val="26"/>
                <w:sz w:val="20"/>
                <w:szCs w:val="20"/>
              </w:rPr>
              <w:t xml:space="preserve"> </w:t>
            </w:r>
            <w:r w:rsidRPr="002B3F36">
              <w:rPr>
                <w:rFonts w:ascii="Arial" w:hAnsi="Arial" w:cs="Arial"/>
                <w:sz w:val="20"/>
                <w:szCs w:val="20"/>
              </w:rPr>
              <w:t>population resulting</w:t>
            </w:r>
            <w:r w:rsidRPr="002B3F36">
              <w:rPr>
                <w:rFonts w:ascii="Arial" w:hAnsi="Arial" w:cs="Arial"/>
                <w:spacing w:val="26"/>
                <w:sz w:val="20"/>
                <w:szCs w:val="20"/>
              </w:rPr>
              <w:t xml:space="preserve"> </w:t>
            </w:r>
            <w:r w:rsidRPr="002B3F36">
              <w:rPr>
                <w:rFonts w:ascii="Arial" w:hAnsi="Arial" w:cs="Arial"/>
                <w:sz w:val="20"/>
                <w:szCs w:val="20"/>
              </w:rPr>
              <w:t>from</w:t>
            </w:r>
            <w:r w:rsidRPr="002B3F36">
              <w:rPr>
                <w:rFonts w:ascii="Arial" w:hAnsi="Arial" w:cs="Arial"/>
                <w:spacing w:val="26"/>
                <w:sz w:val="20"/>
                <w:szCs w:val="20"/>
              </w:rPr>
              <w:t xml:space="preserve"> </w:t>
            </w:r>
            <w:r w:rsidRPr="002B3F36">
              <w:rPr>
                <w:rFonts w:ascii="Arial" w:hAnsi="Arial" w:cs="Arial"/>
                <w:sz w:val="20"/>
                <w:szCs w:val="20"/>
              </w:rPr>
              <w:t>loss of part of a</w:t>
            </w:r>
            <w:r w:rsidRPr="002B3F36">
              <w:rPr>
                <w:rFonts w:ascii="Arial" w:hAnsi="Arial" w:cs="Arial"/>
                <w:spacing w:val="26"/>
                <w:sz w:val="20"/>
                <w:szCs w:val="20"/>
              </w:rPr>
              <w:t xml:space="preserve"> </w:t>
            </w:r>
            <w:r w:rsidRPr="002B3F36">
              <w:rPr>
                <w:rFonts w:ascii="Arial" w:hAnsi="Arial" w:cs="Arial"/>
                <w:sz w:val="20"/>
                <w:szCs w:val="20"/>
              </w:rPr>
              <w:t>habitat</w:t>
            </w:r>
            <w:r w:rsidRPr="002B3F36">
              <w:rPr>
                <w:rFonts w:ascii="Arial" w:hAnsi="Arial" w:cs="Arial"/>
                <w:spacing w:val="27"/>
                <w:sz w:val="20"/>
                <w:szCs w:val="20"/>
              </w:rPr>
              <w:t xml:space="preserve"> </w:t>
            </w:r>
            <w:r w:rsidRPr="002B3F36">
              <w:rPr>
                <w:rFonts w:ascii="Arial" w:hAnsi="Arial" w:cs="Arial"/>
                <w:sz w:val="20"/>
                <w:szCs w:val="20"/>
              </w:rPr>
              <w:t>as a result of the Project occupying a plot of land).</w:t>
            </w:r>
          </w:p>
        </w:tc>
      </w:tr>
      <w:tr w:rsidR="00F61F8E" w:rsidRPr="002B3F36" w14:paraId="79C8A5AD" w14:textId="77777777" w:rsidTr="00160801">
        <w:trPr>
          <w:trHeight w:val="669"/>
        </w:trPr>
        <w:tc>
          <w:tcPr>
            <w:tcW w:w="1795" w:type="dxa"/>
          </w:tcPr>
          <w:p w14:paraId="78A9A00C"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Induced</w:t>
            </w:r>
          </w:p>
        </w:tc>
        <w:tc>
          <w:tcPr>
            <w:tcW w:w="7839" w:type="dxa"/>
          </w:tcPr>
          <w:p w14:paraId="1E6DEA77" w14:textId="77777777" w:rsidR="00F61F8E" w:rsidRPr="002B3F36" w:rsidRDefault="000F264B" w:rsidP="00160801">
            <w:pPr>
              <w:pStyle w:val="TableParagraph"/>
              <w:spacing w:before="0"/>
              <w:ind w:left="102"/>
              <w:jc w:val="both"/>
              <w:rPr>
                <w:rFonts w:ascii="Arial" w:hAnsi="Arial" w:cs="Arial"/>
                <w:sz w:val="20"/>
                <w:szCs w:val="20"/>
              </w:rPr>
            </w:pPr>
            <w:r w:rsidRPr="002B3F36">
              <w:rPr>
                <w:rFonts w:ascii="Arial" w:hAnsi="Arial" w:cs="Arial"/>
                <w:sz w:val="20"/>
                <w:szCs w:val="20"/>
              </w:rPr>
              <w:t>Potential</w:t>
            </w:r>
            <w:r w:rsidRPr="002B3F36">
              <w:rPr>
                <w:rFonts w:ascii="Arial" w:hAnsi="Arial" w:cs="Arial"/>
                <w:spacing w:val="24"/>
                <w:sz w:val="20"/>
                <w:szCs w:val="20"/>
              </w:rPr>
              <w:t xml:space="preserve"> </w:t>
            </w:r>
            <w:r w:rsidRPr="002B3F36">
              <w:rPr>
                <w:rFonts w:ascii="Arial" w:hAnsi="Arial" w:cs="Arial"/>
                <w:sz w:val="20"/>
                <w:szCs w:val="20"/>
              </w:rPr>
              <w:t>impacts that</w:t>
            </w:r>
            <w:r w:rsidRPr="002B3F36">
              <w:rPr>
                <w:rFonts w:ascii="Arial" w:hAnsi="Arial" w:cs="Arial"/>
                <w:spacing w:val="24"/>
                <w:sz w:val="20"/>
                <w:szCs w:val="20"/>
              </w:rPr>
              <w:t xml:space="preserve"> </w:t>
            </w:r>
            <w:r w:rsidRPr="002B3F36">
              <w:rPr>
                <w:rFonts w:ascii="Arial" w:hAnsi="Arial" w:cs="Arial"/>
                <w:sz w:val="20"/>
                <w:szCs w:val="20"/>
              </w:rPr>
              <w:t>result</w:t>
            </w:r>
            <w:r w:rsidRPr="002B3F36">
              <w:rPr>
                <w:rFonts w:ascii="Arial" w:hAnsi="Arial" w:cs="Arial"/>
                <w:spacing w:val="24"/>
                <w:sz w:val="20"/>
                <w:szCs w:val="20"/>
              </w:rPr>
              <w:t xml:space="preserve"> </w:t>
            </w:r>
            <w:r w:rsidRPr="002B3F36">
              <w:rPr>
                <w:rFonts w:ascii="Arial" w:hAnsi="Arial" w:cs="Arial"/>
                <w:sz w:val="20"/>
                <w:szCs w:val="20"/>
              </w:rPr>
              <w:t>from other</w:t>
            </w:r>
            <w:r w:rsidRPr="002B3F36">
              <w:rPr>
                <w:rFonts w:ascii="Arial" w:hAnsi="Arial" w:cs="Arial"/>
                <w:spacing w:val="23"/>
                <w:sz w:val="20"/>
                <w:szCs w:val="20"/>
              </w:rPr>
              <w:t xml:space="preserve"> </w:t>
            </w:r>
            <w:r w:rsidRPr="002B3F36">
              <w:rPr>
                <w:rFonts w:ascii="Arial" w:hAnsi="Arial" w:cs="Arial"/>
                <w:sz w:val="20"/>
                <w:szCs w:val="20"/>
              </w:rPr>
              <w:t>activities (which</w:t>
            </w:r>
            <w:r w:rsidRPr="002B3F36">
              <w:rPr>
                <w:rFonts w:ascii="Arial" w:hAnsi="Arial" w:cs="Arial"/>
                <w:spacing w:val="22"/>
                <w:sz w:val="20"/>
                <w:szCs w:val="20"/>
              </w:rPr>
              <w:t xml:space="preserve"> </w:t>
            </w:r>
            <w:r w:rsidRPr="002B3F36">
              <w:rPr>
                <w:rFonts w:ascii="Arial" w:hAnsi="Arial" w:cs="Arial"/>
                <w:sz w:val="20"/>
                <w:szCs w:val="20"/>
              </w:rPr>
              <w:t>are</w:t>
            </w:r>
            <w:r w:rsidRPr="002B3F36">
              <w:rPr>
                <w:rFonts w:ascii="Arial" w:hAnsi="Arial" w:cs="Arial"/>
                <w:spacing w:val="24"/>
                <w:sz w:val="20"/>
                <w:szCs w:val="20"/>
              </w:rPr>
              <w:t xml:space="preserve"> </w:t>
            </w:r>
            <w:r w:rsidRPr="002B3F36">
              <w:rPr>
                <w:rFonts w:ascii="Arial" w:hAnsi="Arial" w:cs="Arial"/>
                <w:sz w:val="20"/>
                <w:szCs w:val="20"/>
              </w:rPr>
              <w:t>not</w:t>
            </w:r>
            <w:r w:rsidRPr="002B3F36">
              <w:rPr>
                <w:rFonts w:ascii="Arial" w:hAnsi="Arial" w:cs="Arial"/>
                <w:spacing w:val="22"/>
                <w:sz w:val="20"/>
                <w:szCs w:val="20"/>
              </w:rPr>
              <w:t xml:space="preserve"> </w:t>
            </w:r>
            <w:r w:rsidRPr="002B3F36">
              <w:rPr>
                <w:rFonts w:ascii="Arial" w:hAnsi="Arial" w:cs="Arial"/>
                <w:sz w:val="20"/>
                <w:szCs w:val="20"/>
              </w:rPr>
              <w:t>part</w:t>
            </w:r>
            <w:r w:rsidRPr="002B3F36">
              <w:rPr>
                <w:rFonts w:ascii="Arial" w:hAnsi="Arial" w:cs="Arial"/>
                <w:spacing w:val="22"/>
                <w:sz w:val="20"/>
                <w:szCs w:val="20"/>
              </w:rPr>
              <w:t xml:space="preserve"> </w:t>
            </w:r>
            <w:r w:rsidRPr="002B3F36">
              <w:rPr>
                <w:rFonts w:ascii="Arial" w:hAnsi="Arial" w:cs="Arial"/>
                <w:sz w:val="20"/>
                <w:szCs w:val="20"/>
              </w:rPr>
              <w:t>of the Project) that</w:t>
            </w:r>
            <w:r w:rsidRPr="002B3F36">
              <w:rPr>
                <w:rFonts w:ascii="Arial" w:hAnsi="Arial" w:cs="Arial"/>
                <w:spacing w:val="31"/>
                <w:sz w:val="20"/>
                <w:szCs w:val="20"/>
              </w:rPr>
              <w:t xml:space="preserve"> </w:t>
            </w:r>
            <w:r w:rsidRPr="002B3F36">
              <w:rPr>
                <w:rFonts w:ascii="Arial" w:hAnsi="Arial" w:cs="Arial"/>
                <w:sz w:val="20"/>
                <w:szCs w:val="20"/>
              </w:rPr>
              <w:t>happen</w:t>
            </w:r>
            <w:r w:rsidRPr="002B3F36">
              <w:rPr>
                <w:rFonts w:ascii="Arial" w:hAnsi="Arial" w:cs="Arial"/>
                <w:spacing w:val="28"/>
                <w:sz w:val="20"/>
                <w:szCs w:val="20"/>
              </w:rPr>
              <w:t xml:space="preserve"> </w:t>
            </w:r>
            <w:r w:rsidRPr="002B3F36">
              <w:rPr>
                <w:rFonts w:ascii="Arial" w:hAnsi="Arial" w:cs="Arial"/>
                <w:sz w:val="20"/>
                <w:szCs w:val="20"/>
              </w:rPr>
              <w:t>as</w:t>
            </w:r>
            <w:r w:rsidRPr="002B3F36">
              <w:rPr>
                <w:rFonts w:ascii="Arial" w:hAnsi="Arial" w:cs="Arial"/>
                <w:spacing w:val="29"/>
                <w:sz w:val="20"/>
                <w:szCs w:val="20"/>
              </w:rPr>
              <w:t xml:space="preserve"> </w:t>
            </w:r>
            <w:r w:rsidRPr="002B3F36">
              <w:rPr>
                <w:rFonts w:ascii="Arial" w:hAnsi="Arial" w:cs="Arial"/>
                <w:sz w:val="20"/>
                <w:szCs w:val="20"/>
              </w:rPr>
              <w:t>a</w:t>
            </w:r>
            <w:r w:rsidRPr="002B3F36">
              <w:rPr>
                <w:rFonts w:ascii="Arial" w:hAnsi="Arial" w:cs="Arial"/>
                <w:spacing w:val="26"/>
                <w:sz w:val="20"/>
                <w:szCs w:val="20"/>
              </w:rPr>
              <w:t xml:space="preserve"> </w:t>
            </w:r>
            <w:r w:rsidRPr="002B3F36">
              <w:rPr>
                <w:rFonts w:ascii="Arial" w:hAnsi="Arial" w:cs="Arial"/>
                <w:sz w:val="20"/>
                <w:szCs w:val="20"/>
              </w:rPr>
              <w:t>consequence</w:t>
            </w:r>
            <w:r w:rsidRPr="002B3F36">
              <w:rPr>
                <w:rFonts w:ascii="Arial" w:hAnsi="Arial" w:cs="Arial"/>
                <w:spacing w:val="27"/>
                <w:sz w:val="20"/>
                <w:szCs w:val="20"/>
              </w:rPr>
              <w:t xml:space="preserve"> </w:t>
            </w:r>
            <w:r w:rsidRPr="002B3F36">
              <w:rPr>
                <w:rFonts w:ascii="Arial" w:hAnsi="Arial" w:cs="Arial"/>
                <w:sz w:val="20"/>
                <w:szCs w:val="20"/>
              </w:rPr>
              <w:t>of</w:t>
            </w:r>
            <w:r w:rsidRPr="002B3F36">
              <w:rPr>
                <w:rFonts w:ascii="Arial" w:hAnsi="Arial" w:cs="Arial"/>
                <w:spacing w:val="26"/>
                <w:sz w:val="20"/>
                <w:szCs w:val="20"/>
              </w:rPr>
              <w:t xml:space="preserve"> </w:t>
            </w:r>
            <w:r w:rsidRPr="002B3F36">
              <w:rPr>
                <w:rFonts w:ascii="Arial" w:hAnsi="Arial" w:cs="Arial"/>
                <w:sz w:val="20"/>
                <w:szCs w:val="20"/>
              </w:rPr>
              <w:t>the</w:t>
            </w:r>
            <w:r w:rsidRPr="002B3F36">
              <w:rPr>
                <w:rFonts w:ascii="Arial" w:hAnsi="Arial" w:cs="Arial"/>
                <w:spacing w:val="31"/>
                <w:sz w:val="20"/>
                <w:szCs w:val="20"/>
              </w:rPr>
              <w:t xml:space="preserve"> </w:t>
            </w:r>
            <w:r w:rsidRPr="002B3F36">
              <w:rPr>
                <w:rFonts w:ascii="Arial" w:hAnsi="Arial" w:cs="Arial"/>
                <w:sz w:val="20"/>
                <w:szCs w:val="20"/>
              </w:rPr>
              <w:t>Project</w:t>
            </w:r>
            <w:r w:rsidRPr="002B3F36">
              <w:rPr>
                <w:rFonts w:ascii="Arial" w:hAnsi="Arial" w:cs="Arial"/>
                <w:spacing w:val="31"/>
                <w:sz w:val="20"/>
                <w:szCs w:val="20"/>
              </w:rPr>
              <w:t xml:space="preserve"> </w:t>
            </w:r>
            <w:r w:rsidRPr="002B3F36">
              <w:rPr>
                <w:rFonts w:ascii="Arial" w:hAnsi="Arial" w:cs="Arial"/>
                <w:sz w:val="20"/>
                <w:szCs w:val="20"/>
              </w:rPr>
              <w:t>(e.g.,</w:t>
            </w:r>
            <w:r w:rsidRPr="002B3F36">
              <w:rPr>
                <w:rFonts w:ascii="Arial" w:hAnsi="Arial" w:cs="Arial"/>
                <w:spacing w:val="26"/>
                <w:sz w:val="20"/>
                <w:szCs w:val="20"/>
              </w:rPr>
              <w:t xml:space="preserve"> </w:t>
            </w:r>
            <w:r w:rsidRPr="002B3F36">
              <w:rPr>
                <w:rFonts w:ascii="Arial" w:hAnsi="Arial" w:cs="Arial"/>
                <w:sz w:val="20"/>
                <w:szCs w:val="20"/>
              </w:rPr>
              <w:t>influx of</w:t>
            </w:r>
            <w:r w:rsidRPr="002B3F36">
              <w:rPr>
                <w:rFonts w:ascii="Arial" w:hAnsi="Arial" w:cs="Arial"/>
                <w:spacing w:val="28"/>
                <w:sz w:val="20"/>
                <w:szCs w:val="20"/>
              </w:rPr>
              <w:t xml:space="preserve"> </w:t>
            </w:r>
            <w:r w:rsidRPr="002B3F36">
              <w:rPr>
                <w:rFonts w:ascii="Arial" w:hAnsi="Arial" w:cs="Arial"/>
                <w:sz w:val="20"/>
                <w:szCs w:val="20"/>
              </w:rPr>
              <w:t>workers</w:t>
            </w:r>
            <w:r w:rsidRPr="002B3F36">
              <w:rPr>
                <w:rFonts w:ascii="Arial" w:hAnsi="Arial" w:cs="Arial"/>
                <w:spacing w:val="40"/>
                <w:sz w:val="20"/>
                <w:szCs w:val="20"/>
              </w:rPr>
              <w:t xml:space="preserve"> </w:t>
            </w:r>
            <w:r w:rsidRPr="002B3F36">
              <w:rPr>
                <w:rFonts w:ascii="Arial" w:hAnsi="Arial" w:cs="Arial"/>
                <w:sz w:val="20"/>
                <w:szCs w:val="20"/>
              </w:rPr>
              <w:t>resulting</w:t>
            </w:r>
            <w:r w:rsidRPr="002B3F36">
              <w:rPr>
                <w:rFonts w:ascii="Arial" w:hAnsi="Arial" w:cs="Arial"/>
                <w:spacing w:val="29"/>
                <w:sz w:val="20"/>
                <w:szCs w:val="20"/>
              </w:rPr>
              <w:t xml:space="preserve"> </w:t>
            </w:r>
            <w:r w:rsidRPr="002B3F36">
              <w:rPr>
                <w:rFonts w:ascii="Arial" w:hAnsi="Arial" w:cs="Arial"/>
                <w:sz w:val="20"/>
                <w:szCs w:val="20"/>
              </w:rPr>
              <w:t>from the importation of a large Project workforce).</w:t>
            </w:r>
          </w:p>
        </w:tc>
      </w:tr>
      <w:tr w:rsidR="00F61F8E" w:rsidRPr="002B3F36" w14:paraId="1BC0FEC7" w14:textId="77777777" w:rsidTr="00160801">
        <w:trPr>
          <w:trHeight w:val="183"/>
        </w:trPr>
        <w:tc>
          <w:tcPr>
            <w:tcW w:w="9634" w:type="dxa"/>
            <w:gridSpan w:val="2"/>
          </w:tcPr>
          <w:p w14:paraId="2188E4DF" w14:textId="77777777" w:rsidR="00F61F8E" w:rsidRPr="002B3F36" w:rsidRDefault="000F264B" w:rsidP="00160801">
            <w:pPr>
              <w:pStyle w:val="TableParagraph"/>
              <w:spacing w:before="0"/>
              <w:ind w:left="108"/>
              <w:jc w:val="both"/>
              <w:rPr>
                <w:rFonts w:ascii="Arial" w:hAnsi="Arial" w:cs="Arial"/>
                <w:b/>
                <w:sz w:val="20"/>
                <w:szCs w:val="20"/>
              </w:rPr>
            </w:pPr>
            <w:r w:rsidRPr="002B3F36">
              <w:rPr>
                <w:rFonts w:ascii="Arial" w:hAnsi="Arial" w:cs="Arial"/>
                <w:b/>
                <w:spacing w:val="-2"/>
                <w:sz w:val="20"/>
                <w:szCs w:val="20"/>
              </w:rPr>
              <w:t>Extent</w:t>
            </w:r>
          </w:p>
        </w:tc>
      </w:tr>
      <w:tr w:rsidR="00F61F8E" w:rsidRPr="002B3F36" w14:paraId="744E014B" w14:textId="77777777">
        <w:trPr>
          <w:trHeight w:val="671"/>
        </w:trPr>
        <w:tc>
          <w:tcPr>
            <w:tcW w:w="1795" w:type="dxa"/>
          </w:tcPr>
          <w:p w14:paraId="55FAE1DF"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Local</w:t>
            </w:r>
          </w:p>
        </w:tc>
        <w:tc>
          <w:tcPr>
            <w:tcW w:w="7839" w:type="dxa"/>
          </w:tcPr>
          <w:p w14:paraId="14B81017" w14:textId="77777777" w:rsidR="00F61F8E" w:rsidRPr="002B3F36" w:rsidRDefault="000F264B" w:rsidP="00160801">
            <w:pPr>
              <w:pStyle w:val="TableParagraph"/>
              <w:spacing w:before="0"/>
              <w:ind w:left="102" w:right="152"/>
              <w:jc w:val="both"/>
              <w:rPr>
                <w:rFonts w:ascii="Arial" w:hAnsi="Arial" w:cs="Arial"/>
                <w:sz w:val="20"/>
                <w:szCs w:val="20"/>
              </w:rPr>
            </w:pPr>
            <w:r w:rsidRPr="002B3F36">
              <w:rPr>
                <w:rFonts w:ascii="Arial" w:hAnsi="Arial" w:cs="Arial"/>
                <w:sz w:val="20"/>
                <w:szCs w:val="20"/>
              </w:rPr>
              <w:t>The impact is limited to the immediate area of the receptor being affected. For</w:t>
            </w:r>
            <w:r w:rsidRPr="002B3F36">
              <w:rPr>
                <w:rFonts w:ascii="Arial" w:hAnsi="Arial" w:cs="Arial"/>
                <w:spacing w:val="80"/>
                <w:sz w:val="20"/>
                <w:szCs w:val="20"/>
              </w:rPr>
              <w:t xml:space="preserve"> </w:t>
            </w:r>
            <w:r w:rsidRPr="002B3F36">
              <w:rPr>
                <w:rFonts w:ascii="Arial" w:hAnsi="Arial" w:cs="Arial"/>
                <w:sz w:val="20"/>
                <w:szCs w:val="20"/>
              </w:rPr>
              <w:t>example:</w:t>
            </w:r>
            <w:r w:rsidRPr="002B3F36">
              <w:rPr>
                <w:rFonts w:ascii="Arial" w:hAnsi="Arial" w:cs="Arial"/>
                <w:spacing w:val="24"/>
                <w:sz w:val="20"/>
                <w:szCs w:val="20"/>
              </w:rPr>
              <w:t xml:space="preserve"> </w:t>
            </w:r>
            <w:r w:rsidRPr="002B3F36">
              <w:rPr>
                <w:rFonts w:ascii="Arial" w:hAnsi="Arial" w:cs="Arial"/>
                <w:sz w:val="20"/>
                <w:szCs w:val="20"/>
              </w:rPr>
              <w:t>a</w:t>
            </w:r>
            <w:r w:rsidRPr="002B3F36">
              <w:rPr>
                <w:rFonts w:ascii="Arial" w:hAnsi="Arial" w:cs="Arial"/>
                <w:spacing w:val="20"/>
                <w:sz w:val="20"/>
                <w:szCs w:val="20"/>
              </w:rPr>
              <w:t xml:space="preserve"> </w:t>
            </w:r>
            <w:r w:rsidRPr="002B3F36">
              <w:rPr>
                <w:rFonts w:ascii="Arial" w:hAnsi="Arial" w:cs="Arial"/>
                <w:sz w:val="20"/>
                <w:szCs w:val="20"/>
              </w:rPr>
              <w:t>local</w:t>
            </w:r>
            <w:r w:rsidRPr="002B3F36">
              <w:rPr>
                <w:rFonts w:ascii="Arial" w:hAnsi="Arial" w:cs="Arial"/>
                <w:spacing w:val="25"/>
                <w:sz w:val="20"/>
                <w:szCs w:val="20"/>
              </w:rPr>
              <w:t xml:space="preserve"> </w:t>
            </w:r>
            <w:r w:rsidRPr="002B3F36">
              <w:rPr>
                <w:rFonts w:ascii="Arial" w:hAnsi="Arial" w:cs="Arial"/>
                <w:sz w:val="20"/>
                <w:szCs w:val="20"/>
              </w:rPr>
              <w:t>habitat</w:t>
            </w:r>
            <w:r w:rsidRPr="002B3F36">
              <w:rPr>
                <w:rFonts w:ascii="Arial" w:hAnsi="Arial" w:cs="Arial"/>
                <w:spacing w:val="23"/>
                <w:sz w:val="20"/>
                <w:szCs w:val="20"/>
              </w:rPr>
              <w:t xml:space="preserve"> </w:t>
            </w:r>
            <w:r w:rsidRPr="002B3F36">
              <w:rPr>
                <w:rFonts w:ascii="Arial" w:hAnsi="Arial" w:cs="Arial"/>
                <w:sz w:val="20"/>
                <w:szCs w:val="20"/>
              </w:rPr>
              <w:t>or</w:t>
            </w:r>
            <w:r w:rsidRPr="002B3F36">
              <w:rPr>
                <w:rFonts w:ascii="Arial" w:hAnsi="Arial" w:cs="Arial"/>
                <w:spacing w:val="24"/>
                <w:sz w:val="20"/>
                <w:szCs w:val="20"/>
              </w:rPr>
              <w:t xml:space="preserve"> </w:t>
            </w:r>
            <w:r w:rsidRPr="002B3F36">
              <w:rPr>
                <w:rFonts w:ascii="Arial" w:hAnsi="Arial" w:cs="Arial"/>
                <w:sz w:val="20"/>
                <w:szCs w:val="20"/>
              </w:rPr>
              <w:t>species</w:t>
            </w:r>
            <w:r w:rsidRPr="002B3F36">
              <w:rPr>
                <w:rFonts w:ascii="Arial" w:hAnsi="Arial" w:cs="Arial"/>
                <w:spacing w:val="24"/>
                <w:sz w:val="20"/>
                <w:szCs w:val="20"/>
              </w:rPr>
              <w:t xml:space="preserve"> </w:t>
            </w:r>
            <w:r w:rsidRPr="002B3F36">
              <w:rPr>
                <w:rFonts w:ascii="Arial" w:hAnsi="Arial" w:cs="Arial"/>
                <w:sz w:val="20"/>
                <w:szCs w:val="20"/>
              </w:rPr>
              <w:t>population</w:t>
            </w:r>
            <w:r w:rsidRPr="002B3F36">
              <w:rPr>
                <w:rFonts w:ascii="Arial" w:hAnsi="Arial" w:cs="Arial"/>
                <w:spacing w:val="23"/>
                <w:sz w:val="20"/>
                <w:szCs w:val="20"/>
              </w:rPr>
              <w:t xml:space="preserve"> </w:t>
            </w:r>
            <w:r w:rsidRPr="002B3F36">
              <w:rPr>
                <w:rFonts w:ascii="Arial" w:hAnsi="Arial" w:cs="Arial"/>
                <w:sz w:val="20"/>
                <w:szCs w:val="20"/>
              </w:rPr>
              <w:t>within</w:t>
            </w:r>
            <w:r w:rsidRPr="002B3F36">
              <w:rPr>
                <w:rFonts w:ascii="Arial" w:hAnsi="Arial" w:cs="Arial"/>
                <w:spacing w:val="23"/>
                <w:sz w:val="20"/>
                <w:szCs w:val="20"/>
              </w:rPr>
              <w:t xml:space="preserve"> </w:t>
            </w:r>
            <w:r w:rsidRPr="002B3F36">
              <w:rPr>
                <w:rFonts w:ascii="Arial" w:hAnsi="Arial" w:cs="Arial"/>
                <w:sz w:val="20"/>
                <w:szCs w:val="20"/>
              </w:rPr>
              <w:t>a</w:t>
            </w:r>
            <w:r w:rsidRPr="002B3F36">
              <w:rPr>
                <w:rFonts w:ascii="Arial" w:hAnsi="Arial" w:cs="Arial"/>
                <w:spacing w:val="24"/>
                <w:sz w:val="20"/>
                <w:szCs w:val="20"/>
              </w:rPr>
              <w:t xml:space="preserve"> </w:t>
            </w:r>
            <w:r w:rsidRPr="002B3F36">
              <w:rPr>
                <w:rFonts w:ascii="Arial" w:hAnsi="Arial" w:cs="Arial"/>
                <w:sz w:val="20"/>
                <w:szCs w:val="20"/>
              </w:rPr>
              <w:t>specific</w:t>
            </w:r>
            <w:r w:rsidRPr="002B3F36">
              <w:rPr>
                <w:rFonts w:ascii="Arial" w:hAnsi="Arial" w:cs="Arial"/>
                <w:spacing w:val="20"/>
                <w:sz w:val="20"/>
                <w:szCs w:val="20"/>
              </w:rPr>
              <w:t xml:space="preserve"> </w:t>
            </w:r>
            <w:r w:rsidRPr="002B3F36">
              <w:rPr>
                <w:rFonts w:ascii="Arial" w:hAnsi="Arial" w:cs="Arial"/>
                <w:sz w:val="20"/>
                <w:szCs w:val="20"/>
              </w:rPr>
              <w:t>project</w:t>
            </w:r>
            <w:r w:rsidRPr="002B3F36">
              <w:rPr>
                <w:rFonts w:ascii="Arial" w:hAnsi="Arial" w:cs="Arial"/>
                <w:spacing w:val="23"/>
                <w:sz w:val="20"/>
                <w:szCs w:val="20"/>
              </w:rPr>
              <w:t xml:space="preserve"> </w:t>
            </w:r>
            <w:r w:rsidRPr="002B3F36">
              <w:rPr>
                <w:rFonts w:ascii="Arial" w:hAnsi="Arial" w:cs="Arial"/>
                <w:sz w:val="20"/>
                <w:szCs w:val="20"/>
              </w:rPr>
              <w:t>boundary.</w:t>
            </w:r>
          </w:p>
        </w:tc>
      </w:tr>
      <w:tr w:rsidR="00F61F8E" w:rsidRPr="002B3F36" w14:paraId="16EF3FBB" w14:textId="77777777">
        <w:trPr>
          <w:trHeight w:val="664"/>
        </w:trPr>
        <w:tc>
          <w:tcPr>
            <w:tcW w:w="1795" w:type="dxa"/>
          </w:tcPr>
          <w:p w14:paraId="6F948A43"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Regional</w:t>
            </w:r>
          </w:p>
        </w:tc>
        <w:tc>
          <w:tcPr>
            <w:tcW w:w="7839" w:type="dxa"/>
          </w:tcPr>
          <w:p w14:paraId="30891B76" w14:textId="77777777" w:rsidR="00F61F8E" w:rsidRPr="002B3F36" w:rsidRDefault="000F264B" w:rsidP="00160801">
            <w:pPr>
              <w:pStyle w:val="TableParagraph"/>
              <w:spacing w:before="0"/>
              <w:ind w:left="102" w:right="443"/>
              <w:jc w:val="both"/>
              <w:rPr>
                <w:rFonts w:ascii="Arial" w:hAnsi="Arial" w:cs="Arial"/>
                <w:sz w:val="20"/>
                <w:szCs w:val="20"/>
              </w:rPr>
            </w:pPr>
            <w:r w:rsidRPr="002B3F36">
              <w:rPr>
                <w:rFonts w:ascii="Arial" w:hAnsi="Arial" w:cs="Arial"/>
                <w:sz w:val="20"/>
                <w:szCs w:val="20"/>
              </w:rPr>
              <w:t>The receptor is larger in scale, covering multiple areas or communities. For</w:t>
            </w:r>
            <w:r w:rsidRPr="002B3F36">
              <w:rPr>
                <w:rFonts w:ascii="Arial" w:hAnsi="Arial" w:cs="Arial"/>
                <w:spacing w:val="40"/>
                <w:sz w:val="20"/>
                <w:szCs w:val="20"/>
              </w:rPr>
              <w:t xml:space="preserve"> </w:t>
            </w:r>
            <w:r w:rsidRPr="002B3F36">
              <w:rPr>
                <w:rFonts w:ascii="Arial" w:hAnsi="Arial" w:cs="Arial"/>
                <w:sz w:val="20"/>
                <w:szCs w:val="20"/>
              </w:rPr>
              <w:t>example:</w:t>
            </w:r>
            <w:r w:rsidRPr="002B3F36">
              <w:rPr>
                <w:rFonts w:ascii="Arial" w:hAnsi="Arial" w:cs="Arial"/>
                <w:spacing w:val="26"/>
                <w:sz w:val="20"/>
                <w:szCs w:val="20"/>
              </w:rPr>
              <w:t xml:space="preserve"> </w:t>
            </w:r>
            <w:r w:rsidRPr="002B3F36">
              <w:rPr>
                <w:rFonts w:ascii="Arial" w:hAnsi="Arial" w:cs="Arial"/>
                <w:sz w:val="20"/>
                <w:szCs w:val="20"/>
              </w:rPr>
              <w:t>Impacts</w:t>
            </w:r>
            <w:r w:rsidRPr="002B3F36">
              <w:rPr>
                <w:rFonts w:ascii="Arial" w:hAnsi="Arial" w:cs="Arial"/>
                <w:spacing w:val="22"/>
                <w:sz w:val="20"/>
                <w:szCs w:val="20"/>
              </w:rPr>
              <w:t xml:space="preserve"> </w:t>
            </w:r>
            <w:r w:rsidRPr="002B3F36">
              <w:rPr>
                <w:rFonts w:ascii="Arial" w:hAnsi="Arial" w:cs="Arial"/>
                <w:sz w:val="20"/>
                <w:szCs w:val="20"/>
              </w:rPr>
              <w:t>on</w:t>
            </w:r>
            <w:r w:rsidRPr="002B3F36">
              <w:rPr>
                <w:rFonts w:ascii="Arial" w:hAnsi="Arial" w:cs="Arial"/>
                <w:spacing w:val="25"/>
                <w:sz w:val="20"/>
                <w:szCs w:val="20"/>
              </w:rPr>
              <w:t xml:space="preserve"> </w:t>
            </w:r>
            <w:r w:rsidRPr="002B3F36">
              <w:rPr>
                <w:rFonts w:ascii="Arial" w:hAnsi="Arial" w:cs="Arial"/>
                <w:sz w:val="20"/>
                <w:szCs w:val="20"/>
              </w:rPr>
              <w:t>water</w:t>
            </w:r>
            <w:r w:rsidRPr="002B3F36">
              <w:rPr>
                <w:rFonts w:ascii="Arial" w:hAnsi="Arial" w:cs="Arial"/>
                <w:spacing w:val="22"/>
                <w:sz w:val="20"/>
                <w:szCs w:val="20"/>
              </w:rPr>
              <w:t xml:space="preserve"> </w:t>
            </w:r>
            <w:r w:rsidRPr="002B3F36">
              <w:rPr>
                <w:rFonts w:ascii="Arial" w:hAnsi="Arial" w:cs="Arial"/>
                <w:sz w:val="20"/>
                <w:szCs w:val="20"/>
              </w:rPr>
              <w:t>quality</w:t>
            </w:r>
            <w:r w:rsidRPr="002B3F36">
              <w:rPr>
                <w:rFonts w:ascii="Arial" w:hAnsi="Arial" w:cs="Arial"/>
                <w:spacing w:val="21"/>
                <w:sz w:val="20"/>
                <w:szCs w:val="20"/>
              </w:rPr>
              <w:t xml:space="preserve"> </w:t>
            </w:r>
            <w:r w:rsidRPr="002B3F36">
              <w:rPr>
                <w:rFonts w:ascii="Arial" w:hAnsi="Arial" w:cs="Arial"/>
                <w:sz w:val="20"/>
                <w:szCs w:val="20"/>
              </w:rPr>
              <w:t>affecting</w:t>
            </w:r>
            <w:r w:rsidRPr="002B3F36">
              <w:rPr>
                <w:rFonts w:ascii="Arial" w:hAnsi="Arial" w:cs="Arial"/>
                <w:spacing w:val="23"/>
                <w:sz w:val="20"/>
                <w:szCs w:val="20"/>
              </w:rPr>
              <w:t xml:space="preserve"> </w:t>
            </w:r>
            <w:r w:rsidRPr="002B3F36">
              <w:rPr>
                <w:rFonts w:ascii="Arial" w:hAnsi="Arial" w:cs="Arial"/>
                <w:sz w:val="20"/>
                <w:szCs w:val="20"/>
              </w:rPr>
              <w:t>rivers</w:t>
            </w:r>
            <w:r w:rsidRPr="002B3F36">
              <w:rPr>
                <w:rFonts w:ascii="Arial" w:hAnsi="Arial" w:cs="Arial"/>
                <w:spacing w:val="22"/>
                <w:sz w:val="20"/>
                <w:szCs w:val="20"/>
              </w:rPr>
              <w:t xml:space="preserve"> </w:t>
            </w:r>
            <w:r w:rsidRPr="002B3F36">
              <w:rPr>
                <w:rFonts w:ascii="Arial" w:hAnsi="Arial" w:cs="Arial"/>
                <w:sz w:val="20"/>
                <w:szCs w:val="20"/>
              </w:rPr>
              <w:t>that</w:t>
            </w:r>
            <w:r w:rsidRPr="002B3F36">
              <w:rPr>
                <w:rFonts w:ascii="Arial" w:hAnsi="Arial" w:cs="Arial"/>
                <w:spacing w:val="27"/>
                <w:sz w:val="20"/>
                <w:szCs w:val="20"/>
              </w:rPr>
              <w:t xml:space="preserve"> </w:t>
            </w:r>
            <w:r w:rsidRPr="002B3F36">
              <w:rPr>
                <w:rFonts w:ascii="Arial" w:hAnsi="Arial" w:cs="Arial"/>
                <w:sz w:val="20"/>
                <w:szCs w:val="20"/>
              </w:rPr>
              <w:t>flow</w:t>
            </w:r>
            <w:r w:rsidRPr="002B3F36">
              <w:rPr>
                <w:rFonts w:ascii="Arial" w:hAnsi="Arial" w:cs="Arial"/>
                <w:spacing w:val="22"/>
                <w:sz w:val="20"/>
                <w:szCs w:val="20"/>
              </w:rPr>
              <w:t xml:space="preserve"> </w:t>
            </w:r>
            <w:r w:rsidRPr="002B3F36">
              <w:rPr>
                <w:rFonts w:ascii="Arial" w:hAnsi="Arial" w:cs="Arial"/>
                <w:sz w:val="20"/>
                <w:szCs w:val="20"/>
              </w:rPr>
              <w:t>into</w:t>
            </w:r>
            <w:r w:rsidRPr="002B3F36">
              <w:rPr>
                <w:rFonts w:ascii="Arial" w:hAnsi="Arial" w:cs="Arial"/>
                <w:spacing w:val="27"/>
                <w:sz w:val="20"/>
                <w:szCs w:val="20"/>
              </w:rPr>
              <w:t xml:space="preserve"> </w:t>
            </w:r>
            <w:r w:rsidRPr="002B3F36">
              <w:rPr>
                <w:rFonts w:ascii="Arial" w:hAnsi="Arial" w:cs="Arial"/>
                <w:sz w:val="20"/>
                <w:szCs w:val="20"/>
              </w:rPr>
              <w:t>nearby</w:t>
            </w:r>
            <w:r w:rsidRPr="002B3F36">
              <w:rPr>
                <w:rFonts w:ascii="Arial" w:hAnsi="Arial" w:cs="Arial"/>
                <w:spacing w:val="25"/>
                <w:sz w:val="20"/>
                <w:szCs w:val="20"/>
              </w:rPr>
              <w:t xml:space="preserve"> </w:t>
            </w:r>
            <w:r w:rsidRPr="002B3F36">
              <w:rPr>
                <w:rFonts w:ascii="Arial" w:hAnsi="Arial" w:cs="Arial"/>
                <w:sz w:val="20"/>
                <w:szCs w:val="20"/>
              </w:rPr>
              <w:t>regions.</w:t>
            </w:r>
          </w:p>
        </w:tc>
      </w:tr>
      <w:tr w:rsidR="00F61F8E" w:rsidRPr="002B3F36" w14:paraId="6C2A1953" w14:textId="77777777" w:rsidTr="00160801">
        <w:trPr>
          <w:trHeight w:val="390"/>
        </w:trPr>
        <w:tc>
          <w:tcPr>
            <w:tcW w:w="1795" w:type="dxa"/>
          </w:tcPr>
          <w:p w14:paraId="736CB5CF"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International</w:t>
            </w:r>
          </w:p>
        </w:tc>
        <w:tc>
          <w:tcPr>
            <w:tcW w:w="7839" w:type="dxa"/>
          </w:tcPr>
          <w:p w14:paraId="2C87ADFA" w14:textId="77777777" w:rsidR="00F61F8E" w:rsidRPr="002B3F36" w:rsidRDefault="000F264B" w:rsidP="00160801">
            <w:pPr>
              <w:pStyle w:val="TableParagraph"/>
              <w:spacing w:before="0"/>
              <w:ind w:left="102"/>
              <w:jc w:val="both"/>
              <w:rPr>
                <w:rFonts w:ascii="Arial" w:hAnsi="Arial" w:cs="Arial"/>
                <w:sz w:val="20"/>
                <w:szCs w:val="20"/>
              </w:rPr>
            </w:pPr>
            <w:r w:rsidRPr="002B3F36">
              <w:rPr>
                <w:rFonts w:ascii="Arial" w:hAnsi="Arial" w:cs="Arial"/>
                <w:sz w:val="20"/>
                <w:szCs w:val="20"/>
              </w:rPr>
              <w:t>Impacts transcend national boundaries. For example: Migratory species or shared</w:t>
            </w:r>
            <w:r w:rsidRPr="002B3F36">
              <w:rPr>
                <w:rFonts w:ascii="Arial" w:hAnsi="Arial" w:cs="Arial"/>
                <w:spacing w:val="40"/>
                <w:sz w:val="20"/>
                <w:szCs w:val="20"/>
              </w:rPr>
              <w:t xml:space="preserve"> </w:t>
            </w:r>
            <w:r w:rsidRPr="002B3F36">
              <w:rPr>
                <w:rFonts w:ascii="Arial" w:hAnsi="Arial" w:cs="Arial"/>
                <w:sz w:val="20"/>
                <w:szCs w:val="20"/>
              </w:rPr>
              <w:t>ecosystems impacted across countries.</w:t>
            </w:r>
          </w:p>
        </w:tc>
      </w:tr>
      <w:tr w:rsidR="00F61F8E" w:rsidRPr="002B3F36" w14:paraId="5DD1DB66" w14:textId="77777777" w:rsidTr="00160801">
        <w:trPr>
          <w:trHeight w:val="156"/>
        </w:trPr>
        <w:tc>
          <w:tcPr>
            <w:tcW w:w="9634" w:type="dxa"/>
            <w:gridSpan w:val="2"/>
          </w:tcPr>
          <w:p w14:paraId="261A6643" w14:textId="77777777" w:rsidR="00F61F8E" w:rsidRPr="002B3F36" w:rsidRDefault="000F264B" w:rsidP="00160801">
            <w:pPr>
              <w:pStyle w:val="TableParagraph"/>
              <w:spacing w:before="0"/>
              <w:ind w:left="108"/>
              <w:jc w:val="both"/>
              <w:rPr>
                <w:rFonts w:ascii="Arial" w:hAnsi="Arial" w:cs="Arial"/>
                <w:b/>
                <w:sz w:val="20"/>
                <w:szCs w:val="20"/>
              </w:rPr>
            </w:pPr>
            <w:r w:rsidRPr="002B3F36">
              <w:rPr>
                <w:rFonts w:ascii="Arial" w:hAnsi="Arial" w:cs="Arial"/>
                <w:b/>
                <w:spacing w:val="-2"/>
                <w:sz w:val="20"/>
                <w:szCs w:val="20"/>
              </w:rPr>
              <w:t>Duration</w:t>
            </w:r>
          </w:p>
        </w:tc>
      </w:tr>
      <w:tr w:rsidR="00F61F8E" w:rsidRPr="002B3F36" w14:paraId="09C5A8DC" w14:textId="77777777" w:rsidTr="00160801">
        <w:trPr>
          <w:trHeight w:val="165"/>
        </w:trPr>
        <w:tc>
          <w:tcPr>
            <w:tcW w:w="1795" w:type="dxa"/>
          </w:tcPr>
          <w:p w14:paraId="56DAC7B2"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Temporary</w:t>
            </w:r>
          </w:p>
        </w:tc>
        <w:tc>
          <w:tcPr>
            <w:tcW w:w="7839" w:type="dxa"/>
            <w:vMerge w:val="restart"/>
          </w:tcPr>
          <w:p w14:paraId="222BEA3B" w14:textId="77777777" w:rsidR="00F61F8E" w:rsidRPr="002B3F36" w:rsidRDefault="000F264B" w:rsidP="00160801">
            <w:pPr>
              <w:pStyle w:val="TableParagraph"/>
              <w:spacing w:before="0"/>
              <w:ind w:left="102" w:right="471"/>
              <w:jc w:val="both"/>
              <w:rPr>
                <w:rFonts w:ascii="Arial" w:hAnsi="Arial" w:cs="Arial"/>
                <w:sz w:val="20"/>
                <w:szCs w:val="20"/>
              </w:rPr>
            </w:pPr>
            <w:r w:rsidRPr="002B3F36">
              <w:rPr>
                <w:rFonts w:ascii="Arial" w:hAnsi="Arial" w:cs="Arial"/>
                <w:sz w:val="20"/>
                <w:szCs w:val="20"/>
              </w:rPr>
              <w:t>Defined on a receptor-specific basis, for example noise disturbance may be</w:t>
            </w:r>
            <w:r w:rsidRPr="002B3F36">
              <w:rPr>
                <w:rFonts w:ascii="Arial" w:hAnsi="Arial" w:cs="Arial"/>
                <w:spacing w:val="40"/>
                <w:sz w:val="20"/>
                <w:szCs w:val="20"/>
              </w:rPr>
              <w:t xml:space="preserve"> </w:t>
            </w:r>
            <w:r w:rsidRPr="002B3F36">
              <w:rPr>
                <w:rFonts w:ascii="Arial" w:hAnsi="Arial" w:cs="Arial"/>
                <w:sz w:val="20"/>
                <w:szCs w:val="20"/>
              </w:rPr>
              <w:t>temporary</w:t>
            </w:r>
            <w:r w:rsidRPr="002B3F36">
              <w:rPr>
                <w:rFonts w:ascii="Arial" w:hAnsi="Arial" w:cs="Arial"/>
                <w:spacing w:val="40"/>
                <w:sz w:val="20"/>
                <w:szCs w:val="20"/>
              </w:rPr>
              <w:t xml:space="preserve"> </w:t>
            </w:r>
            <w:r w:rsidRPr="002B3F36">
              <w:rPr>
                <w:rFonts w:ascii="Arial" w:hAnsi="Arial" w:cs="Arial"/>
                <w:sz w:val="20"/>
                <w:szCs w:val="20"/>
              </w:rPr>
              <w:t>for</w:t>
            </w:r>
            <w:r w:rsidRPr="002B3F36">
              <w:rPr>
                <w:rFonts w:ascii="Arial" w:hAnsi="Arial" w:cs="Arial"/>
                <w:spacing w:val="40"/>
                <w:sz w:val="20"/>
                <w:szCs w:val="20"/>
              </w:rPr>
              <w:t xml:space="preserve"> </w:t>
            </w:r>
            <w:r w:rsidRPr="002B3F36">
              <w:rPr>
                <w:rFonts w:ascii="Arial" w:hAnsi="Arial" w:cs="Arial"/>
                <w:sz w:val="20"/>
                <w:szCs w:val="20"/>
              </w:rPr>
              <w:t>humans but</w:t>
            </w:r>
            <w:r w:rsidRPr="002B3F36">
              <w:rPr>
                <w:rFonts w:ascii="Arial" w:hAnsi="Arial" w:cs="Arial"/>
                <w:spacing w:val="40"/>
                <w:sz w:val="20"/>
                <w:szCs w:val="20"/>
              </w:rPr>
              <w:t xml:space="preserve"> </w:t>
            </w:r>
            <w:r w:rsidRPr="002B3F36">
              <w:rPr>
                <w:rFonts w:ascii="Arial" w:hAnsi="Arial" w:cs="Arial"/>
                <w:sz w:val="20"/>
                <w:szCs w:val="20"/>
              </w:rPr>
              <w:t>long-term</w:t>
            </w:r>
            <w:r w:rsidRPr="002B3F36">
              <w:rPr>
                <w:rFonts w:ascii="Arial" w:hAnsi="Arial" w:cs="Arial"/>
                <w:spacing w:val="40"/>
                <w:sz w:val="20"/>
                <w:szCs w:val="20"/>
              </w:rPr>
              <w:t xml:space="preserve"> </w:t>
            </w:r>
            <w:r w:rsidRPr="002B3F36">
              <w:rPr>
                <w:rFonts w:ascii="Arial" w:hAnsi="Arial" w:cs="Arial"/>
                <w:sz w:val="20"/>
                <w:szCs w:val="20"/>
              </w:rPr>
              <w:t>for</w:t>
            </w:r>
            <w:r w:rsidRPr="002B3F36">
              <w:rPr>
                <w:rFonts w:ascii="Arial" w:hAnsi="Arial" w:cs="Arial"/>
                <w:spacing w:val="40"/>
                <w:sz w:val="20"/>
                <w:szCs w:val="20"/>
              </w:rPr>
              <w:t xml:space="preserve"> </w:t>
            </w:r>
            <w:r w:rsidRPr="002B3F36">
              <w:rPr>
                <w:rFonts w:ascii="Arial" w:hAnsi="Arial" w:cs="Arial"/>
                <w:sz w:val="20"/>
                <w:szCs w:val="20"/>
              </w:rPr>
              <w:t>sensitive bird</w:t>
            </w:r>
            <w:r w:rsidRPr="002B3F36">
              <w:rPr>
                <w:rFonts w:ascii="Arial" w:hAnsi="Arial" w:cs="Arial"/>
                <w:spacing w:val="40"/>
                <w:sz w:val="20"/>
                <w:szCs w:val="20"/>
              </w:rPr>
              <w:t xml:space="preserve"> </w:t>
            </w:r>
            <w:r w:rsidRPr="002B3F36">
              <w:rPr>
                <w:rFonts w:ascii="Arial" w:hAnsi="Arial" w:cs="Arial"/>
                <w:sz w:val="20"/>
                <w:szCs w:val="20"/>
              </w:rPr>
              <w:t>species.</w:t>
            </w:r>
          </w:p>
        </w:tc>
      </w:tr>
      <w:tr w:rsidR="00F61F8E" w:rsidRPr="002B3F36" w14:paraId="3B5ADFEF" w14:textId="77777777" w:rsidTr="00160801">
        <w:trPr>
          <w:trHeight w:val="156"/>
        </w:trPr>
        <w:tc>
          <w:tcPr>
            <w:tcW w:w="1795" w:type="dxa"/>
          </w:tcPr>
          <w:p w14:paraId="7EEBC813"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z w:val="20"/>
                <w:szCs w:val="20"/>
              </w:rPr>
              <w:t>Short-</w:t>
            </w:r>
            <w:r w:rsidRPr="002B3F36">
              <w:rPr>
                <w:rFonts w:ascii="Arial" w:hAnsi="Arial" w:cs="Arial"/>
                <w:spacing w:val="-4"/>
                <w:sz w:val="20"/>
                <w:szCs w:val="20"/>
              </w:rPr>
              <w:t>term</w:t>
            </w:r>
          </w:p>
        </w:tc>
        <w:tc>
          <w:tcPr>
            <w:tcW w:w="7839" w:type="dxa"/>
            <w:vMerge/>
          </w:tcPr>
          <w:p w14:paraId="36677E09" w14:textId="77777777" w:rsidR="00F61F8E" w:rsidRPr="002B3F36" w:rsidRDefault="00F61F8E" w:rsidP="00160801">
            <w:pPr>
              <w:jc w:val="both"/>
              <w:rPr>
                <w:rFonts w:ascii="Arial" w:hAnsi="Arial" w:cs="Arial"/>
                <w:sz w:val="20"/>
                <w:szCs w:val="20"/>
              </w:rPr>
            </w:pPr>
          </w:p>
        </w:tc>
      </w:tr>
      <w:tr w:rsidR="00F61F8E" w:rsidRPr="002B3F36" w14:paraId="5F7CB504" w14:textId="77777777" w:rsidTr="00160801">
        <w:trPr>
          <w:trHeight w:val="138"/>
        </w:trPr>
        <w:tc>
          <w:tcPr>
            <w:tcW w:w="1795" w:type="dxa"/>
          </w:tcPr>
          <w:p w14:paraId="284DA44D"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z w:val="20"/>
                <w:szCs w:val="20"/>
              </w:rPr>
              <w:t>Long-</w:t>
            </w:r>
            <w:r w:rsidRPr="002B3F36">
              <w:rPr>
                <w:rFonts w:ascii="Arial" w:hAnsi="Arial" w:cs="Arial"/>
                <w:spacing w:val="-4"/>
                <w:sz w:val="20"/>
                <w:szCs w:val="20"/>
              </w:rPr>
              <w:t>term</w:t>
            </w:r>
          </w:p>
        </w:tc>
        <w:tc>
          <w:tcPr>
            <w:tcW w:w="7839" w:type="dxa"/>
            <w:vMerge/>
          </w:tcPr>
          <w:p w14:paraId="45A4D498" w14:textId="77777777" w:rsidR="00F61F8E" w:rsidRPr="002B3F36" w:rsidRDefault="00F61F8E" w:rsidP="00160801">
            <w:pPr>
              <w:jc w:val="both"/>
              <w:rPr>
                <w:rFonts w:ascii="Arial" w:hAnsi="Arial" w:cs="Arial"/>
                <w:sz w:val="20"/>
                <w:szCs w:val="20"/>
              </w:rPr>
            </w:pPr>
          </w:p>
        </w:tc>
      </w:tr>
      <w:tr w:rsidR="00F61F8E" w:rsidRPr="002B3F36" w14:paraId="126BE816" w14:textId="77777777">
        <w:trPr>
          <w:trHeight w:val="412"/>
        </w:trPr>
        <w:tc>
          <w:tcPr>
            <w:tcW w:w="1795" w:type="dxa"/>
          </w:tcPr>
          <w:p w14:paraId="4E394693" w14:textId="77777777" w:rsidR="00F61F8E" w:rsidRPr="002B3F36" w:rsidRDefault="000F264B" w:rsidP="00160801">
            <w:pPr>
              <w:pStyle w:val="TableParagraph"/>
              <w:spacing w:before="0"/>
              <w:ind w:left="108"/>
              <w:jc w:val="both"/>
              <w:rPr>
                <w:rFonts w:ascii="Arial" w:hAnsi="Arial" w:cs="Arial"/>
                <w:sz w:val="20"/>
                <w:szCs w:val="20"/>
              </w:rPr>
            </w:pPr>
            <w:r w:rsidRPr="002B3F36">
              <w:rPr>
                <w:rFonts w:ascii="Arial" w:hAnsi="Arial" w:cs="Arial"/>
                <w:spacing w:val="-2"/>
                <w:sz w:val="20"/>
                <w:szCs w:val="20"/>
              </w:rPr>
              <w:t>Permanent</w:t>
            </w:r>
          </w:p>
        </w:tc>
        <w:tc>
          <w:tcPr>
            <w:tcW w:w="7839" w:type="dxa"/>
            <w:vMerge/>
          </w:tcPr>
          <w:p w14:paraId="0655535E" w14:textId="77777777" w:rsidR="00F61F8E" w:rsidRPr="002B3F36" w:rsidRDefault="00F61F8E" w:rsidP="00160801">
            <w:pPr>
              <w:jc w:val="both"/>
              <w:rPr>
                <w:rFonts w:ascii="Arial" w:hAnsi="Arial" w:cs="Arial"/>
                <w:sz w:val="20"/>
                <w:szCs w:val="20"/>
              </w:rPr>
            </w:pPr>
          </w:p>
        </w:tc>
      </w:tr>
    </w:tbl>
    <w:p w14:paraId="50B34A8A" w14:textId="77777777" w:rsidR="00F61F8E" w:rsidRPr="002B3F36" w:rsidRDefault="00F61F8E">
      <w:pPr>
        <w:pStyle w:val="a5"/>
        <w:spacing w:before="13"/>
        <w:jc w:val="both"/>
        <w:rPr>
          <w:rFonts w:ascii="Arial" w:hAnsi="Arial" w:cs="Arial"/>
        </w:rPr>
      </w:pPr>
    </w:p>
    <w:p w14:paraId="093F72F8" w14:textId="77777777" w:rsidR="00F61F8E" w:rsidRPr="002B3F36" w:rsidRDefault="000F264B">
      <w:pPr>
        <w:pStyle w:val="a5"/>
        <w:ind w:left="145"/>
        <w:jc w:val="both"/>
        <w:rPr>
          <w:rFonts w:ascii="Arial" w:hAnsi="Arial" w:cs="Arial"/>
          <w:sz w:val="24"/>
        </w:rPr>
      </w:pPr>
      <w:r w:rsidRPr="002B3F36">
        <w:rPr>
          <w:rFonts w:ascii="Arial" w:hAnsi="Arial" w:cs="Arial"/>
          <w:sz w:val="24"/>
        </w:rPr>
        <w:t>The</w:t>
      </w:r>
      <w:r w:rsidRPr="002B3F36">
        <w:rPr>
          <w:rFonts w:ascii="Arial" w:hAnsi="Arial" w:cs="Arial"/>
          <w:spacing w:val="-10"/>
          <w:sz w:val="24"/>
        </w:rPr>
        <w:t xml:space="preserve"> </w:t>
      </w:r>
      <w:r w:rsidRPr="002B3F36">
        <w:rPr>
          <w:rFonts w:ascii="Arial" w:hAnsi="Arial" w:cs="Arial"/>
          <w:sz w:val="24"/>
        </w:rPr>
        <w:t>impact</w:t>
      </w:r>
      <w:r w:rsidRPr="002B3F36">
        <w:rPr>
          <w:rFonts w:ascii="Arial" w:hAnsi="Arial" w:cs="Arial"/>
          <w:spacing w:val="-6"/>
          <w:sz w:val="24"/>
        </w:rPr>
        <w:t xml:space="preserve"> </w:t>
      </w:r>
      <w:r w:rsidRPr="002B3F36">
        <w:rPr>
          <w:rFonts w:ascii="Arial" w:hAnsi="Arial" w:cs="Arial"/>
          <w:sz w:val="24"/>
        </w:rPr>
        <w:t>magnitude</w:t>
      </w:r>
      <w:r w:rsidRPr="002B3F36">
        <w:rPr>
          <w:rFonts w:ascii="Arial" w:hAnsi="Arial" w:cs="Arial"/>
          <w:spacing w:val="-10"/>
          <w:sz w:val="24"/>
        </w:rPr>
        <w:t xml:space="preserve"> </w:t>
      </w:r>
      <w:r w:rsidRPr="002B3F36">
        <w:rPr>
          <w:rFonts w:ascii="Arial" w:hAnsi="Arial" w:cs="Arial"/>
          <w:sz w:val="24"/>
        </w:rPr>
        <w:t>designations</w:t>
      </w:r>
      <w:r w:rsidRPr="002B3F36">
        <w:rPr>
          <w:rFonts w:ascii="Arial" w:hAnsi="Arial" w:cs="Arial"/>
          <w:spacing w:val="-9"/>
          <w:sz w:val="24"/>
        </w:rPr>
        <w:t xml:space="preserve"> </w:t>
      </w:r>
      <w:r w:rsidRPr="002B3F36">
        <w:rPr>
          <w:rFonts w:ascii="Arial" w:hAnsi="Arial" w:cs="Arial"/>
          <w:spacing w:val="-4"/>
          <w:sz w:val="24"/>
        </w:rPr>
        <w:t>are:</w:t>
      </w:r>
    </w:p>
    <w:p w14:paraId="622A379C" w14:textId="77777777" w:rsidR="00F61F8E" w:rsidRPr="002B3F36" w:rsidRDefault="000F264B" w:rsidP="009B4CDB">
      <w:pPr>
        <w:pStyle w:val="a0"/>
        <w:numPr>
          <w:ilvl w:val="4"/>
          <w:numId w:val="52"/>
        </w:numPr>
        <w:rPr>
          <w:color w:val="auto"/>
        </w:rPr>
      </w:pPr>
      <w:r w:rsidRPr="002B3F36">
        <w:rPr>
          <w:color w:val="auto"/>
        </w:rPr>
        <w:lastRenderedPageBreak/>
        <w:t>Positive</w:t>
      </w:r>
    </w:p>
    <w:p w14:paraId="08A43943" w14:textId="77777777" w:rsidR="00F61F8E" w:rsidRPr="002B3F36" w:rsidRDefault="000F264B" w:rsidP="009B4CDB">
      <w:pPr>
        <w:pStyle w:val="a0"/>
        <w:numPr>
          <w:ilvl w:val="4"/>
          <w:numId w:val="52"/>
        </w:numPr>
        <w:rPr>
          <w:color w:val="auto"/>
        </w:rPr>
      </w:pPr>
      <w:r w:rsidRPr="002B3F36">
        <w:rPr>
          <w:color w:val="auto"/>
        </w:rPr>
        <w:t>Negligible</w:t>
      </w:r>
      <w:r w:rsidRPr="002B3F36">
        <w:rPr>
          <w:color w:val="auto"/>
          <w:spacing w:val="-14"/>
        </w:rPr>
        <w:t xml:space="preserve"> </w:t>
      </w:r>
      <w:r w:rsidRPr="002B3F36">
        <w:rPr>
          <w:color w:val="auto"/>
          <w:spacing w:val="-2"/>
        </w:rPr>
        <w:t>(negative)</w:t>
      </w:r>
    </w:p>
    <w:p w14:paraId="1F356DCC" w14:textId="77777777" w:rsidR="00F61F8E" w:rsidRPr="002B3F36" w:rsidRDefault="000F264B" w:rsidP="009B4CDB">
      <w:pPr>
        <w:pStyle w:val="a0"/>
        <w:numPr>
          <w:ilvl w:val="4"/>
          <w:numId w:val="52"/>
        </w:numPr>
        <w:rPr>
          <w:color w:val="auto"/>
        </w:rPr>
      </w:pPr>
      <w:r w:rsidRPr="002B3F36">
        <w:rPr>
          <w:color w:val="auto"/>
        </w:rPr>
        <w:t>Small</w:t>
      </w:r>
      <w:r w:rsidRPr="002B3F36">
        <w:rPr>
          <w:color w:val="auto"/>
          <w:spacing w:val="-6"/>
        </w:rPr>
        <w:t xml:space="preserve"> </w:t>
      </w:r>
      <w:r w:rsidRPr="002B3F36">
        <w:rPr>
          <w:color w:val="auto"/>
        </w:rPr>
        <w:t>(negative)</w:t>
      </w:r>
    </w:p>
    <w:p w14:paraId="5FC1F643" w14:textId="77777777" w:rsidR="00F61F8E" w:rsidRPr="002B3F36" w:rsidRDefault="000F264B" w:rsidP="009B4CDB">
      <w:pPr>
        <w:pStyle w:val="a0"/>
        <w:numPr>
          <w:ilvl w:val="4"/>
          <w:numId w:val="52"/>
        </w:numPr>
        <w:rPr>
          <w:color w:val="auto"/>
        </w:rPr>
      </w:pPr>
      <w:r w:rsidRPr="002B3F36">
        <w:rPr>
          <w:color w:val="auto"/>
        </w:rPr>
        <w:t>Medium</w:t>
      </w:r>
      <w:r w:rsidRPr="002B3F36">
        <w:rPr>
          <w:color w:val="auto"/>
          <w:spacing w:val="-9"/>
        </w:rPr>
        <w:t xml:space="preserve"> </w:t>
      </w:r>
      <w:r w:rsidRPr="002B3F36">
        <w:rPr>
          <w:color w:val="auto"/>
        </w:rPr>
        <w:t>(negative)</w:t>
      </w:r>
    </w:p>
    <w:p w14:paraId="2F11494C" w14:textId="77777777" w:rsidR="00F61F8E" w:rsidRPr="002B3F36" w:rsidRDefault="000F264B" w:rsidP="009B4CDB">
      <w:pPr>
        <w:pStyle w:val="a0"/>
        <w:numPr>
          <w:ilvl w:val="4"/>
          <w:numId w:val="52"/>
        </w:numPr>
        <w:rPr>
          <w:color w:val="auto"/>
        </w:rPr>
      </w:pPr>
      <w:r w:rsidRPr="002B3F36">
        <w:rPr>
          <w:color w:val="auto"/>
        </w:rPr>
        <w:t>Large</w:t>
      </w:r>
      <w:r w:rsidRPr="002B3F36">
        <w:rPr>
          <w:color w:val="auto"/>
          <w:spacing w:val="-8"/>
        </w:rPr>
        <w:t xml:space="preserve"> </w:t>
      </w:r>
      <w:r w:rsidRPr="002B3F36">
        <w:rPr>
          <w:color w:val="auto"/>
        </w:rPr>
        <w:t>(negative)</w:t>
      </w:r>
    </w:p>
    <w:p w14:paraId="09A965A6" w14:textId="77777777" w:rsidR="00160801" w:rsidRPr="002B3F36" w:rsidRDefault="00160801" w:rsidP="00160801">
      <w:pPr>
        <w:pStyle w:val="ReportBodyPar"/>
      </w:pPr>
    </w:p>
    <w:p w14:paraId="72291896" w14:textId="200F6166" w:rsidR="007076C1" w:rsidRPr="002B3F36" w:rsidRDefault="007076C1" w:rsidP="005B7233">
      <w:pPr>
        <w:pStyle w:val="ReportBodyPar"/>
      </w:pPr>
      <w:r w:rsidRPr="002B3F36">
        <w:t xml:space="preserve">Any positive impacts expected from the </w:t>
      </w:r>
      <w:r w:rsidR="003650DB" w:rsidRPr="002B3F36">
        <w:t xml:space="preserve">Mointy – Kyzylzhar </w:t>
      </w:r>
      <w:r w:rsidRPr="002B3F36">
        <w:t>Railway Construction Project are recorded simply as ‘positive’ without assigning additional magnitude classifications. Within the impact assessment, it is considered sufficient to acknowledge where the project is likely to deliver beneficial environmental or socio-economic outcomes, such as improved transportation connectivity or enhanced livelihood opportunities, without attempting to quantify the precise degree of positive change.</w:t>
      </w:r>
    </w:p>
    <w:p w14:paraId="1A21196A" w14:textId="77777777" w:rsidR="00F73A32" w:rsidRPr="002B3F36" w:rsidRDefault="00F73A32" w:rsidP="005B7233">
      <w:pPr>
        <w:pStyle w:val="ReportBodyPar"/>
      </w:pPr>
    </w:p>
    <w:p w14:paraId="2A7339C3" w14:textId="0ECED58C" w:rsidR="00F61F8E" w:rsidRPr="002B3F36" w:rsidRDefault="007076C1" w:rsidP="005B7233">
      <w:pPr>
        <w:pStyle w:val="ReportBodyPar"/>
      </w:pPr>
      <w:r w:rsidRPr="002B3F36">
        <w:t xml:space="preserve">For planned construction and operational activities, impacts are evaluated based on magnitude and receptor sensitivity since these activities are certain to occur as part of the project’s implementation. However, in keeping with </w:t>
      </w:r>
      <w:r w:rsidR="00163238" w:rsidRPr="002B3F36">
        <w:t>WB PS</w:t>
      </w:r>
      <w:r w:rsidRPr="002B3F36">
        <w:t>1, any unplanned events (such as accidental fuel spills, equipment failures, or other unexpected occurrences) are assessed differently. In these cases, both the magnitude of the potential impact and the likelihood of its occurrence are considered when determining the overall significance. This approach ensures that emergency preparedness, risk mitigation, and response measures are designed in proportion to the potential risks identified for each scenario, safeguarding communities, ecosystems, and project assets throughout the railway’s construction and operation phases.</w:t>
      </w:r>
    </w:p>
    <w:p w14:paraId="16F65A08" w14:textId="77777777" w:rsidR="005B7233" w:rsidRPr="002B3F36" w:rsidRDefault="005B7233" w:rsidP="005B7233">
      <w:pPr>
        <w:pStyle w:val="ReportBodyPar"/>
      </w:pPr>
    </w:p>
    <w:p w14:paraId="173C6BCE" w14:textId="5DEA2680" w:rsidR="007A2395" w:rsidRPr="002B3F36" w:rsidRDefault="007A2395" w:rsidP="005B7233">
      <w:pPr>
        <w:pStyle w:val="ReportBodyPar"/>
      </w:pPr>
      <w:r w:rsidRPr="002B3F36">
        <w:t>This structured framework provides a transparent and defensible basis for evaluating the intensity of potential changes associated with Project activities. It also ensures consistency across the receptor-specific assessments presented later in the report, where impact magnitude is applied in combination with receptor sensitivity to determine overall significance.</w:t>
      </w:r>
    </w:p>
    <w:p w14:paraId="7AD3F701" w14:textId="77777777" w:rsidR="005B7233" w:rsidRPr="002B3F36" w:rsidRDefault="005B7233" w:rsidP="005B7233">
      <w:pPr>
        <w:pStyle w:val="ReportBodyPar"/>
      </w:pPr>
    </w:p>
    <w:p w14:paraId="217BC44F" w14:textId="77777777" w:rsidR="00F61F8E" w:rsidRPr="002B3F36" w:rsidRDefault="000F264B">
      <w:pPr>
        <w:pStyle w:val="20"/>
        <w:rPr>
          <w:color w:val="auto"/>
        </w:rPr>
      </w:pPr>
      <w:bookmarkStart w:id="2145" w:name="_Toc208973844"/>
      <w:bookmarkStart w:id="2146" w:name="_Toc208974044"/>
      <w:bookmarkStart w:id="2147" w:name="_Toc208974244"/>
      <w:bookmarkStart w:id="2148" w:name="_Toc208974446"/>
      <w:bookmarkStart w:id="2149" w:name="_Toc208974652"/>
      <w:bookmarkStart w:id="2150" w:name="_Toc210589486"/>
      <w:r w:rsidRPr="002B3F36">
        <w:rPr>
          <w:color w:val="auto"/>
        </w:rPr>
        <w:t>Receptor Sensitivity</w:t>
      </w:r>
      <w:bookmarkEnd w:id="2145"/>
      <w:bookmarkEnd w:id="2146"/>
      <w:bookmarkEnd w:id="2147"/>
      <w:bookmarkEnd w:id="2148"/>
      <w:bookmarkEnd w:id="2149"/>
      <w:bookmarkEnd w:id="2150"/>
    </w:p>
    <w:p w14:paraId="38DB96BD" w14:textId="77777777" w:rsidR="0077675E" w:rsidRPr="002B3F36" w:rsidRDefault="0077675E" w:rsidP="0077675E">
      <w:pPr>
        <w:pStyle w:val="ReportBodyPar"/>
      </w:pPr>
    </w:p>
    <w:p w14:paraId="4511F6D5" w14:textId="2FE31362" w:rsidR="007076C1" w:rsidRPr="002B3F36" w:rsidRDefault="007076C1" w:rsidP="0077675E">
      <w:pPr>
        <w:pStyle w:val="ReportBodyPar"/>
      </w:pPr>
      <w:r w:rsidRPr="002B3F36">
        <w:t xml:space="preserve">In line with </w:t>
      </w:r>
      <w:r w:rsidR="00B171C6" w:rsidRPr="002B3F36">
        <w:t xml:space="preserve">WB </w:t>
      </w:r>
      <w:r w:rsidRPr="002B3F36">
        <w:t xml:space="preserve">Performance Standard 1 (PS1) on Environmental and Social Risk Management, Performance Standard 4 (PS4) on Community Health, Safety, and Security, and Performance Standard 6 (PS6) on Biodiversity Conservation and Sustainable Management of Living Natural Resources, the sensitivity of receptors potentially affected by the </w:t>
      </w:r>
      <w:r w:rsidR="003650DB" w:rsidRPr="002B3F36">
        <w:t xml:space="preserve">Mointy – Kyzylzhar </w:t>
      </w:r>
      <w:r w:rsidRPr="002B3F36">
        <w:t>Railway Construction Project is determined by combining impact magnitude with the vulnerability, importance, and ecological or social value of each receptor.</w:t>
      </w:r>
    </w:p>
    <w:p w14:paraId="5D372025" w14:textId="77777777" w:rsidR="007076C1" w:rsidRPr="002B3F36" w:rsidRDefault="007076C1" w:rsidP="0077675E">
      <w:pPr>
        <w:pStyle w:val="ReportBodyPar"/>
      </w:pPr>
    </w:p>
    <w:p w14:paraId="2426D5B4" w14:textId="7D624D97" w:rsidR="00F61F8E" w:rsidRPr="002B3F36" w:rsidRDefault="007076C1" w:rsidP="0077675E">
      <w:pPr>
        <w:pStyle w:val="ReportBodyPar"/>
      </w:pPr>
      <w:r w:rsidRPr="002B3F36">
        <w:t>Factors considered in defining receptor sensitivity include the ecological significance of habitats, the presence of legally protected areas, the conservation status of species, and the biodiversity value of landscapes intersected by the railway alignment. Equally important are human and cultural receptors, especially where vulnerable or marginalized communities may be disproportionately affected by land acquisition, construction activities, or changes to ecosystem services. Legal protections, government policies, stakeholder perspectives, and economic or cultural values are also integrated into the sensitivity assessment to ensure a holistic understanding of potential risks and the prioritization of mitigation measures for the most sensitive receptors</w:t>
      </w:r>
      <w:r w:rsidR="000F264B" w:rsidRPr="002B3F36">
        <w:t>.</w:t>
      </w:r>
    </w:p>
    <w:p w14:paraId="1AFF1305" w14:textId="77777777" w:rsidR="00160801" w:rsidRPr="002B3F36" w:rsidRDefault="00160801" w:rsidP="00160801">
      <w:pPr>
        <w:pStyle w:val="ReportBodyPar"/>
      </w:pPr>
    </w:p>
    <w:p w14:paraId="00E12D6A" w14:textId="77777777" w:rsidR="00F61F8E" w:rsidRPr="002B3F36" w:rsidRDefault="000F264B">
      <w:pPr>
        <w:pStyle w:val="20"/>
        <w:rPr>
          <w:color w:val="auto"/>
        </w:rPr>
      </w:pPr>
      <w:bookmarkStart w:id="2151" w:name="_Toc208973845"/>
      <w:bookmarkStart w:id="2152" w:name="_Toc208974045"/>
      <w:bookmarkStart w:id="2153" w:name="_Toc208974245"/>
      <w:bookmarkStart w:id="2154" w:name="_Toc208974447"/>
      <w:bookmarkStart w:id="2155" w:name="_Toc208974653"/>
      <w:bookmarkStart w:id="2156" w:name="_Toc210589487"/>
      <w:r w:rsidRPr="002B3F36">
        <w:rPr>
          <w:color w:val="auto"/>
        </w:rPr>
        <w:t>Impact Significance</w:t>
      </w:r>
      <w:bookmarkEnd w:id="2151"/>
      <w:bookmarkEnd w:id="2152"/>
      <w:bookmarkEnd w:id="2153"/>
      <w:bookmarkEnd w:id="2154"/>
      <w:bookmarkEnd w:id="2155"/>
      <w:bookmarkEnd w:id="2156"/>
    </w:p>
    <w:p w14:paraId="43563011" w14:textId="77777777" w:rsidR="0077675E" w:rsidRPr="002B3F36" w:rsidRDefault="0077675E" w:rsidP="0077675E">
      <w:pPr>
        <w:pStyle w:val="ReportBodyTextNogap"/>
      </w:pPr>
    </w:p>
    <w:p w14:paraId="5997F8DF" w14:textId="0D154CB7" w:rsidR="00F61F8E" w:rsidRPr="002B3F36" w:rsidRDefault="000F264B" w:rsidP="0077675E">
      <w:pPr>
        <w:pStyle w:val="ReportBodyTextNogap"/>
      </w:pPr>
      <w:r w:rsidRPr="002B3F36">
        <w:lastRenderedPageBreak/>
        <w:t xml:space="preserve">The impact magnitude and sensitivity of a resource or receptor were considered in combination to evaluate whether an impact was significant, and if so, its degree of significance. Impact significance was designated using the matrix shown in </w:t>
      </w:r>
      <w:hyperlink w:anchor="_bookmark123" w:history="1">
        <w:r w:rsidR="0077675E" w:rsidRPr="002B3F36">
          <w:t>the</w:t>
        </w:r>
      </w:hyperlink>
      <w:r w:rsidR="0077675E" w:rsidRPr="002B3F36">
        <w:t xml:space="preserve"> Table below</w:t>
      </w:r>
      <w:r w:rsidRPr="002B3F36">
        <w:t>.</w:t>
      </w:r>
    </w:p>
    <w:p w14:paraId="36337A26" w14:textId="77777777" w:rsidR="00F61F8E" w:rsidRPr="002B3F36" w:rsidRDefault="00F61F8E" w:rsidP="0077675E">
      <w:pPr>
        <w:pStyle w:val="ReportBodyTextNogap"/>
      </w:pPr>
    </w:p>
    <w:p w14:paraId="6FE1E1C3" w14:textId="54D12BAD" w:rsidR="00F61F8E" w:rsidRPr="002B3F36" w:rsidRDefault="00096BA2" w:rsidP="006501B7">
      <w:pPr>
        <w:pStyle w:val="CaptionTable"/>
      </w:pPr>
      <w:bookmarkStart w:id="2157" w:name="_bookmark123"/>
      <w:bookmarkStart w:id="2158" w:name="_Toc210589572"/>
      <w:bookmarkEnd w:id="2157"/>
      <w:r w:rsidRPr="002B3F36">
        <w:t xml:space="preserve">Table </w:t>
      </w:r>
      <w:r w:rsidR="00F3729F" w:rsidRPr="002B3F36">
        <w:fldChar w:fldCharType="begin"/>
      </w:r>
      <w:r w:rsidR="00F3729F" w:rsidRPr="002B3F36">
        <w:rPr>
          <w:noProof/>
        </w:rPr>
        <w:instrText xml:space="preserve"> SEQ Table \* ARABIC </w:instrText>
      </w:r>
      <w:r w:rsidR="00F3729F" w:rsidRPr="002B3F36">
        <w:fldChar w:fldCharType="separate"/>
      </w:r>
      <w:r w:rsidR="00A023DA">
        <w:rPr>
          <w:noProof/>
        </w:rPr>
        <w:t>28</w:t>
      </w:r>
      <w:r w:rsidR="00F3729F" w:rsidRPr="002B3F36">
        <w:fldChar w:fldCharType="end"/>
      </w:r>
      <w:r w:rsidR="000F264B" w:rsidRPr="002B3F36">
        <w:t>:</w:t>
      </w:r>
      <w:r w:rsidR="006D654A" w:rsidRPr="002B3F36">
        <w:t xml:space="preserve"> </w:t>
      </w:r>
      <w:r w:rsidR="000F264B" w:rsidRPr="002B3F36">
        <w:t>Significance of Impact Matrix</w:t>
      </w:r>
      <w:bookmarkEnd w:id="2158"/>
    </w:p>
    <w:tbl>
      <w:tblPr>
        <w:tblW w:w="9636" w:type="dxa"/>
        <w:tblInd w:w="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747"/>
        <w:gridCol w:w="1755"/>
        <w:gridCol w:w="2377"/>
        <w:gridCol w:w="2485"/>
        <w:gridCol w:w="2272"/>
      </w:tblGrid>
      <w:tr w:rsidR="00F61F8E" w:rsidRPr="002B3F36" w14:paraId="31DC5497" w14:textId="77777777" w:rsidTr="00AC7A0A">
        <w:trPr>
          <w:trHeight w:val="487"/>
        </w:trPr>
        <w:tc>
          <w:tcPr>
            <w:tcW w:w="2502" w:type="dxa"/>
            <w:gridSpan w:val="2"/>
            <w:vMerge w:val="restart"/>
            <w:shd w:val="clear" w:color="auto" w:fill="D2DED2"/>
          </w:tcPr>
          <w:p w14:paraId="370A247D" w14:textId="77777777" w:rsidR="00F61F8E" w:rsidRPr="002B3F36" w:rsidRDefault="00F61F8E">
            <w:pPr>
              <w:pStyle w:val="TableParagraph"/>
              <w:spacing w:before="0"/>
              <w:ind w:left="0"/>
              <w:jc w:val="both"/>
              <w:rPr>
                <w:rFonts w:ascii="Arial" w:hAnsi="Arial" w:cs="Arial"/>
                <w:sz w:val="20"/>
                <w:szCs w:val="20"/>
              </w:rPr>
            </w:pPr>
          </w:p>
        </w:tc>
        <w:tc>
          <w:tcPr>
            <w:tcW w:w="7134" w:type="dxa"/>
            <w:gridSpan w:val="3"/>
            <w:shd w:val="clear" w:color="auto" w:fill="D2DED2"/>
          </w:tcPr>
          <w:p w14:paraId="1B2692D9" w14:textId="77777777" w:rsidR="00F61F8E" w:rsidRPr="002B3F36" w:rsidRDefault="000F264B">
            <w:pPr>
              <w:pStyle w:val="TableParagraph"/>
              <w:spacing w:before="83"/>
              <w:ind w:left="0" w:right="15"/>
              <w:jc w:val="both"/>
              <w:rPr>
                <w:rFonts w:ascii="Arial" w:hAnsi="Arial" w:cs="Arial"/>
                <w:b/>
                <w:sz w:val="20"/>
                <w:szCs w:val="20"/>
              </w:rPr>
            </w:pPr>
            <w:r w:rsidRPr="002B3F36">
              <w:rPr>
                <w:rFonts w:ascii="Arial" w:hAnsi="Arial" w:cs="Arial"/>
                <w:b/>
                <w:sz w:val="20"/>
                <w:szCs w:val="20"/>
              </w:rPr>
              <w:t>Sensitivity</w:t>
            </w:r>
            <w:r w:rsidRPr="002B3F36">
              <w:rPr>
                <w:rFonts w:ascii="Arial" w:hAnsi="Arial" w:cs="Arial"/>
                <w:b/>
                <w:spacing w:val="26"/>
                <w:sz w:val="20"/>
                <w:szCs w:val="20"/>
              </w:rPr>
              <w:t xml:space="preserve"> </w:t>
            </w:r>
            <w:r w:rsidRPr="002B3F36">
              <w:rPr>
                <w:rFonts w:ascii="Arial" w:hAnsi="Arial" w:cs="Arial"/>
                <w:b/>
                <w:sz w:val="20"/>
                <w:szCs w:val="20"/>
              </w:rPr>
              <w:t>of</w:t>
            </w:r>
            <w:r w:rsidRPr="002B3F36">
              <w:rPr>
                <w:rFonts w:ascii="Arial" w:hAnsi="Arial" w:cs="Arial"/>
                <w:b/>
                <w:spacing w:val="26"/>
                <w:sz w:val="20"/>
                <w:szCs w:val="20"/>
              </w:rPr>
              <w:t xml:space="preserve"> </w:t>
            </w:r>
            <w:r w:rsidRPr="002B3F36">
              <w:rPr>
                <w:rFonts w:ascii="Arial" w:hAnsi="Arial" w:cs="Arial"/>
                <w:b/>
                <w:spacing w:val="-2"/>
                <w:sz w:val="20"/>
                <w:szCs w:val="20"/>
              </w:rPr>
              <w:t>Receptor</w:t>
            </w:r>
          </w:p>
        </w:tc>
      </w:tr>
      <w:tr w:rsidR="00F61F8E" w:rsidRPr="002B3F36" w14:paraId="57678B34" w14:textId="77777777" w:rsidTr="00AC7A0A">
        <w:trPr>
          <w:trHeight w:val="479"/>
        </w:trPr>
        <w:tc>
          <w:tcPr>
            <w:tcW w:w="2502" w:type="dxa"/>
            <w:gridSpan w:val="2"/>
            <w:vMerge/>
            <w:shd w:val="clear" w:color="auto" w:fill="D2DED2"/>
          </w:tcPr>
          <w:p w14:paraId="6CA602D0" w14:textId="77777777" w:rsidR="00F61F8E" w:rsidRPr="002B3F36" w:rsidRDefault="00F61F8E">
            <w:pPr>
              <w:jc w:val="both"/>
              <w:rPr>
                <w:rFonts w:ascii="Arial" w:hAnsi="Arial" w:cs="Arial"/>
                <w:sz w:val="20"/>
                <w:szCs w:val="20"/>
              </w:rPr>
            </w:pPr>
          </w:p>
        </w:tc>
        <w:tc>
          <w:tcPr>
            <w:tcW w:w="2377" w:type="dxa"/>
          </w:tcPr>
          <w:p w14:paraId="37C6DD39" w14:textId="77777777" w:rsidR="00F61F8E" w:rsidRPr="002B3F36" w:rsidRDefault="000F264B" w:rsidP="00160801">
            <w:pPr>
              <w:pStyle w:val="TableParagraph"/>
              <w:spacing w:before="73"/>
              <w:ind w:left="1" w:right="4"/>
              <w:jc w:val="center"/>
              <w:rPr>
                <w:rFonts w:ascii="Arial" w:hAnsi="Arial" w:cs="Arial"/>
                <w:b/>
                <w:sz w:val="20"/>
                <w:szCs w:val="20"/>
              </w:rPr>
            </w:pPr>
            <w:r w:rsidRPr="002B3F36">
              <w:rPr>
                <w:rFonts w:ascii="Arial" w:hAnsi="Arial" w:cs="Arial"/>
                <w:b/>
                <w:spacing w:val="-5"/>
                <w:sz w:val="20"/>
                <w:szCs w:val="20"/>
              </w:rPr>
              <w:t>Low</w:t>
            </w:r>
          </w:p>
        </w:tc>
        <w:tc>
          <w:tcPr>
            <w:tcW w:w="2485" w:type="dxa"/>
          </w:tcPr>
          <w:p w14:paraId="6321B0B1" w14:textId="77777777" w:rsidR="00F61F8E" w:rsidRPr="002B3F36" w:rsidRDefault="000F264B" w:rsidP="00160801">
            <w:pPr>
              <w:pStyle w:val="TableParagraph"/>
              <w:spacing w:before="73"/>
              <w:ind w:left="2" w:right="7"/>
              <w:jc w:val="center"/>
              <w:rPr>
                <w:rFonts w:ascii="Arial" w:hAnsi="Arial" w:cs="Arial"/>
                <w:b/>
                <w:sz w:val="20"/>
                <w:szCs w:val="20"/>
              </w:rPr>
            </w:pPr>
            <w:r w:rsidRPr="002B3F36">
              <w:rPr>
                <w:rFonts w:ascii="Arial" w:hAnsi="Arial" w:cs="Arial"/>
                <w:b/>
                <w:spacing w:val="-2"/>
                <w:sz w:val="20"/>
                <w:szCs w:val="20"/>
              </w:rPr>
              <w:t>Medium</w:t>
            </w:r>
          </w:p>
        </w:tc>
        <w:tc>
          <w:tcPr>
            <w:tcW w:w="2272" w:type="dxa"/>
          </w:tcPr>
          <w:p w14:paraId="1E84601A" w14:textId="77777777" w:rsidR="00F61F8E" w:rsidRPr="002B3F36" w:rsidRDefault="000F264B" w:rsidP="00160801">
            <w:pPr>
              <w:pStyle w:val="TableParagraph"/>
              <w:spacing w:before="73"/>
              <w:ind w:left="3" w:right="14"/>
              <w:jc w:val="center"/>
              <w:rPr>
                <w:rFonts w:ascii="Arial" w:hAnsi="Arial" w:cs="Arial"/>
                <w:b/>
                <w:sz w:val="20"/>
                <w:szCs w:val="20"/>
              </w:rPr>
            </w:pPr>
            <w:r w:rsidRPr="002B3F36">
              <w:rPr>
                <w:rFonts w:ascii="Arial" w:hAnsi="Arial" w:cs="Arial"/>
                <w:b/>
                <w:spacing w:val="-4"/>
                <w:sz w:val="20"/>
                <w:szCs w:val="20"/>
              </w:rPr>
              <w:t>High</w:t>
            </w:r>
          </w:p>
        </w:tc>
      </w:tr>
      <w:tr w:rsidR="00F61F8E" w:rsidRPr="002B3F36" w14:paraId="7990BCFA" w14:textId="77777777" w:rsidTr="00AC7A0A">
        <w:trPr>
          <w:trHeight w:val="282"/>
        </w:trPr>
        <w:tc>
          <w:tcPr>
            <w:tcW w:w="747" w:type="dxa"/>
            <w:vMerge w:val="restart"/>
            <w:textDirection w:val="btLr"/>
          </w:tcPr>
          <w:p w14:paraId="3A5427DA" w14:textId="77777777" w:rsidR="00F61F8E" w:rsidRPr="002B3F36" w:rsidRDefault="000F264B">
            <w:pPr>
              <w:pStyle w:val="TableParagraph"/>
              <w:spacing w:before="110"/>
              <w:ind w:left="302"/>
              <w:jc w:val="both"/>
              <w:rPr>
                <w:rFonts w:ascii="Arial" w:hAnsi="Arial" w:cs="Arial"/>
                <w:b/>
                <w:sz w:val="20"/>
                <w:szCs w:val="20"/>
              </w:rPr>
            </w:pPr>
            <w:r w:rsidRPr="002B3F36">
              <w:rPr>
                <w:rFonts w:ascii="Arial" w:hAnsi="Arial" w:cs="Arial"/>
                <w:b/>
                <w:sz w:val="20"/>
                <w:szCs w:val="20"/>
              </w:rPr>
              <w:t>Impact</w:t>
            </w:r>
            <w:r w:rsidRPr="002B3F36">
              <w:rPr>
                <w:rFonts w:ascii="Arial" w:hAnsi="Arial" w:cs="Arial"/>
                <w:b/>
                <w:spacing w:val="25"/>
                <w:sz w:val="20"/>
                <w:szCs w:val="20"/>
              </w:rPr>
              <w:t xml:space="preserve"> </w:t>
            </w:r>
            <w:r w:rsidRPr="002B3F36">
              <w:rPr>
                <w:rFonts w:ascii="Arial" w:hAnsi="Arial" w:cs="Arial"/>
                <w:b/>
                <w:spacing w:val="-2"/>
                <w:sz w:val="20"/>
                <w:szCs w:val="20"/>
              </w:rPr>
              <w:t>magnitude</w:t>
            </w:r>
          </w:p>
        </w:tc>
        <w:tc>
          <w:tcPr>
            <w:tcW w:w="1755" w:type="dxa"/>
          </w:tcPr>
          <w:p w14:paraId="4989A77E" w14:textId="77777777" w:rsidR="00F61F8E" w:rsidRPr="002B3F36" w:rsidRDefault="000F264B">
            <w:pPr>
              <w:pStyle w:val="TableParagraph"/>
              <w:spacing w:before="205"/>
              <w:ind w:left="102"/>
              <w:jc w:val="both"/>
              <w:rPr>
                <w:rFonts w:ascii="Arial" w:hAnsi="Arial" w:cs="Arial"/>
                <w:b/>
                <w:sz w:val="20"/>
                <w:szCs w:val="20"/>
              </w:rPr>
            </w:pPr>
            <w:r w:rsidRPr="002B3F36">
              <w:rPr>
                <w:rFonts w:ascii="Arial" w:hAnsi="Arial" w:cs="Arial"/>
                <w:b/>
                <w:spacing w:val="-2"/>
                <w:sz w:val="20"/>
                <w:szCs w:val="20"/>
              </w:rPr>
              <w:t>Negligible</w:t>
            </w:r>
          </w:p>
        </w:tc>
        <w:tc>
          <w:tcPr>
            <w:tcW w:w="2377" w:type="dxa"/>
            <w:shd w:val="clear" w:color="auto" w:fill="E4E7E4"/>
          </w:tcPr>
          <w:p w14:paraId="40EB69AF" w14:textId="77777777" w:rsidR="00F61F8E" w:rsidRPr="002B3F36" w:rsidRDefault="000F264B" w:rsidP="00160801">
            <w:pPr>
              <w:pStyle w:val="TableParagraph"/>
              <w:spacing w:before="205"/>
              <w:ind w:left="0" w:right="4"/>
              <w:jc w:val="center"/>
              <w:rPr>
                <w:rFonts w:ascii="Arial" w:hAnsi="Arial" w:cs="Arial"/>
                <w:b/>
                <w:sz w:val="20"/>
                <w:szCs w:val="20"/>
              </w:rPr>
            </w:pPr>
            <w:r w:rsidRPr="002B3F36">
              <w:rPr>
                <w:rFonts w:ascii="Arial" w:hAnsi="Arial" w:cs="Arial"/>
                <w:b/>
                <w:spacing w:val="-2"/>
                <w:sz w:val="20"/>
                <w:szCs w:val="20"/>
              </w:rPr>
              <w:t>Negligible</w:t>
            </w:r>
          </w:p>
        </w:tc>
        <w:tc>
          <w:tcPr>
            <w:tcW w:w="2485" w:type="dxa"/>
            <w:shd w:val="clear" w:color="auto" w:fill="E4E7E4"/>
          </w:tcPr>
          <w:p w14:paraId="22424168" w14:textId="77777777" w:rsidR="00F61F8E" w:rsidRPr="002B3F36" w:rsidRDefault="000F264B" w:rsidP="00160801">
            <w:pPr>
              <w:pStyle w:val="TableParagraph"/>
              <w:spacing w:before="205"/>
              <w:ind w:left="0" w:right="7"/>
              <w:jc w:val="center"/>
              <w:rPr>
                <w:rFonts w:ascii="Arial" w:hAnsi="Arial" w:cs="Arial"/>
                <w:b/>
                <w:sz w:val="20"/>
                <w:szCs w:val="20"/>
              </w:rPr>
            </w:pPr>
            <w:r w:rsidRPr="002B3F36">
              <w:rPr>
                <w:rFonts w:ascii="Arial" w:hAnsi="Arial" w:cs="Arial"/>
                <w:b/>
                <w:spacing w:val="-2"/>
                <w:sz w:val="20"/>
                <w:szCs w:val="20"/>
              </w:rPr>
              <w:t>Negligible</w:t>
            </w:r>
          </w:p>
        </w:tc>
        <w:tc>
          <w:tcPr>
            <w:tcW w:w="2272" w:type="dxa"/>
            <w:shd w:val="clear" w:color="auto" w:fill="E4E7E4"/>
          </w:tcPr>
          <w:p w14:paraId="62D3FCA9" w14:textId="77777777" w:rsidR="00F61F8E" w:rsidRPr="002B3F36" w:rsidRDefault="000F264B" w:rsidP="00160801">
            <w:pPr>
              <w:pStyle w:val="TableParagraph"/>
              <w:spacing w:before="205"/>
              <w:ind w:left="3" w:right="14"/>
              <w:jc w:val="center"/>
              <w:rPr>
                <w:rFonts w:ascii="Arial" w:hAnsi="Arial" w:cs="Arial"/>
                <w:b/>
                <w:sz w:val="20"/>
                <w:szCs w:val="20"/>
              </w:rPr>
            </w:pPr>
            <w:r w:rsidRPr="002B3F36">
              <w:rPr>
                <w:rFonts w:ascii="Arial" w:hAnsi="Arial" w:cs="Arial"/>
                <w:b/>
                <w:spacing w:val="-2"/>
                <w:sz w:val="20"/>
                <w:szCs w:val="20"/>
              </w:rPr>
              <w:t>Negligible</w:t>
            </w:r>
          </w:p>
        </w:tc>
      </w:tr>
      <w:tr w:rsidR="00F61F8E" w:rsidRPr="002B3F36" w14:paraId="37AF66D4" w14:textId="77777777" w:rsidTr="00AC7A0A">
        <w:trPr>
          <w:trHeight w:val="246"/>
        </w:trPr>
        <w:tc>
          <w:tcPr>
            <w:tcW w:w="747" w:type="dxa"/>
            <w:vMerge/>
            <w:textDirection w:val="btLr"/>
          </w:tcPr>
          <w:p w14:paraId="40AEBE01" w14:textId="77777777" w:rsidR="00F61F8E" w:rsidRPr="002B3F36" w:rsidRDefault="00F61F8E">
            <w:pPr>
              <w:jc w:val="both"/>
              <w:rPr>
                <w:rFonts w:ascii="Arial" w:hAnsi="Arial" w:cs="Arial"/>
                <w:sz w:val="20"/>
                <w:szCs w:val="20"/>
              </w:rPr>
            </w:pPr>
          </w:p>
        </w:tc>
        <w:tc>
          <w:tcPr>
            <w:tcW w:w="1755" w:type="dxa"/>
          </w:tcPr>
          <w:p w14:paraId="0ABBF785" w14:textId="77777777" w:rsidR="00F61F8E" w:rsidRPr="002B3F36" w:rsidRDefault="000F264B">
            <w:pPr>
              <w:pStyle w:val="TableParagraph"/>
              <w:spacing w:before="195"/>
              <w:ind w:left="102"/>
              <w:jc w:val="both"/>
              <w:rPr>
                <w:rFonts w:ascii="Arial" w:hAnsi="Arial" w:cs="Arial"/>
                <w:b/>
                <w:sz w:val="20"/>
                <w:szCs w:val="20"/>
              </w:rPr>
            </w:pPr>
            <w:r w:rsidRPr="002B3F36">
              <w:rPr>
                <w:rFonts w:ascii="Arial" w:hAnsi="Arial" w:cs="Arial"/>
                <w:b/>
                <w:spacing w:val="-2"/>
                <w:sz w:val="20"/>
                <w:szCs w:val="20"/>
              </w:rPr>
              <w:t>Small</w:t>
            </w:r>
          </w:p>
        </w:tc>
        <w:tc>
          <w:tcPr>
            <w:tcW w:w="2377" w:type="dxa"/>
            <w:shd w:val="clear" w:color="auto" w:fill="E4E7E4"/>
          </w:tcPr>
          <w:p w14:paraId="681363E9" w14:textId="77777777" w:rsidR="00F61F8E" w:rsidRPr="002B3F36" w:rsidRDefault="000F264B" w:rsidP="00160801">
            <w:pPr>
              <w:pStyle w:val="TableParagraph"/>
              <w:spacing w:before="195"/>
              <w:ind w:left="2" w:right="4"/>
              <w:jc w:val="center"/>
              <w:rPr>
                <w:rFonts w:ascii="Arial" w:hAnsi="Arial" w:cs="Arial"/>
                <w:b/>
                <w:sz w:val="20"/>
                <w:szCs w:val="20"/>
              </w:rPr>
            </w:pPr>
            <w:r w:rsidRPr="002B3F36">
              <w:rPr>
                <w:rFonts w:ascii="Arial" w:hAnsi="Arial" w:cs="Arial"/>
                <w:b/>
                <w:spacing w:val="-2"/>
                <w:sz w:val="20"/>
                <w:szCs w:val="20"/>
              </w:rPr>
              <w:t>Negligible</w:t>
            </w:r>
          </w:p>
        </w:tc>
        <w:tc>
          <w:tcPr>
            <w:tcW w:w="2485" w:type="dxa"/>
            <w:shd w:val="clear" w:color="auto" w:fill="FFFF99"/>
          </w:tcPr>
          <w:p w14:paraId="4AECBD22" w14:textId="77777777" w:rsidR="00F61F8E" w:rsidRPr="002B3F36" w:rsidRDefault="000F264B" w:rsidP="00160801">
            <w:pPr>
              <w:pStyle w:val="TableParagraph"/>
              <w:spacing w:before="195"/>
              <w:ind w:left="4" w:right="7"/>
              <w:jc w:val="center"/>
              <w:rPr>
                <w:rFonts w:ascii="Arial" w:hAnsi="Arial" w:cs="Arial"/>
                <w:b/>
                <w:sz w:val="20"/>
                <w:szCs w:val="20"/>
              </w:rPr>
            </w:pPr>
            <w:r w:rsidRPr="002B3F36">
              <w:rPr>
                <w:rFonts w:ascii="Arial" w:hAnsi="Arial" w:cs="Arial"/>
                <w:b/>
                <w:spacing w:val="-2"/>
                <w:sz w:val="20"/>
                <w:szCs w:val="20"/>
              </w:rPr>
              <w:t>Minor</w:t>
            </w:r>
          </w:p>
        </w:tc>
        <w:tc>
          <w:tcPr>
            <w:tcW w:w="2272" w:type="dxa"/>
            <w:shd w:val="clear" w:color="auto" w:fill="FFCA24"/>
          </w:tcPr>
          <w:p w14:paraId="772092DF" w14:textId="77777777" w:rsidR="00F61F8E" w:rsidRPr="002B3F36" w:rsidRDefault="000F264B" w:rsidP="00160801">
            <w:pPr>
              <w:pStyle w:val="TableParagraph"/>
              <w:spacing w:before="195"/>
              <w:ind w:left="3" w:right="14"/>
              <w:jc w:val="center"/>
              <w:rPr>
                <w:rFonts w:ascii="Arial" w:hAnsi="Arial" w:cs="Arial"/>
                <w:b/>
                <w:sz w:val="20"/>
                <w:szCs w:val="20"/>
              </w:rPr>
            </w:pPr>
            <w:r w:rsidRPr="002B3F36">
              <w:rPr>
                <w:rFonts w:ascii="Arial" w:hAnsi="Arial" w:cs="Arial"/>
                <w:b/>
                <w:spacing w:val="-2"/>
                <w:sz w:val="20"/>
                <w:szCs w:val="20"/>
              </w:rPr>
              <w:t>Moderate</w:t>
            </w:r>
          </w:p>
        </w:tc>
      </w:tr>
      <w:tr w:rsidR="00F61F8E" w:rsidRPr="002B3F36" w14:paraId="5D9B4FDE" w14:textId="77777777" w:rsidTr="00AC7A0A">
        <w:trPr>
          <w:trHeight w:val="129"/>
        </w:trPr>
        <w:tc>
          <w:tcPr>
            <w:tcW w:w="747" w:type="dxa"/>
            <w:vMerge/>
            <w:textDirection w:val="btLr"/>
          </w:tcPr>
          <w:p w14:paraId="5F08A98E" w14:textId="77777777" w:rsidR="00F61F8E" w:rsidRPr="002B3F36" w:rsidRDefault="00F61F8E">
            <w:pPr>
              <w:jc w:val="both"/>
              <w:rPr>
                <w:rFonts w:ascii="Arial" w:hAnsi="Arial" w:cs="Arial"/>
                <w:sz w:val="20"/>
                <w:szCs w:val="20"/>
              </w:rPr>
            </w:pPr>
          </w:p>
        </w:tc>
        <w:tc>
          <w:tcPr>
            <w:tcW w:w="1755" w:type="dxa"/>
          </w:tcPr>
          <w:p w14:paraId="6A5DA4EB" w14:textId="77777777" w:rsidR="00F61F8E" w:rsidRPr="002B3F36" w:rsidRDefault="000F264B">
            <w:pPr>
              <w:pStyle w:val="TableParagraph"/>
              <w:spacing w:before="205"/>
              <w:ind w:left="102"/>
              <w:jc w:val="both"/>
              <w:rPr>
                <w:rFonts w:ascii="Arial" w:hAnsi="Arial" w:cs="Arial"/>
                <w:b/>
                <w:sz w:val="20"/>
                <w:szCs w:val="20"/>
              </w:rPr>
            </w:pPr>
            <w:r w:rsidRPr="002B3F36">
              <w:rPr>
                <w:rFonts w:ascii="Arial" w:hAnsi="Arial" w:cs="Arial"/>
                <w:b/>
                <w:spacing w:val="-2"/>
                <w:sz w:val="20"/>
                <w:szCs w:val="20"/>
              </w:rPr>
              <w:t>Medium</w:t>
            </w:r>
          </w:p>
        </w:tc>
        <w:tc>
          <w:tcPr>
            <w:tcW w:w="2377" w:type="dxa"/>
            <w:shd w:val="clear" w:color="auto" w:fill="FFFF99"/>
          </w:tcPr>
          <w:p w14:paraId="258CC0A3" w14:textId="77777777" w:rsidR="00F61F8E" w:rsidRPr="002B3F36" w:rsidRDefault="000F264B" w:rsidP="00160801">
            <w:pPr>
              <w:pStyle w:val="TableParagraph"/>
              <w:spacing w:before="205"/>
              <w:ind w:left="0" w:right="4"/>
              <w:jc w:val="center"/>
              <w:rPr>
                <w:rFonts w:ascii="Arial" w:hAnsi="Arial" w:cs="Arial"/>
                <w:b/>
                <w:sz w:val="20"/>
                <w:szCs w:val="20"/>
              </w:rPr>
            </w:pPr>
            <w:r w:rsidRPr="002B3F36">
              <w:rPr>
                <w:rFonts w:ascii="Arial" w:hAnsi="Arial" w:cs="Arial"/>
                <w:b/>
                <w:spacing w:val="-2"/>
                <w:sz w:val="20"/>
                <w:szCs w:val="20"/>
              </w:rPr>
              <w:t>Minor</w:t>
            </w:r>
          </w:p>
        </w:tc>
        <w:tc>
          <w:tcPr>
            <w:tcW w:w="2485" w:type="dxa"/>
            <w:shd w:val="clear" w:color="auto" w:fill="FFCA24"/>
          </w:tcPr>
          <w:p w14:paraId="23C6EAF5" w14:textId="77777777" w:rsidR="00F61F8E" w:rsidRPr="002B3F36" w:rsidRDefault="000F264B" w:rsidP="00160801">
            <w:pPr>
              <w:pStyle w:val="TableParagraph"/>
              <w:spacing w:before="205"/>
              <w:ind w:left="0" w:right="7"/>
              <w:jc w:val="center"/>
              <w:rPr>
                <w:rFonts w:ascii="Arial" w:hAnsi="Arial" w:cs="Arial"/>
                <w:b/>
                <w:sz w:val="20"/>
                <w:szCs w:val="20"/>
              </w:rPr>
            </w:pPr>
            <w:r w:rsidRPr="002B3F36">
              <w:rPr>
                <w:rFonts w:ascii="Arial" w:hAnsi="Arial" w:cs="Arial"/>
                <w:b/>
                <w:spacing w:val="-2"/>
                <w:sz w:val="20"/>
                <w:szCs w:val="20"/>
              </w:rPr>
              <w:t>Moderate</w:t>
            </w:r>
          </w:p>
        </w:tc>
        <w:tc>
          <w:tcPr>
            <w:tcW w:w="2272" w:type="dxa"/>
            <w:shd w:val="clear" w:color="auto" w:fill="FF4646"/>
          </w:tcPr>
          <w:p w14:paraId="21308642" w14:textId="77777777" w:rsidR="00F61F8E" w:rsidRPr="002B3F36" w:rsidRDefault="000F264B" w:rsidP="00160801">
            <w:pPr>
              <w:pStyle w:val="TableParagraph"/>
              <w:spacing w:before="205"/>
              <w:ind w:left="0" w:right="14"/>
              <w:jc w:val="center"/>
              <w:rPr>
                <w:rFonts w:ascii="Arial" w:hAnsi="Arial" w:cs="Arial"/>
                <w:b/>
                <w:sz w:val="20"/>
                <w:szCs w:val="20"/>
              </w:rPr>
            </w:pPr>
            <w:r w:rsidRPr="002B3F36">
              <w:rPr>
                <w:rFonts w:ascii="Arial" w:hAnsi="Arial" w:cs="Arial"/>
                <w:b/>
                <w:spacing w:val="-2"/>
                <w:sz w:val="20"/>
                <w:szCs w:val="20"/>
              </w:rPr>
              <w:t>Major</w:t>
            </w:r>
          </w:p>
        </w:tc>
      </w:tr>
      <w:tr w:rsidR="00F61F8E" w:rsidRPr="002B3F36" w14:paraId="403CAFCE" w14:textId="77777777" w:rsidTr="00AC7A0A">
        <w:trPr>
          <w:trHeight w:val="264"/>
        </w:trPr>
        <w:tc>
          <w:tcPr>
            <w:tcW w:w="747" w:type="dxa"/>
            <w:vMerge/>
            <w:textDirection w:val="btLr"/>
          </w:tcPr>
          <w:p w14:paraId="2A53D2D6" w14:textId="77777777" w:rsidR="00F61F8E" w:rsidRPr="002B3F36" w:rsidRDefault="00F61F8E">
            <w:pPr>
              <w:jc w:val="both"/>
              <w:rPr>
                <w:rFonts w:ascii="Arial" w:hAnsi="Arial" w:cs="Arial"/>
                <w:sz w:val="20"/>
                <w:szCs w:val="20"/>
              </w:rPr>
            </w:pPr>
          </w:p>
        </w:tc>
        <w:tc>
          <w:tcPr>
            <w:tcW w:w="1755" w:type="dxa"/>
          </w:tcPr>
          <w:p w14:paraId="6CCC37C0" w14:textId="77777777" w:rsidR="00F61F8E" w:rsidRPr="002B3F36" w:rsidRDefault="000F264B">
            <w:pPr>
              <w:pStyle w:val="TableParagraph"/>
              <w:spacing w:before="195"/>
              <w:ind w:left="102"/>
              <w:jc w:val="both"/>
              <w:rPr>
                <w:rFonts w:ascii="Arial" w:hAnsi="Arial" w:cs="Arial"/>
                <w:b/>
                <w:sz w:val="20"/>
                <w:szCs w:val="20"/>
              </w:rPr>
            </w:pPr>
            <w:r w:rsidRPr="002B3F36">
              <w:rPr>
                <w:rFonts w:ascii="Arial" w:hAnsi="Arial" w:cs="Arial"/>
                <w:b/>
                <w:spacing w:val="-2"/>
                <w:sz w:val="20"/>
                <w:szCs w:val="20"/>
              </w:rPr>
              <w:t>Large</w:t>
            </w:r>
          </w:p>
        </w:tc>
        <w:tc>
          <w:tcPr>
            <w:tcW w:w="2377" w:type="dxa"/>
            <w:shd w:val="clear" w:color="auto" w:fill="FFCA24"/>
          </w:tcPr>
          <w:p w14:paraId="7183C30C" w14:textId="77777777" w:rsidR="00F61F8E" w:rsidRPr="002B3F36" w:rsidRDefault="000F264B" w:rsidP="00160801">
            <w:pPr>
              <w:pStyle w:val="TableParagraph"/>
              <w:spacing w:before="195"/>
              <w:ind w:left="1" w:right="4"/>
              <w:jc w:val="center"/>
              <w:rPr>
                <w:rFonts w:ascii="Arial" w:hAnsi="Arial" w:cs="Arial"/>
                <w:b/>
                <w:sz w:val="20"/>
                <w:szCs w:val="20"/>
              </w:rPr>
            </w:pPr>
            <w:r w:rsidRPr="002B3F36">
              <w:rPr>
                <w:rFonts w:ascii="Arial" w:hAnsi="Arial" w:cs="Arial"/>
                <w:b/>
                <w:spacing w:val="-2"/>
                <w:sz w:val="20"/>
                <w:szCs w:val="20"/>
              </w:rPr>
              <w:t>Moderate</w:t>
            </w:r>
          </w:p>
        </w:tc>
        <w:tc>
          <w:tcPr>
            <w:tcW w:w="2485" w:type="dxa"/>
            <w:shd w:val="clear" w:color="auto" w:fill="FF4646"/>
          </w:tcPr>
          <w:p w14:paraId="66DE9EC4" w14:textId="77777777" w:rsidR="00F61F8E" w:rsidRPr="002B3F36" w:rsidRDefault="000F264B" w:rsidP="00160801">
            <w:pPr>
              <w:pStyle w:val="TableParagraph"/>
              <w:spacing w:before="195"/>
              <w:ind w:left="2" w:right="7"/>
              <w:jc w:val="center"/>
              <w:rPr>
                <w:rFonts w:ascii="Arial" w:hAnsi="Arial" w:cs="Arial"/>
                <w:b/>
                <w:sz w:val="20"/>
                <w:szCs w:val="20"/>
              </w:rPr>
            </w:pPr>
            <w:r w:rsidRPr="002B3F36">
              <w:rPr>
                <w:rFonts w:ascii="Arial" w:hAnsi="Arial" w:cs="Arial"/>
                <w:b/>
                <w:spacing w:val="-2"/>
                <w:sz w:val="20"/>
                <w:szCs w:val="20"/>
              </w:rPr>
              <w:t>Major</w:t>
            </w:r>
          </w:p>
        </w:tc>
        <w:tc>
          <w:tcPr>
            <w:tcW w:w="2272" w:type="dxa"/>
            <w:shd w:val="clear" w:color="auto" w:fill="FF4646"/>
          </w:tcPr>
          <w:p w14:paraId="057DA557" w14:textId="77777777" w:rsidR="00F61F8E" w:rsidRPr="002B3F36" w:rsidRDefault="000F264B" w:rsidP="00160801">
            <w:pPr>
              <w:pStyle w:val="TableParagraph"/>
              <w:spacing w:before="195"/>
              <w:ind w:left="0" w:right="14"/>
              <w:jc w:val="center"/>
              <w:rPr>
                <w:rFonts w:ascii="Arial" w:hAnsi="Arial" w:cs="Arial"/>
                <w:b/>
                <w:sz w:val="20"/>
                <w:szCs w:val="20"/>
              </w:rPr>
            </w:pPr>
            <w:r w:rsidRPr="002B3F36">
              <w:rPr>
                <w:rFonts w:ascii="Arial" w:hAnsi="Arial" w:cs="Arial"/>
                <w:b/>
                <w:spacing w:val="-2"/>
                <w:sz w:val="20"/>
                <w:szCs w:val="20"/>
              </w:rPr>
              <w:t>Major</w:t>
            </w:r>
          </w:p>
        </w:tc>
      </w:tr>
    </w:tbl>
    <w:p w14:paraId="73314A53" w14:textId="77777777" w:rsidR="00F61F8E" w:rsidRPr="002B3F36" w:rsidRDefault="00F61F8E">
      <w:pPr>
        <w:pStyle w:val="a5"/>
        <w:spacing w:before="7"/>
        <w:jc w:val="both"/>
        <w:rPr>
          <w:rFonts w:ascii="Arial" w:hAnsi="Arial" w:cs="Arial"/>
        </w:rPr>
      </w:pPr>
    </w:p>
    <w:p w14:paraId="44FD3FD9" w14:textId="62CE4127" w:rsidR="00F61F8E" w:rsidRPr="002B3F36" w:rsidRDefault="000F264B" w:rsidP="0077675E">
      <w:pPr>
        <w:pStyle w:val="ReportBodyTextNogap"/>
      </w:pPr>
      <w:r w:rsidRPr="002B3F36">
        <w:t>Impacts that are moderate or major are considered significant and warrant further consideration</w:t>
      </w:r>
      <w:r w:rsidRPr="002B3F36">
        <w:rPr>
          <w:spacing w:val="-4"/>
        </w:rPr>
        <w:t xml:space="preserve"> </w:t>
      </w:r>
      <w:r w:rsidRPr="002B3F36">
        <w:t>as</w:t>
      </w:r>
      <w:r w:rsidRPr="002B3F36">
        <w:rPr>
          <w:spacing w:val="-6"/>
        </w:rPr>
        <w:t xml:space="preserve"> </w:t>
      </w:r>
      <w:r w:rsidRPr="002B3F36">
        <w:t>to</w:t>
      </w:r>
      <w:r w:rsidRPr="002B3F36">
        <w:rPr>
          <w:spacing w:val="-3"/>
        </w:rPr>
        <w:t xml:space="preserve"> </w:t>
      </w:r>
      <w:r w:rsidRPr="002B3F36">
        <w:t>whether</w:t>
      </w:r>
      <w:r w:rsidRPr="002B3F36">
        <w:rPr>
          <w:spacing w:val="-6"/>
        </w:rPr>
        <w:t xml:space="preserve"> </w:t>
      </w:r>
      <w:r w:rsidRPr="002B3F36">
        <w:t>the</w:t>
      </w:r>
      <w:r w:rsidRPr="002B3F36">
        <w:rPr>
          <w:spacing w:val="-4"/>
        </w:rPr>
        <w:t xml:space="preserve"> </w:t>
      </w:r>
      <w:r w:rsidRPr="002B3F36">
        <w:t>impact</w:t>
      </w:r>
      <w:r w:rsidRPr="002B3F36">
        <w:rPr>
          <w:spacing w:val="-5"/>
        </w:rPr>
        <w:t xml:space="preserve"> </w:t>
      </w:r>
      <w:r w:rsidRPr="002B3F36">
        <w:t>has</w:t>
      </w:r>
      <w:r w:rsidRPr="002B3F36">
        <w:rPr>
          <w:spacing w:val="-3"/>
        </w:rPr>
        <w:t xml:space="preserve"> </w:t>
      </w:r>
      <w:r w:rsidRPr="002B3F36">
        <w:t>been</w:t>
      </w:r>
      <w:r w:rsidRPr="002B3F36">
        <w:rPr>
          <w:spacing w:val="-4"/>
        </w:rPr>
        <w:t xml:space="preserve"> </w:t>
      </w:r>
      <w:r w:rsidRPr="002B3F36">
        <w:t>reduced</w:t>
      </w:r>
      <w:r w:rsidRPr="002B3F36">
        <w:rPr>
          <w:spacing w:val="-4"/>
        </w:rPr>
        <w:t xml:space="preserve"> </w:t>
      </w:r>
      <w:r w:rsidRPr="002B3F36">
        <w:t>to</w:t>
      </w:r>
      <w:r w:rsidRPr="002B3F36">
        <w:rPr>
          <w:spacing w:val="-6"/>
        </w:rPr>
        <w:t xml:space="preserve"> </w:t>
      </w:r>
      <w:r w:rsidRPr="002B3F36">
        <w:t>as</w:t>
      </w:r>
      <w:r w:rsidRPr="002B3F36">
        <w:rPr>
          <w:spacing w:val="-3"/>
        </w:rPr>
        <w:t xml:space="preserve"> </w:t>
      </w:r>
      <w:r w:rsidRPr="002B3F36">
        <w:t>low</w:t>
      </w:r>
      <w:r w:rsidRPr="002B3F36">
        <w:rPr>
          <w:spacing w:val="-3"/>
        </w:rPr>
        <w:t xml:space="preserve"> </w:t>
      </w:r>
      <w:r w:rsidRPr="002B3F36">
        <w:t>as</w:t>
      </w:r>
      <w:r w:rsidRPr="002B3F36">
        <w:rPr>
          <w:spacing w:val="-4"/>
        </w:rPr>
        <w:t xml:space="preserve"> </w:t>
      </w:r>
      <w:r w:rsidRPr="002B3F36">
        <w:t>reasonably</w:t>
      </w:r>
      <w:r w:rsidRPr="002B3F36">
        <w:rPr>
          <w:spacing w:val="-5"/>
        </w:rPr>
        <w:t xml:space="preserve"> </w:t>
      </w:r>
      <w:r w:rsidRPr="002B3F36">
        <w:t xml:space="preserve">practicable (ALARP) and/or whether additional mitigation to reduce the impact is practical, feasible and cost-effective. Negligible and minor impacts are not significant (which is different from insignificant) and do not require further consideration for ALARP or mitigation. </w:t>
      </w:r>
      <w:hyperlink w:anchor="_bookmark124" w:history="1">
        <w:r w:rsidRPr="002B3F36">
          <w:rPr>
            <w:b/>
          </w:rPr>
          <w:t>Table</w:t>
        </w:r>
        <w:r w:rsidR="00B171C6" w:rsidRPr="002B3F36">
          <w:rPr>
            <w:b/>
          </w:rPr>
          <w:t xml:space="preserve"> below</w:t>
        </w:r>
      </w:hyperlink>
      <w:r w:rsidRPr="002B3F36">
        <w:rPr>
          <w:b/>
        </w:rPr>
        <w:t xml:space="preserve"> </w:t>
      </w:r>
      <w:r w:rsidRPr="002B3F36">
        <w:t>describes the impact significances</w:t>
      </w:r>
      <w:r w:rsidR="0046239D" w:rsidRPr="002B3F36">
        <w:t xml:space="preserve"> or severity</w:t>
      </w:r>
      <w:r w:rsidRPr="002B3F36">
        <w:t>.</w:t>
      </w:r>
    </w:p>
    <w:p w14:paraId="42873EAD" w14:textId="77777777" w:rsidR="00F61F8E" w:rsidRPr="002B3F36" w:rsidRDefault="00F61F8E" w:rsidP="0077675E">
      <w:pPr>
        <w:pStyle w:val="ReportBodyTextNogap"/>
      </w:pPr>
    </w:p>
    <w:p w14:paraId="597C3A54" w14:textId="71AC316F" w:rsidR="00F61F8E" w:rsidRPr="002B3F36" w:rsidRDefault="007B0D57" w:rsidP="006501B7">
      <w:pPr>
        <w:pStyle w:val="CaptionTable"/>
      </w:pPr>
      <w:bookmarkStart w:id="2159" w:name="_bookmark124"/>
      <w:bookmarkStart w:id="2160" w:name="_Toc210589573"/>
      <w:bookmarkEnd w:id="2159"/>
      <w:r w:rsidRPr="002B3F36">
        <w:t xml:space="preserve">Table </w:t>
      </w:r>
      <w:r w:rsidR="00F3729F" w:rsidRPr="002B3F36">
        <w:fldChar w:fldCharType="begin"/>
      </w:r>
      <w:r w:rsidR="00F3729F" w:rsidRPr="002B3F36">
        <w:rPr>
          <w:noProof/>
        </w:rPr>
        <w:instrText xml:space="preserve"> SEQ Table \* ARABIC </w:instrText>
      </w:r>
      <w:r w:rsidR="00F3729F" w:rsidRPr="002B3F36">
        <w:fldChar w:fldCharType="separate"/>
      </w:r>
      <w:r w:rsidR="00A023DA">
        <w:rPr>
          <w:noProof/>
        </w:rPr>
        <w:t>29</w:t>
      </w:r>
      <w:r w:rsidR="00F3729F" w:rsidRPr="002B3F36">
        <w:fldChar w:fldCharType="end"/>
      </w:r>
      <w:r w:rsidR="000F264B" w:rsidRPr="002B3F36">
        <w:t>:</w:t>
      </w:r>
      <w:r w:rsidR="006D654A" w:rsidRPr="002B3F36">
        <w:t xml:space="preserve"> </w:t>
      </w:r>
      <w:bookmarkStart w:id="2161" w:name="_Hlk210155247"/>
      <w:r w:rsidR="000126FC" w:rsidRPr="002B3F36">
        <w:t xml:space="preserve">Description </w:t>
      </w:r>
      <w:r w:rsidR="00B95A8C" w:rsidRPr="002B3F36">
        <w:t>o</w:t>
      </w:r>
      <w:r w:rsidR="000126FC" w:rsidRPr="002B3F36">
        <w:t>f Impact Significances</w:t>
      </w:r>
      <w:bookmarkEnd w:id="2160"/>
    </w:p>
    <w:tbl>
      <w:tblP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75"/>
        <w:gridCol w:w="8058"/>
      </w:tblGrid>
      <w:tr w:rsidR="00F61F8E" w:rsidRPr="002B3F36" w14:paraId="47BB9D0E" w14:textId="77777777" w:rsidTr="00D86357">
        <w:trPr>
          <w:trHeight w:val="121"/>
          <w:tblHeader/>
        </w:trPr>
        <w:tc>
          <w:tcPr>
            <w:tcW w:w="1575" w:type="dxa"/>
            <w:shd w:val="clear" w:color="auto" w:fill="D2DED2"/>
          </w:tcPr>
          <w:p w14:paraId="7AF75BD8" w14:textId="77777777" w:rsidR="00F61F8E" w:rsidRPr="002B3F36" w:rsidRDefault="000F264B" w:rsidP="00160801">
            <w:pPr>
              <w:pStyle w:val="TableParagraph"/>
              <w:spacing w:before="0"/>
              <w:ind w:left="108"/>
              <w:jc w:val="both"/>
              <w:rPr>
                <w:rFonts w:ascii="Arial" w:hAnsi="Arial" w:cs="Arial"/>
                <w:b/>
                <w:sz w:val="20"/>
                <w:szCs w:val="20"/>
              </w:rPr>
            </w:pPr>
            <w:bookmarkStart w:id="2162" w:name="_Hlk210155207"/>
            <w:r w:rsidRPr="002B3F36">
              <w:rPr>
                <w:rFonts w:ascii="Arial" w:hAnsi="Arial" w:cs="Arial"/>
                <w:b/>
                <w:spacing w:val="-2"/>
                <w:sz w:val="20"/>
                <w:szCs w:val="20"/>
              </w:rPr>
              <w:t>Significance</w:t>
            </w:r>
          </w:p>
        </w:tc>
        <w:tc>
          <w:tcPr>
            <w:tcW w:w="8058" w:type="dxa"/>
            <w:shd w:val="clear" w:color="auto" w:fill="D2DED2"/>
          </w:tcPr>
          <w:p w14:paraId="7E8B795B" w14:textId="77777777" w:rsidR="00F61F8E" w:rsidRPr="002B3F36" w:rsidRDefault="000F264B" w:rsidP="00160801">
            <w:pPr>
              <w:pStyle w:val="TableParagraph"/>
              <w:spacing w:before="0"/>
              <w:ind w:left="102"/>
              <w:jc w:val="both"/>
              <w:rPr>
                <w:rFonts w:ascii="Arial" w:hAnsi="Arial" w:cs="Arial"/>
                <w:b/>
                <w:sz w:val="20"/>
                <w:szCs w:val="20"/>
              </w:rPr>
            </w:pPr>
            <w:r w:rsidRPr="002B3F36">
              <w:rPr>
                <w:rFonts w:ascii="Arial" w:hAnsi="Arial" w:cs="Arial"/>
                <w:b/>
                <w:spacing w:val="-2"/>
                <w:sz w:val="20"/>
                <w:szCs w:val="20"/>
              </w:rPr>
              <w:t>Description</w:t>
            </w:r>
          </w:p>
        </w:tc>
      </w:tr>
      <w:bookmarkEnd w:id="2161"/>
      <w:tr w:rsidR="00F61F8E" w:rsidRPr="002B3F36" w14:paraId="305F03C7" w14:textId="77777777" w:rsidTr="00F82096">
        <w:trPr>
          <w:trHeight w:val="390"/>
        </w:trPr>
        <w:tc>
          <w:tcPr>
            <w:tcW w:w="1575" w:type="dxa"/>
            <w:shd w:val="clear" w:color="auto" w:fill="E4E7E4"/>
          </w:tcPr>
          <w:p w14:paraId="03850BD0" w14:textId="77777777" w:rsidR="00F61F8E" w:rsidRPr="002B3F36" w:rsidRDefault="000F264B" w:rsidP="00160801">
            <w:pPr>
              <w:pStyle w:val="TableParagraph"/>
              <w:spacing w:before="0"/>
              <w:ind w:left="108"/>
              <w:jc w:val="both"/>
              <w:rPr>
                <w:rFonts w:ascii="Arial" w:hAnsi="Arial" w:cs="Arial"/>
                <w:b/>
                <w:sz w:val="20"/>
                <w:szCs w:val="20"/>
              </w:rPr>
            </w:pPr>
            <w:r w:rsidRPr="002B3F36">
              <w:rPr>
                <w:rFonts w:ascii="Arial" w:hAnsi="Arial" w:cs="Arial"/>
                <w:b/>
                <w:spacing w:val="-2"/>
                <w:sz w:val="20"/>
                <w:szCs w:val="20"/>
              </w:rPr>
              <w:t>Negligible</w:t>
            </w:r>
          </w:p>
        </w:tc>
        <w:tc>
          <w:tcPr>
            <w:tcW w:w="8058" w:type="dxa"/>
          </w:tcPr>
          <w:p w14:paraId="2222E95B" w14:textId="77777777" w:rsidR="00F61F8E" w:rsidRPr="002B3F36" w:rsidRDefault="000F264B" w:rsidP="00160801">
            <w:pPr>
              <w:pStyle w:val="TableParagraph"/>
              <w:spacing w:before="0"/>
              <w:ind w:left="102"/>
              <w:jc w:val="both"/>
              <w:rPr>
                <w:rFonts w:ascii="Arial" w:hAnsi="Arial" w:cs="Arial"/>
                <w:sz w:val="20"/>
                <w:szCs w:val="20"/>
              </w:rPr>
            </w:pPr>
            <w:r w:rsidRPr="002B3F36">
              <w:rPr>
                <w:rFonts w:ascii="Arial" w:hAnsi="Arial" w:cs="Arial"/>
                <w:sz w:val="20"/>
                <w:szCs w:val="20"/>
              </w:rPr>
              <w:t>An</w:t>
            </w:r>
            <w:r w:rsidRPr="002B3F36">
              <w:rPr>
                <w:rFonts w:ascii="Arial" w:hAnsi="Arial" w:cs="Arial"/>
                <w:spacing w:val="-5"/>
                <w:sz w:val="20"/>
                <w:szCs w:val="20"/>
              </w:rPr>
              <w:t xml:space="preserve"> </w:t>
            </w:r>
            <w:r w:rsidRPr="002B3F36">
              <w:rPr>
                <w:rFonts w:ascii="Arial" w:hAnsi="Arial" w:cs="Arial"/>
                <w:sz w:val="20"/>
                <w:szCs w:val="20"/>
              </w:rPr>
              <w:t>impact</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4"/>
                <w:sz w:val="20"/>
                <w:szCs w:val="20"/>
              </w:rPr>
              <w:t xml:space="preserve"> </w:t>
            </w:r>
            <w:r w:rsidRPr="002B3F36">
              <w:rPr>
                <w:rFonts w:ascii="Arial" w:hAnsi="Arial" w:cs="Arial"/>
                <w:b/>
                <w:sz w:val="20"/>
                <w:szCs w:val="20"/>
              </w:rPr>
              <w:t>negligible</w:t>
            </w:r>
            <w:r w:rsidRPr="002B3F36">
              <w:rPr>
                <w:rFonts w:ascii="Arial" w:hAnsi="Arial" w:cs="Arial"/>
                <w:b/>
                <w:spacing w:val="-2"/>
                <w:sz w:val="20"/>
                <w:szCs w:val="20"/>
              </w:rPr>
              <w:t xml:space="preserve"> </w:t>
            </w:r>
            <w:r w:rsidRPr="002B3F36">
              <w:rPr>
                <w:rFonts w:ascii="Arial" w:hAnsi="Arial" w:cs="Arial"/>
                <w:b/>
                <w:sz w:val="20"/>
                <w:szCs w:val="20"/>
              </w:rPr>
              <w:t>significance</w:t>
            </w:r>
            <w:r w:rsidRPr="002B3F36">
              <w:rPr>
                <w:rFonts w:ascii="Arial" w:hAnsi="Arial" w:cs="Arial"/>
                <w:b/>
                <w:spacing w:val="-1"/>
                <w:sz w:val="20"/>
                <w:szCs w:val="20"/>
              </w:rPr>
              <w:t xml:space="preserve"> </w:t>
            </w:r>
            <w:r w:rsidRPr="002B3F36">
              <w:rPr>
                <w:rFonts w:ascii="Arial" w:hAnsi="Arial" w:cs="Arial"/>
                <w:sz w:val="20"/>
                <w:szCs w:val="20"/>
              </w:rPr>
              <w:t>is</w:t>
            </w:r>
            <w:r w:rsidRPr="002B3F36">
              <w:rPr>
                <w:rFonts w:ascii="Arial" w:hAnsi="Arial" w:cs="Arial"/>
                <w:spacing w:val="-4"/>
                <w:sz w:val="20"/>
                <w:szCs w:val="20"/>
              </w:rPr>
              <w:t xml:space="preserve"> </w:t>
            </w:r>
            <w:r w:rsidRPr="002B3F36">
              <w:rPr>
                <w:rFonts w:ascii="Arial" w:hAnsi="Arial" w:cs="Arial"/>
                <w:sz w:val="20"/>
                <w:szCs w:val="20"/>
              </w:rPr>
              <w:t>one</w:t>
            </w:r>
            <w:r w:rsidRPr="002B3F36">
              <w:rPr>
                <w:rFonts w:ascii="Arial" w:hAnsi="Arial" w:cs="Arial"/>
                <w:spacing w:val="-4"/>
                <w:sz w:val="20"/>
                <w:szCs w:val="20"/>
              </w:rPr>
              <w:t xml:space="preserve"> </w:t>
            </w:r>
            <w:r w:rsidRPr="002B3F36">
              <w:rPr>
                <w:rFonts w:ascii="Arial" w:hAnsi="Arial" w:cs="Arial"/>
                <w:sz w:val="20"/>
                <w:szCs w:val="20"/>
              </w:rPr>
              <w:t>where</w:t>
            </w:r>
            <w:r w:rsidRPr="002B3F36">
              <w:rPr>
                <w:rFonts w:ascii="Arial" w:hAnsi="Arial" w:cs="Arial"/>
                <w:spacing w:val="-4"/>
                <w:sz w:val="20"/>
                <w:szCs w:val="20"/>
              </w:rPr>
              <w:t xml:space="preserve"> </w:t>
            </w:r>
            <w:r w:rsidRPr="002B3F36">
              <w:rPr>
                <w:rFonts w:ascii="Arial" w:hAnsi="Arial" w:cs="Arial"/>
                <w:sz w:val="20"/>
                <w:szCs w:val="20"/>
              </w:rPr>
              <w:t>a</w:t>
            </w:r>
            <w:r w:rsidRPr="002B3F36">
              <w:rPr>
                <w:rFonts w:ascii="Arial" w:hAnsi="Arial" w:cs="Arial"/>
                <w:spacing w:val="-2"/>
                <w:sz w:val="20"/>
                <w:szCs w:val="20"/>
              </w:rPr>
              <w:t xml:space="preserve"> </w:t>
            </w:r>
            <w:r w:rsidRPr="002B3F36">
              <w:rPr>
                <w:rFonts w:ascii="Arial" w:hAnsi="Arial" w:cs="Arial"/>
                <w:sz w:val="20"/>
                <w:szCs w:val="20"/>
              </w:rPr>
              <w:t>receptor</w:t>
            </w:r>
            <w:r w:rsidRPr="002B3F36">
              <w:rPr>
                <w:rFonts w:ascii="Arial" w:hAnsi="Arial" w:cs="Arial"/>
                <w:spacing w:val="-4"/>
                <w:sz w:val="20"/>
                <w:szCs w:val="20"/>
              </w:rPr>
              <w:t xml:space="preserve"> </w:t>
            </w:r>
            <w:r w:rsidRPr="002B3F36">
              <w:rPr>
                <w:rFonts w:ascii="Arial" w:hAnsi="Arial" w:cs="Arial"/>
                <w:sz w:val="20"/>
                <w:szCs w:val="20"/>
              </w:rPr>
              <w:t>will</w:t>
            </w:r>
            <w:r w:rsidRPr="002B3F36">
              <w:rPr>
                <w:rFonts w:ascii="Arial" w:hAnsi="Arial" w:cs="Arial"/>
                <w:spacing w:val="-3"/>
                <w:sz w:val="20"/>
                <w:szCs w:val="20"/>
              </w:rPr>
              <w:t xml:space="preserve"> </w:t>
            </w:r>
            <w:r w:rsidRPr="002B3F36">
              <w:rPr>
                <w:rFonts w:ascii="Arial" w:hAnsi="Arial" w:cs="Arial"/>
                <w:sz w:val="20"/>
                <w:szCs w:val="20"/>
              </w:rPr>
              <w:t>essentially</w:t>
            </w:r>
            <w:r w:rsidRPr="002B3F36">
              <w:rPr>
                <w:rFonts w:ascii="Arial" w:hAnsi="Arial" w:cs="Arial"/>
                <w:spacing w:val="-5"/>
                <w:sz w:val="20"/>
                <w:szCs w:val="20"/>
              </w:rPr>
              <w:t xml:space="preserve"> </w:t>
            </w:r>
            <w:r w:rsidRPr="002B3F36">
              <w:rPr>
                <w:rFonts w:ascii="Arial" w:hAnsi="Arial" w:cs="Arial"/>
                <w:sz w:val="20"/>
                <w:szCs w:val="20"/>
              </w:rPr>
              <w:t>not</w:t>
            </w:r>
            <w:r w:rsidRPr="002B3F36">
              <w:rPr>
                <w:rFonts w:ascii="Arial" w:hAnsi="Arial" w:cs="Arial"/>
                <w:spacing w:val="-3"/>
                <w:sz w:val="20"/>
                <w:szCs w:val="20"/>
              </w:rPr>
              <w:t xml:space="preserve"> </w:t>
            </w:r>
            <w:r w:rsidRPr="002B3F36">
              <w:rPr>
                <w:rFonts w:ascii="Arial" w:hAnsi="Arial" w:cs="Arial"/>
                <w:sz w:val="20"/>
                <w:szCs w:val="20"/>
              </w:rPr>
              <w:t>be affected in any way by a particular activity, or the predicted effect is deemed to be ‘imperceptible’ or is indistinguishable from natural background variations.</w:t>
            </w:r>
          </w:p>
        </w:tc>
      </w:tr>
      <w:tr w:rsidR="00F61F8E" w:rsidRPr="002B3F36" w14:paraId="2540A395" w14:textId="77777777" w:rsidTr="00F82096">
        <w:trPr>
          <w:trHeight w:val="624"/>
        </w:trPr>
        <w:tc>
          <w:tcPr>
            <w:tcW w:w="1575" w:type="dxa"/>
            <w:shd w:val="clear" w:color="auto" w:fill="FFFF99"/>
          </w:tcPr>
          <w:p w14:paraId="4820BA37" w14:textId="77777777" w:rsidR="00F61F8E" w:rsidRPr="002B3F36" w:rsidRDefault="000F264B" w:rsidP="00160801">
            <w:pPr>
              <w:pStyle w:val="TableParagraph"/>
              <w:spacing w:before="0"/>
              <w:ind w:left="108"/>
              <w:jc w:val="both"/>
              <w:rPr>
                <w:rFonts w:ascii="Arial" w:hAnsi="Arial" w:cs="Arial"/>
                <w:b/>
                <w:sz w:val="20"/>
                <w:szCs w:val="20"/>
              </w:rPr>
            </w:pPr>
            <w:r w:rsidRPr="002B3F36">
              <w:rPr>
                <w:rFonts w:ascii="Arial" w:hAnsi="Arial" w:cs="Arial"/>
                <w:b/>
                <w:spacing w:val="-2"/>
                <w:sz w:val="20"/>
                <w:szCs w:val="20"/>
              </w:rPr>
              <w:t>Minor</w:t>
            </w:r>
          </w:p>
        </w:tc>
        <w:tc>
          <w:tcPr>
            <w:tcW w:w="8058" w:type="dxa"/>
          </w:tcPr>
          <w:p w14:paraId="2A94B06A" w14:textId="77777777" w:rsidR="00F61F8E" w:rsidRPr="002B3F36" w:rsidRDefault="000F264B" w:rsidP="00160801">
            <w:pPr>
              <w:pStyle w:val="TableParagraph"/>
              <w:spacing w:before="0"/>
              <w:ind w:left="102"/>
              <w:jc w:val="both"/>
              <w:rPr>
                <w:rFonts w:ascii="Arial" w:hAnsi="Arial" w:cs="Arial"/>
                <w:sz w:val="20"/>
                <w:szCs w:val="20"/>
              </w:rPr>
            </w:pPr>
            <w:r w:rsidRPr="002B3F36">
              <w:rPr>
                <w:rFonts w:ascii="Arial" w:hAnsi="Arial" w:cs="Arial"/>
                <w:sz w:val="20"/>
                <w:szCs w:val="20"/>
              </w:rPr>
              <w:t>An</w:t>
            </w:r>
            <w:r w:rsidRPr="002B3F36">
              <w:rPr>
                <w:rFonts w:ascii="Arial" w:hAnsi="Arial" w:cs="Arial"/>
                <w:spacing w:val="-5"/>
                <w:sz w:val="20"/>
                <w:szCs w:val="20"/>
              </w:rPr>
              <w:t xml:space="preserve"> </w:t>
            </w:r>
            <w:r w:rsidRPr="002B3F36">
              <w:rPr>
                <w:rFonts w:ascii="Arial" w:hAnsi="Arial" w:cs="Arial"/>
                <w:sz w:val="20"/>
                <w:szCs w:val="20"/>
              </w:rPr>
              <w:t>impact</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4"/>
                <w:sz w:val="20"/>
                <w:szCs w:val="20"/>
              </w:rPr>
              <w:t xml:space="preserve"> </w:t>
            </w:r>
            <w:r w:rsidRPr="002B3F36">
              <w:rPr>
                <w:rFonts w:ascii="Arial" w:hAnsi="Arial" w:cs="Arial"/>
                <w:b/>
                <w:sz w:val="20"/>
                <w:szCs w:val="20"/>
              </w:rPr>
              <w:t>minor</w:t>
            </w:r>
            <w:r w:rsidRPr="002B3F36">
              <w:rPr>
                <w:rFonts w:ascii="Arial" w:hAnsi="Arial" w:cs="Arial"/>
                <w:b/>
                <w:spacing w:val="-3"/>
                <w:sz w:val="20"/>
                <w:szCs w:val="20"/>
              </w:rPr>
              <w:t xml:space="preserve"> </w:t>
            </w:r>
            <w:r w:rsidRPr="002B3F36">
              <w:rPr>
                <w:rFonts w:ascii="Arial" w:hAnsi="Arial" w:cs="Arial"/>
                <w:b/>
                <w:sz w:val="20"/>
                <w:szCs w:val="20"/>
              </w:rPr>
              <w:t>significance</w:t>
            </w:r>
            <w:r w:rsidRPr="002B3F36">
              <w:rPr>
                <w:rFonts w:ascii="Arial" w:hAnsi="Arial" w:cs="Arial"/>
                <w:b/>
                <w:spacing w:val="-1"/>
                <w:sz w:val="20"/>
                <w:szCs w:val="20"/>
              </w:rPr>
              <w:t xml:space="preserve"> </w:t>
            </w:r>
            <w:r w:rsidRPr="002B3F36">
              <w:rPr>
                <w:rFonts w:ascii="Arial" w:hAnsi="Arial" w:cs="Arial"/>
                <w:sz w:val="20"/>
                <w:szCs w:val="20"/>
              </w:rPr>
              <w:t>is</w:t>
            </w:r>
            <w:r w:rsidRPr="002B3F36">
              <w:rPr>
                <w:rFonts w:ascii="Arial" w:hAnsi="Arial" w:cs="Arial"/>
                <w:spacing w:val="-4"/>
                <w:sz w:val="20"/>
                <w:szCs w:val="20"/>
              </w:rPr>
              <w:t xml:space="preserve"> </w:t>
            </w:r>
            <w:r w:rsidRPr="002B3F36">
              <w:rPr>
                <w:rFonts w:ascii="Arial" w:hAnsi="Arial" w:cs="Arial"/>
                <w:sz w:val="20"/>
                <w:szCs w:val="20"/>
              </w:rPr>
              <w:t>one</w:t>
            </w:r>
            <w:r w:rsidRPr="002B3F36">
              <w:rPr>
                <w:rFonts w:ascii="Arial" w:hAnsi="Arial" w:cs="Arial"/>
                <w:spacing w:val="-4"/>
                <w:sz w:val="20"/>
                <w:szCs w:val="20"/>
              </w:rPr>
              <w:t xml:space="preserve"> </w:t>
            </w:r>
            <w:r w:rsidRPr="002B3F36">
              <w:rPr>
                <w:rFonts w:ascii="Arial" w:hAnsi="Arial" w:cs="Arial"/>
                <w:sz w:val="20"/>
                <w:szCs w:val="20"/>
              </w:rPr>
              <w:t>where</w:t>
            </w:r>
            <w:r w:rsidRPr="002B3F36">
              <w:rPr>
                <w:rFonts w:ascii="Arial" w:hAnsi="Arial" w:cs="Arial"/>
                <w:spacing w:val="-4"/>
                <w:sz w:val="20"/>
                <w:szCs w:val="20"/>
              </w:rPr>
              <w:t xml:space="preserve"> </w:t>
            </w:r>
            <w:r w:rsidRPr="002B3F36">
              <w:rPr>
                <w:rFonts w:ascii="Arial" w:hAnsi="Arial" w:cs="Arial"/>
                <w:sz w:val="20"/>
                <w:szCs w:val="20"/>
              </w:rPr>
              <w:t>a</w:t>
            </w:r>
            <w:r w:rsidRPr="002B3F36">
              <w:rPr>
                <w:rFonts w:ascii="Arial" w:hAnsi="Arial" w:cs="Arial"/>
                <w:spacing w:val="-4"/>
                <w:sz w:val="20"/>
                <w:szCs w:val="20"/>
              </w:rPr>
              <w:t xml:space="preserve"> </w:t>
            </w:r>
            <w:r w:rsidRPr="002B3F36">
              <w:rPr>
                <w:rFonts w:ascii="Arial" w:hAnsi="Arial" w:cs="Arial"/>
                <w:sz w:val="20"/>
                <w:szCs w:val="20"/>
              </w:rPr>
              <w:t>receptor</w:t>
            </w:r>
            <w:r w:rsidRPr="002B3F36">
              <w:rPr>
                <w:rFonts w:ascii="Arial" w:hAnsi="Arial" w:cs="Arial"/>
                <w:spacing w:val="-4"/>
                <w:sz w:val="20"/>
                <w:szCs w:val="20"/>
              </w:rPr>
              <w:t xml:space="preserve"> </w:t>
            </w:r>
            <w:r w:rsidRPr="002B3F36">
              <w:rPr>
                <w:rFonts w:ascii="Arial" w:hAnsi="Arial" w:cs="Arial"/>
                <w:sz w:val="20"/>
                <w:szCs w:val="20"/>
              </w:rPr>
              <w:t>will</w:t>
            </w:r>
            <w:r w:rsidRPr="002B3F36">
              <w:rPr>
                <w:rFonts w:ascii="Arial" w:hAnsi="Arial" w:cs="Arial"/>
                <w:spacing w:val="-3"/>
                <w:sz w:val="20"/>
                <w:szCs w:val="20"/>
              </w:rPr>
              <w:t xml:space="preserve"> </w:t>
            </w:r>
            <w:r w:rsidRPr="002B3F36">
              <w:rPr>
                <w:rFonts w:ascii="Arial" w:hAnsi="Arial" w:cs="Arial"/>
                <w:sz w:val="20"/>
                <w:szCs w:val="20"/>
              </w:rPr>
              <w:t>experience</w:t>
            </w:r>
            <w:r w:rsidRPr="002B3F36">
              <w:rPr>
                <w:rFonts w:ascii="Arial" w:hAnsi="Arial" w:cs="Arial"/>
                <w:spacing w:val="-3"/>
                <w:sz w:val="20"/>
                <w:szCs w:val="20"/>
              </w:rPr>
              <w:t xml:space="preserve"> </w:t>
            </w:r>
            <w:r w:rsidRPr="002B3F36">
              <w:rPr>
                <w:rFonts w:ascii="Arial" w:hAnsi="Arial" w:cs="Arial"/>
                <w:sz w:val="20"/>
                <w:szCs w:val="20"/>
              </w:rPr>
              <w:t>a</w:t>
            </w:r>
            <w:r w:rsidRPr="002B3F36">
              <w:rPr>
                <w:rFonts w:ascii="Arial" w:hAnsi="Arial" w:cs="Arial"/>
                <w:spacing w:val="-5"/>
                <w:sz w:val="20"/>
                <w:szCs w:val="20"/>
              </w:rPr>
              <w:t xml:space="preserve"> </w:t>
            </w:r>
            <w:r w:rsidRPr="002B3F36">
              <w:rPr>
                <w:rFonts w:ascii="Arial" w:hAnsi="Arial" w:cs="Arial"/>
                <w:sz w:val="20"/>
                <w:szCs w:val="20"/>
              </w:rPr>
              <w:t>noticeable effect, but the impact magnitude is sufficiently small and/or the receptor is of low sensitivity. In either case, the magnitude should be well within applicable standards.</w:t>
            </w:r>
          </w:p>
        </w:tc>
      </w:tr>
      <w:tr w:rsidR="002B14AF" w:rsidRPr="002B3F36" w14:paraId="4E90799D" w14:textId="77777777" w:rsidTr="00F82096">
        <w:trPr>
          <w:trHeight w:val="1830"/>
        </w:trPr>
        <w:tc>
          <w:tcPr>
            <w:tcW w:w="1575" w:type="dxa"/>
            <w:shd w:val="clear" w:color="auto" w:fill="FFCA24"/>
          </w:tcPr>
          <w:p w14:paraId="3BD05323" w14:textId="77777777" w:rsidR="002B14AF" w:rsidRPr="002B3F36" w:rsidRDefault="002B14AF" w:rsidP="00160801">
            <w:pPr>
              <w:pStyle w:val="TableParagraph"/>
              <w:spacing w:before="0"/>
              <w:ind w:left="108"/>
              <w:jc w:val="both"/>
              <w:rPr>
                <w:rFonts w:ascii="Arial" w:hAnsi="Arial" w:cs="Arial"/>
                <w:b/>
                <w:sz w:val="20"/>
                <w:szCs w:val="20"/>
              </w:rPr>
            </w:pPr>
            <w:r w:rsidRPr="002B3F36">
              <w:rPr>
                <w:rFonts w:ascii="Arial" w:hAnsi="Arial" w:cs="Arial"/>
                <w:b/>
                <w:spacing w:val="-2"/>
                <w:sz w:val="20"/>
                <w:szCs w:val="20"/>
              </w:rPr>
              <w:t>Moderate</w:t>
            </w:r>
          </w:p>
        </w:tc>
        <w:tc>
          <w:tcPr>
            <w:tcW w:w="8058" w:type="dxa"/>
          </w:tcPr>
          <w:p w14:paraId="42122E8C" w14:textId="1DA65AC6" w:rsidR="002B14AF" w:rsidRPr="002B3F36" w:rsidRDefault="002B14AF">
            <w:pPr>
              <w:pStyle w:val="TableParagraph"/>
              <w:spacing w:before="0"/>
              <w:ind w:left="102" w:right="120"/>
              <w:jc w:val="both"/>
              <w:rPr>
                <w:rFonts w:ascii="Arial" w:hAnsi="Arial" w:cs="Arial"/>
                <w:sz w:val="20"/>
                <w:szCs w:val="20"/>
              </w:rPr>
            </w:pPr>
            <w:r w:rsidRPr="002B3F36">
              <w:rPr>
                <w:rFonts w:ascii="Arial" w:hAnsi="Arial" w:cs="Arial"/>
                <w:sz w:val="20"/>
                <w:szCs w:val="20"/>
              </w:rPr>
              <w:t xml:space="preserve">An impact of </w:t>
            </w:r>
            <w:r w:rsidRPr="002B3F36">
              <w:rPr>
                <w:rFonts w:ascii="Arial" w:hAnsi="Arial" w:cs="Arial"/>
                <w:b/>
                <w:sz w:val="20"/>
                <w:szCs w:val="20"/>
              </w:rPr>
              <w:t xml:space="preserve">moderate significance </w:t>
            </w:r>
            <w:r w:rsidRPr="002B3F36">
              <w:rPr>
                <w:rFonts w:ascii="Arial" w:hAnsi="Arial" w:cs="Arial"/>
                <w:sz w:val="20"/>
                <w:szCs w:val="20"/>
              </w:rPr>
              <w:t>has an impact magnitude that is within applicable</w:t>
            </w:r>
            <w:r w:rsidRPr="002B3F36">
              <w:rPr>
                <w:rFonts w:ascii="Arial" w:hAnsi="Arial" w:cs="Arial"/>
                <w:spacing w:val="-7"/>
                <w:sz w:val="20"/>
                <w:szCs w:val="20"/>
              </w:rPr>
              <w:t xml:space="preserve"> </w:t>
            </w:r>
            <w:r w:rsidRPr="002B3F36">
              <w:rPr>
                <w:rFonts w:ascii="Arial" w:hAnsi="Arial" w:cs="Arial"/>
                <w:sz w:val="20"/>
                <w:szCs w:val="20"/>
              </w:rPr>
              <w:t>standards,</w:t>
            </w:r>
            <w:r w:rsidRPr="002B3F36">
              <w:rPr>
                <w:rFonts w:ascii="Arial" w:hAnsi="Arial" w:cs="Arial"/>
                <w:spacing w:val="-7"/>
                <w:sz w:val="20"/>
                <w:szCs w:val="20"/>
              </w:rPr>
              <w:t xml:space="preserve"> </w:t>
            </w:r>
            <w:r w:rsidRPr="002B3F36">
              <w:rPr>
                <w:rFonts w:ascii="Arial" w:hAnsi="Arial" w:cs="Arial"/>
                <w:sz w:val="20"/>
                <w:szCs w:val="20"/>
              </w:rPr>
              <w:t>however,</w:t>
            </w:r>
            <w:r w:rsidRPr="002B3F36">
              <w:rPr>
                <w:rFonts w:ascii="Arial" w:hAnsi="Arial" w:cs="Arial"/>
                <w:spacing w:val="-7"/>
                <w:sz w:val="20"/>
                <w:szCs w:val="20"/>
              </w:rPr>
              <w:t xml:space="preserve"> </w:t>
            </w:r>
            <w:r w:rsidRPr="002B3F36">
              <w:rPr>
                <w:rFonts w:ascii="Arial" w:hAnsi="Arial" w:cs="Arial"/>
                <w:sz w:val="20"/>
                <w:szCs w:val="20"/>
              </w:rPr>
              <w:t>falls</w:t>
            </w:r>
            <w:r w:rsidRPr="002B3F36">
              <w:rPr>
                <w:rFonts w:ascii="Arial" w:hAnsi="Arial" w:cs="Arial"/>
                <w:spacing w:val="-7"/>
                <w:sz w:val="20"/>
                <w:szCs w:val="20"/>
              </w:rPr>
              <w:t xml:space="preserve"> </w:t>
            </w:r>
            <w:r w:rsidRPr="002B3F36">
              <w:rPr>
                <w:rFonts w:ascii="Arial" w:hAnsi="Arial" w:cs="Arial"/>
                <w:sz w:val="20"/>
                <w:szCs w:val="20"/>
              </w:rPr>
              <w:t>somewhere</w:t>
            </w:r>
            <w:r w:rsidRPr="002B3F36">
              <w:rPr>
                <w:rFonts w:ascii="Arial" w:hAnsi="Arial" w:cs="Arial"/>
                <w:spacing w:val="-7"/>
                <w:sz w:val="20"/>
                <w:szCs w:val="20"/>
              </w:rPr>
              <w:t xml:space="preserve"> </w:t>
            </w:r>
            <w:r w:rsidRPr="002B3F36">
              <w:rPr>
                <w:rFonts w:ascii="Arial" w:hAnsi="Arial" w:cs="Arial"/>
                <w:sz w:val="20"/>
                <w:szCs w:val="20"/>
              </w:rPr>
              <w:t>in</w:t>
            </w:r>
            <w:r w:rsidRPr="002B3F36">
              <w:rPr>
                <w:rFonts w:ascii="Arial" w:hAnsi="Arial" w:cs="Arial"/>
                <w:spacing w:val="-7"/>
                <w:sz w:val="20"/>
                <w:szCs w:val="20"/>
              </w:rPr>
              <w:t xml:space="preserve"> </w:t>
            </w:r>
            <w:r w:rsidRPr="002B3F36">
              <w:rPr>
                <w:rFonts w:ascii="Arial" w:hAnsi="Arial" w:cs="Arial"/>
                <w:sz w:val="20"/>
                <w:szCs w:val="20"/>
              </w:rPr>
              <w:t>the</w:t>
            </w:r>
            <w:r w:rsidRPr="002B3F36">
              <w:rPr>
                <w:rFonts w:ascii="Arial" w:hAnsi="Arial" w:cs="Arial"/>
                <w:spacing w:val="-7"/>
                <w:sz w:val="20"/>
                <w:szCs w:val="20"/>
              </w:rPr>
              <w:t xml:space="preserve"> </w:t>
            </w:r>
            <w:r w:rsidRPr="002B3F36">
              <w:rPr>
                <w:rFonts w:ascii="Arial" w:hAnsi="Arial" w:cs="Arial"/>
                <w:sz w:val="20"/>
                <w:szCs w:val="20"/>
              </w:rPr>
              <w:t>range</w:t>
            </w:r>
            <w:r w:rsidRPr="002B3F36">
              <w:rPr>
                <w:rFonts w:ascii="Arial" w:hAnsi="Arial" w:cs="Arial"/>
                <w:spacing w:val="-7"/>
                <w:sz w:val="20"/>
                <w:szCs w:val="20"/>
              </w:rPr>
              <w:t xml:space="preserve"> </w:t>
            </w:r>
            <w:r w:rsidRPr="002B3F36">
              <w:rPr>
                <w:rFonts w:ascii="Arial" w:hAnsi="Arial" w:cs="Arial"/>
                <w:sz w:val="20"/>
                <w:szCs w:val="20"/>
              </w:rPr>
              <w:t>from</w:t>
            </w:r>
            <w:r w:rsidRPr="002B3F36">
              <w:rPr>
                <w:rFonts w:ascii="Arial" w:hAnsi="Arial" w:cs="Arial"/>
                <w:spacing w:val="-7"/>
                <w:sz w:val="20"/>
                <w:szCs w:val="20"/>
              </w:rPr>
              <w:t xml:space="preserve"> </w:t>
            </w:r>
            <w:r w:rsidRPr="002B3F36">
              <w:rPr>
                <w:rFonts w:ascii="Arial" w:hAnsi="Arial" w:cs="Arial"/>
                <w:sz w:val="20"/>
                <w:szCs w:val="20"/>
              </w:rPr>
              <w:t>a</w:t>
            </w:r>
            <w:r w:rsidRPr="002B3F36">
              <w:rPr>
                <w:rFonts w:ascii="Arial" w:hAnsi="Arial" w:cs="Arial"/>
                <w:spacing w:val="-7"/>
                <w:sz w:val="20"/>
                <w:szCs w:val="20"/>
              </w:rPr>
              <w:t xml:space="preserve"> </w:t>
            </w:r>
            <w:r w:rsidRPr="002B3F36">
              <w:rPr>
                <w:rFonts w:ascii="Arial" w:hAnsi="Arial" w:cs="Arial"/>
                <w:sz w:val="20"/>
                <w:szCs w:val="20"/>
              </w:rPr>
              <w:t>threshold</w:t>
            </w:r>
            <w:r w:rsidRPr="002B3F36">
              <w:rPr>
                <w:rFonts w:ascii="Arial" w:hAnsi="Arial" w:cs="Arial"/>
                <w:spacing w:val="-7"/>
                <w:sz w:val="20"/>
                <w:szCs w:val="20"/>
              </w:rPr>
              <w:t xml:space="preserve"> </w:t>
            </w:r>
            <w:r w:rsidRPr="002B3F36">
              <w:rPr>
                <w:rFonts w:ascii="Arial" w:hAnsi="Arial" w:cs="Arial"/>
                <w:sz w:val="20"/>
                <w:szCs w:val="20"/>
              </w:rPr>
              <w:t>below which</w:t>
            </w:r>
            <w:r w:rsidRPr="002B3F36">
              <w:rPr>
                <w:rFonts w:ascii="Arial" w:hAnsi="Arial" w:cs="Arial"/>
                <w:spacing w:val="-8"/>
                <w:sz w:val="20"/>
                <w:szCs w:val="20"/>
              </w:rPr>
              <w:t xml:space="preserve"> </w:t>
            </w:r>
            <w:r w:rsidRPr="002B3F36">
              <w:rPr>
                <w:rFonts w:ascii="Arial" w:hAnsi="Arial" w:cs="Arial"/>
                <w:sz w:val="20"/>
                <w:szCs w:val="20"/>
              </w:rPr>
              <w:t>the</w:t>
            </w:r>
            <w:r w:rsidRPr="002B3F36">
              <w:rPr>
                <w:rFonts w:ascii="Arial" w:hAnsi="Arial" w:cs="Arial"/>
                <w:spacing w:val="-5"/>
                <w:sz w:val="20"/>
                <w:szCs w:val="20"/>
              </w:rPr>
              <w:t xml:space="preserve"> </w:t>
            </w:r>
            <w:r w:rsidRPr="002B3F36">
              <w:rPr>
                <w:rFonts w:ascii="Arial" w:hAnsi="Arial" w:cs="Arial"/>
                <w:sz w:val="20"/>
                <w:szCs w:val="20"/>
              </w:rPr>
              <w:t>impact</w:t>
            </w:r>
            <w:r w:rsidRPr="002B3F36">
              <w:rPr>
                <w:rFonts w:ascii="Arial" w:hAnsi="Arial" w:cs="Arial"/>
                <w:spacing w:val="-4"/>
                <w:sz w:val="20"/>
                <w:szCs w:val="20"/>
              </w:rPr>
              <w:t xml:space="preserve"> </w:t>
            </w:r>
            <w:r w:rsidRPr="002B3F36">
              <w:rPr>
                <w:rFonts w:ascii="Arial" w:hAnsi="Arial" w:cs="Arial"/>
                <w:sz w:val="20"/>
                <w:szCs w:val="20"/>
              </w:rPr>
              <w:t>is</w:t>
            </w:r>
            <w:r w:rsidRPr="002B3F36">
              <w:rPr>
                <w:rFonts w:ascii="Arial" w:hAnsi="Arial" w:cs="Arial"/>
                <w:spacing w:val="-4"/>
                <w:sz w:val="20"/>
                <w:szCs w:val="20"/>
              </w:rPr>
              <w:t xml:space="preserve"> </w:t>
            </w:r>
            <w:r w:rsidRPr="002B3F36">
              <w:rPr>
                <w:rFonts w:ascii="Arial" w:hAnsi="Arial" w:cs="Arial"/>
                <w:sz w:val="20"/>
                <w:szCs w:val="20"/>
              </w:rPr>
              <w:t>minor,</w:t>
            </w:r>
            <w:r w:rsidRPr="002B3F36">
              <w:rPr>
                <w:rFonts w:ascii="Arial" w:hAnsi="Arial" w:cs="Arial"/>
                <w:spacing w:val="-3"/>
                <w:sz w:val="20"/>
                <w:szCs w:val="20"/>
              </w:rPr>
              <w:t xml:space="preserve"> </w:t>
            </w:r>
            <w:r w:rsidRPr="002B3F36">
              <w:rPr>
                <w:rFonts w:ascii="Arial" w:hAnsi="Arial" w:cs="Arial"/>
                <w:sz w:val="20"/>
                <w:szCs w:val="20"/>
              </w:rPr>
              <w:t>up</w:t>
            </w:r>
            <w:r w:rsidRPr="002B3F36">
              <w:rPr>
                <w:rFonts w:ascii="Arial" w:hAnsi="Arial" w:cs="Arial"/>
                <w:spacing w:val="-4"/>
                <w:sz w:val="20"/>
                <w:szCs w:val="20"/>
              </w:rPr>
              <w:t xml:space="preserve"> </w:t>
            </w:r>
            <w:r w:rsidRPr="002B3F36">
              <w:rPr>
                <w:rFonts w:ascii="Arial" w:hAnsi="Arial" w:cs="Arial"/>
                <w:sz w:val="20"/>
                <w:szCs w:val="20"/>
              </w:rPr>
              <w:t>to</w:t>
            </w:r>
            <w:r w:rsidRPr="002B3F36">
              <w:rPr>
                <w:rFonts w:ascii="Arial" w:hAnsi="Arial" w:cs="Arial"/>
                <w:spacing w:val="-3"/>
                <w:sz w:val="20"/>
                <w:szCs w:val="20"/>
              </w:rPr>
              <w:t xml:space="preserve"> </w:t>
            </w:r>
            <w:r w:rsidRPr="002B3F36">
              <w:rPr>
                <w:rFonts w:ascii="Arial" w:hAnsi="Arial" w:cs="Arial"/>
                <w:sz w:val="20"/>
                <w:szCs w:val="20"/>
              </w:rPr>
              <w:t>a</w:t>
            </w:r>
            <w:r w:rsidRPr="002B3F36">
              <w:rPr>
                <w:rFonts w:ascii="Arial" w:hAnsi="Arial" w:cs="Arial"/>
                <w:spacing w:val="-4"/>
                <w:sz w:val="20"/>
                <w:szCs w:val="20"/>
              </w:rPr>
              <w:t xml:space="preserve"> </w:t>
            </w:r>
            <w:r w:rsidRPr="002B3F36">
              <w:rPr>
                <w:rFonts w:ascii="Arial" w:hAnsi="Arial" w:cs="Arial"/>
                <w:sz w:val="20"/>
                <w:szCs w:val="20"/>
              </w:rPr>
              <w:t>level</w:t>
            </w:r>
            <w:r w:rsidRPr="002B3F36">
              <w:rPr>
                <w:rFonts w:ascii="Arial" w:hAnsi="Arial" w:cs="Arial"/>
                <w:spacing w:val="-3"/>
                <w:sz w:val="20"/>
                <w:szCs w:val="20"/>
              </w:rPr>
              <w:t xml:space="preserve"> </w:t>
            </w:r>
            <w:r w:rsidRPr="002B3F36">
              <w:rPr>
                <w:rFonts w:ascii="Arial" w:hAnsi="Arial" w:cs="Arial"/>
                <w:sz w:val="20"/>
                <w:szCs w:val="20"/>
              </w:rPr>
              <w:t>that</w:t>
            </w:r>
            <w:r w:rsidRPr="002B3F36">
              <w:rPr>
                <w:rFonts w:ascii="Arial" w:hAnsi="Arial" w:cs="Arial"/>
                <w:spacing w:val="-4"/>
                <w:sz w:val="20"/>
                <w:szCs w:val="20"/>
              </w:rPr>
              <w:t xml:space="preserve"> </w:t>
            </w:r>
            <w:r w:rsidRPr="002B3F36">
              <w:rPr>
                <w:rFonts w:ascii="Arial" w:hAnsi="Arial" w:cs="Arial"/>
                <w:sz w:val="20"/>
                <w:szCs w:val="20"/>
              </w:rPr>
              <w:t>might</w:t>
            </w:r>
            <w:r w:rsidRPr="002B3F36">
              <w:rPr>
                <w:rFonts w:ascii="Arial" w:hAnsi="Arial" w:cs="Arial"/>
                <w:spacing w:val="-3"/>
                <w:sz w:val="20"/>
                <w:szCs w:val="20"/>
              </w:rPr>
              <w:t xml:space="preserve"> </w:t>
            </w:r>
            <w:r w:rsidRPr="002B3F36">
              <w:rPr>
                <w:rFonts w:ascii="Arial" w:hAnsi="Arial" w:cs="Arial"/>
                <w:sz w:val="20"/>
                <w:szCs w:val="20"/>
              </w:rPr>
              <w:t>be</w:t>
            </w:r>
            <w:r w:rsidRPr="002B3F36">
              <w:rPr>
                <w:rFonts w:ascii="Arial" w:hAnsi="Arial" w:cs="Arial"/>
                <w:spacing w:val="-6"/>
                <w:sz w:val="20"/>
                <w:szCs w:val="20"/>
              </w:rPr>
              <w:t xml:space="preserve"> </w:t>
            </w:r>
            <w:r w:rsidRPr="002B3F36">
              <w:rPr>
                <w:rFonts w:ascii="Arial" w:hAnsi="Arial" w:cs="Arial"/>
                <w:sz w:val="20"/>
                <w:szCs w:val="20"/>
              </w:rPr>
              <w:t>just</w:t>
            </w:r>
            <w:r w:rsidRPr="002B3F36">
              <w:rPr>
                <w:rFonts w:ascii="Arial" w:hAnsi="Arial" w:cs="Arial"/>
                <w:spacing w:val="-4"/>
                <w:sz w:val="20"/>
                <w:szCs w:val="20"/>
              </w:rPr>
              <w:t xml:space="preserve"> </w:t>
            </w:r>
            <w:r w:rsidRPr="002B3F36">
              <w:rPr>
                <w:rFonts w:ascii="Arial" w:hAnsi="Arial" w:cs="Arial"/>
                <w:sz w:val="20"/>
                <w:szCs w:val="20"/>
              </w:rPr>
              <w:t>short</w:t>
            </w:r>
            <w:r w:rsidRPr="002B3F36">
              <w:rPr>
                <w:rFonts w:ascii="Arial" w:hAnsi="Arial" w:cs="Arial"/>
                <w:spacing w:val="-3"/>
                <w:sz w:val="20"/>
                <w:szCs w:val="20"/>
              </w:rPr>
              <w:t xml:space="preserve"> </w:t>
            </w:r>
            <w:r w:rsidRPr="002B3F36">
              <w:rPr>
                <w:rFonts w:ascii="Arial" w:hAnsi="Arial" w:cs="Arial"/>
                <w:sz w:val="20"/>
                <w:szCs w:val="20"/>
              </w:rPr>
              <w:t>of</w:t>
            </w:r>
            <w:r w:rsidRPr="002B3F36">
              <w:rPr>
                <w:rFonts w:ascii="Arial" w:hAnsi="Arial" w:cs="Arial"/>
                <w:spacing w:val="-5"/>
                <w:sz w:val="20"/>
                <w:szCs w:val="20"/>
              </w:rPr>
              <w:t xml:space="preserve"> </w:t>
            </w:r>
            <w:r w:rsidRPr="002B3F36">
              <w:rPr>
                <w:rFonts w:ascii="Arial" w:hAnsi="Arial" w:cs="Arial"/>
                <w:sz w:val="20"/>
                <w:szCs w:val="20"/>
              </w:rPr>
              <w:t>breaching</w:t>
            </w:r>
            <w:r w:rsidRPr="002B3F36">
              <w:rPr>
                <w:rFonts w:ascii="Arial" w:hAnsi="Arial" w:cs="Arial"/>
                <w:spacing w:val="-4"/>
                <w:sz w:val="20"/>
                <w:szCs w:val="20"/>
              </w:rPr>
              <w:t xml:space="preserve"> </w:t>
            </w:r>
            <w:r w:rsidRPr="002B3F36">
              <w:rPr>
                <w:rFonts w:ascii="Arial" w:hAnsi="Arial" w:cs="Arial"/>
                <w:sz w:val="20"/>
                <w:szCs w:val="20"/>
              </w:rPr>
              <w:t>a</w:t>
            </w:r>
            <w:r w:rsidRPr="002B3F36">
              <w:rPr>
                <w:rFonts w:ascii="Arial" w:hAnsi="Arial" w:cs="Arial"/>
                <w:spacing w:val="-4"/>
                <w:sz w:val="20"/>
                <w:szCs w:val="20"/>
              </w:rPr>
              <w:t xml:space="preserve"> </w:t>
            </w:r>
            <w:r w:rsidRPr="002B3F36">
              <w:rPr>
                <w:rFonts w:ascii="Arial" w:hAnsi="Arial" w:cs="Arial"/>
                <w:spacing w:val="-2"/>
                <w:sz w:val="20"/>
                <w:szCs w:val="20"/>
              </w:rPr>
              <w:t xml:space="preserve">legal </w:t>
            </w:r>
            <w:r w:rsidRPr="002B3F36">
              <w:rPr>
                <w:rFonts w:ascii="Arial" w:hAnsi="Arial" w:cs="Arial"/>
                <w:sz w:val="20"/>
                <w:szCs w:val="20"/>
              </w:rPr>
              <w:t>limit. Clearly, to design an activity so that its effects only just avoid breaking a law and/or causing a major impact is not best practice. The emphasis for moderate impacts is therefore on reducing them to a level that is as low as reasonably practicable.</w:t>
            </w:r>
            <w:r w:rsidRPr="002B3F36">
              <w:rPr>
                <w:rFonts w:ascii="Arial" w:hAnsi="Arial" w:cs="Arial"/>
                <w:spacing w:val="-6"/>
                <w:sz w:val="20"/>
                <w:szCs w:val="20"/>
              </w:rPr>
              <w:t xml:space="preserve"> </w:t>
            </w:r>
            <w:r w:rsidRPr="002B3F36">
              <w:rPr>
                <w:rFonts w:ascii="Arial" w:hAnsi="Arial" w:cs="Arial"/>
                <w:sz w:val="20"/>
                <w:szCs w:val="20"/>
              </w:rPr>
              <w:t>This</w:t>
            </w:r>
            <w:r w:rsidRPr="002B3F36">
              <w:rPr>
                <w:rFonts w:ascii="Arial" w:hAnsi="Arial" w:cs="Arial"/>
                <w:spacing w:val="-3"/>
                <w:sz w:val="20"/>
                <w:szCs w:val="20"/>
              </w:rPr>
              <w:t xml:space="preserve"> </w:t>
            </w:r>
            <w:r w:rsidRPr="002B3F36">
              <w:rPr>
                <w:rFonts w:ascii="Arial" w:hAnsi="Arial" w:cs="Arial"/>
                <w:sz w:val="20"/>
                <w:szCs w:val="20"/>
              </w:rPr>
              <w:t>does</w:t>
            </w:r>
            <w:r w:rsidRPr="002B3F36">
              <w:rPr>
                <w:rFonts w:ascii="Arial" w:hAnsi="Arial" w:cs="Arial"/>
                <w:spacing w:val="-5"/>
                <w:sz w:val="20"/>
                <w:szCs w:val="20"/>
              </w:rPr>
              <w:t xml:space="preserve"> </w:t>
            </w:r>
            <w:r w:rsidRPr="002B3F36">
              <w:rPr>
                <w:rFonts w:ascii="Arial" w:hAnsi="Arial" w:cs="Arial"/>
                <w:sz w:val="20"/>
                <w:szCs w:val="20"/>
              </w:rPr>
              <w:t>not</w:t>
            </w:r>
            <w:r w:rsidRPr="002B3F36">
              <w:rPr>
                <w:rFonts w:ascii="Arial" w:hAnsi="Arial" w:cs="Arial"/>
                <w:spacing w:val="-4"/>
                <w:sz w:val="20"/>
                <w:szCs w:val="20"/>
              </w:rPr>
              <w:t xml:space="preserve"> </w:t>
            </w:r>
            <w:r w:rsidRPr="002B3F36">
              <w:rPr>
                <w:rFonts w:ascii="Arial" w:hAnsi="Arial" w:cs="Arial"/>
                <w:sz w:val="20"/>
                <w:szCs w:val="20"/>
              </w:rPr>
              <w:t>mean</w:t>
            </w:r>
            <w:r w:rsidRPr="002B3F36">
              <w:rPr>
                <w:rFonts w:ascii="Arial" w:hAnsi="Arial" w:cs="Arial"/>
                <w:spacing w:val="-7"/>
                <w:sz w:val="20"/>
                <w:szCs w:val="20"/>
              </w:rPr>
              <w:t xml:space="preserve"> </w:t>
            </w:r>
            <w:r w:rsidRPr="002B3F36">
              <w:rPr>
                <w:rFonts w:ascii="Arial" w:hAnsi="Arial" w:cs="Arial"/>
                <w:sz w:val="20"/>
                <w:szCs w:val="20"/>
              </w:rPr>
              <w:t>that</w:t>
            </w:r>
            <w:r w:rsidRPr="002B3F36">
              <w:rPr>
                <w:rFonts w:ascii="Arial" w:hAnsi="Arial" w:cs="Arial"/>
                <w:spacing w:val="-5"/>
                <w:sz w:val="20"/>
                <w:szCs w:val="20"/>
              </w:rPr>
              <w:t xml:space="preserve"> </w:t>
            </w:r>
            <w:r w:rsidRPr="002B3F36">
              <w:rPr>
                <w:rFonts w:ascii="Arial" w:hAnsi="Arial" w:cs="Arial"/>
                <w:sz w:val="20"/>
                <w:szCs w:val="20"/>
              </w:rPr>
              <w:t>impacts</w:t>
            </w:r>
            <w:r w:rsidRPr="002B3F36">
              <w:rPr>
                <w:rFonts w:ascii="Arial" w:hAnsi="Arial" w:cs="Arial"/>
                <w:spacing w:val="-5"/>
                <w:sz w:val="20"/>
                <w:szCs w:val="20"/>
              </w:rPr>
              <w:t xml:space="preserve"> </w:t>
            </w:r>
            <w:r w:rsidRPr="002B3F36">
              <w:rPr>
                <w:rFonts w:ascii="Arial" w:hAnsi="Arial" w:cs="Arial"/>
                <w:sz w:val="20"/>
                <w:szCs w:val="20"/>
              </w:rPr>
              <w:t>of</w:t>
            </w:r>
            <w:r w:rsidRPr="002B3F36">
              <w:rPr>
                <w:rFonts w:ascii="Arial" w:hAnsi="Arial" w:cs="Arial"/>
                <w:spacing w:val="-6"/>
                <w:sz w:val="20"/>
                <w:szCs w:val="20"/>
              </w:rPr>
              <w:t xml:space="preserve"> </w:t>
            </w:r>
            <w:r w:rsidRPr="002B3F36">
              <w:rPr>
                <w:rFonts w:ascii="Arial" w:hAnsi="Arial" w:cs="Arial"/>
                <w:sz w:val="20"/>
                <w:szCs w:val="20"/>
              </w:rPr>
              <w:t>moderate</w:t>
            </w:r>
            <w:r w:rsidRPr="002B3F36">
              <w:rPr>
                <w:rFonts w:ascii="Arial" w:hAnsi="Arial" w:cs="Arial"/>
                <w:spacing w:val="-5"/>
                <w:sz w:val="20"/>
                <w:szCs w:val="20"/>
              </w:rPr>
              <w:t xml:space="preserve"> </w:t>
            </w:r>
            <w:r w:rsidRPr="002B3F36">
              <w:rPr>
                <w:rFonts w:ascii="Arial" w:hAnsi="Arial" w:cs="Arial"/>
                <w:sz w:val="20"/>
                <w:szCs w:val="20"/>
              </w:rPr>
              <w:t>significance</w:t>
            </w:r>
            <w:r w:rsidRPr="002B3F36">
              <w:rPr>
                <w:rFonts w:ascii="Arial" w:hAnsi="Arial" w:cs="Arial"/>
                <w:spacing w:val="-4"/>
                <w:sz w:val="20"/>
                <w:szCs w:val="20"/>
              </w:rPr>
              <w:t xml:space="preserve"> </w:t>
            </w:r>
            <w:r w:rsidRPr="002B3F36">
              <w:rPr>
                <w:rFonts w:ascii="Arial" w:hAnsi="Arial" w:cs="Arial"/>
                <w:sz w:val="20"/>
                <w:szCs w:val="20"/>
              </w:rPr>
              <w:t xml:space="preserve">must be reduced to minor, but that moderate impacts are being managed effectively and </w:t>
            </w:r>
            <w:r w:rsidRPr="002B3F36">
              <w:rPr>
                <w:rFonts w:ascii="Arial" w:hAnsi="Arial" w:cs="Arial"/>
                <w:spacing w:val="-2"/>
                <w:sz w:val="20"/>
                <w:szCs w:val="20"/>
              </w:rPr>
              <w:t>efficiently.</w:t>
            </w:r>
          </w:p>
        </w:tc>
      </w:tr>
      <w:tr w:rsidR="00F61F8E" w:rsidRPr="002B3F36" w14:paraId="5D25E0A9" w14:textId="77777777" w:rsidTr="00F82096">
        <w:trPr>
          <w:trHeight w:val="831"/>
        </w:trPr>
        <w:tc>
          <w:tcPr>
            <w:tcW w:w="1575" w:type="dxa"/>
            <w:shd w:val="clear" w:color="auto" w:fill="FF4646"/>
          </w:tcPr>
          <w:p w14:paraId="7CC3BFB3" w14:textId="77777777" w:rsidR="00F61F8E" w:rsidRPr="002B3F36" w:rsidRDefault="000F264B" w:rsidP="00160801">
            <w:pPr>
              <w:pStyle w:val="TableParagraph"/>
              <w:spacing w:before="0"/>
              <w:ind w:left="108"/>
              <w:jc w:val="both"/>
              <w:rPr>
                <w:rFonts w:ascii="Arial" w:hAnsi="Arial" w:cs="Arial"/>
                <w:b/>
                <w:sz w:val="20"/>
                <w:szCs w:val="20"/>
              </w:rPr>
            </w:pPr>
            <w:r w:rsidRPr="002B3F36">
              <w:rPr>
                <w:rFonts w:ascii="Arial" w:hAnsi="Arial" w:cs="Arial"/>
                <w:b/>
                <w:spacing w:val="-2"/>
                <w:sz w:val="20"/>
                <w:szCs w:val="20"/>
              </w:rPr>
              <w:t>Major</w:t>
            </w:r>
          </w:p>
        </w:tc>
        <w:tc>
          <w:tcPr>
            <w:tcW w:w="8058" w:type="dxa"/>
          </w:tcPr>
          <w:p w14:paraId="7C9E3A0C" w14:textId="77777777" w:rsidR="00F61F8E" w:rsidRPr="002B3F36" w:rsidRDefault="000F264B" w:rsidP="00160801">
            <w:pPr>
              <w:pStyle w:val="TableParagraph"/>
              <w:spacing w:before="0"/>
              <w:ind w:left="102" w:right="120"/>
              <w:jc w:val="both"/>
              <w:rPr>
                <w:rFonts w:ascii="Arial" w:hAnsi="Arial" w:cs="Arial"/>
                <w:sz w:val="20"/>
                <w:szCs w:val="20"/>
              </w:rPr>
            </w:pPr>
            <w:r w:rsidRPr="002B3F36">
              <w:rPr>
                <w:rFonts w:ascii="Arial" w:hAnsi="Arial" w:cs="Arial"/>
                <w:sz w:val="20"/>
                <w:szCs w:val="20"/>
              </w:rPr>
              <w:t>An</w:t>
            </w:r>
            <w:r w:rsidRPr="002B3F36">
              <w:rPr>
                <w:rFonts w:ascii="Arial" w:hAnsi="Arial" w:cs="Arial"/>
                <w:spacing w:val="-5"/>
                <w:sz w:val="20"/>
                <w:szCs w:val="20"/>
              </w:rPr>
              <w:t xml:space="preserve"> </w:t>
            </w:r>
            <w:r w:rsidRPr="002B3F36">
              <w:rPr>
                <w:rFonts w:ascii="Arial" w:hAnsi="Arial" w:cs="Arial"/>
                <w:sz w:val="20"/>
                <w:szCs w:val="20"/>
              </w:rPr>
              <w:t>impact</w:t>
            </w:r>
            <w:r w:rsidRPr="002B3F36">
              <w:rPr>
                <w:rFonts w:ascii="Arial" w:hAnsi="Arial" w:cs="Arial"/>
                <w:spacing w:val="-4"/>
                <w:sz w:val="20"/>
                <w:szCs w:val="20"/>
              </w:rPr>
              <w:t xml:space="preserve"> </w:t>
            </w:r>
            <w:r w:rsidRPr="002B3F36">
              <w:rPr>
                <w:rFonts w:ascii="Arial" w:hAnsi="Arial" w:cs="Arial"/>
                <w:sz w:val="20"/>
                <w:szCs w:val="20"/>
              </w:rPr>
              <w:t>of</w:t>
            </w:r>
            <w:r w:rsidRPr="002B3F36">
              <w:rPr>
                <w:rFonts w:ascii="Arial" w:hAnsi="Arial" w:cs="Arial"/>
                <w:spacing w:val="-4"/>
                <w:sz w:val="20"/>
                <w:szCs w:val="20"/>
              </w:rPr>
              <w:t xml:space="preserve"> </w:t>
            </w:r>
            <w:r w:rsidRPr="002B3F36">
              <w:rPr>
                <w:rFonts w:ascii="Arial" w:hAnsi="Arial" w:cs="Arial"/>
                <w:b/>
                <w:sz w:val="20"/>
                <w:szCs w:val="20"/>
              </w:rPr>
              <w:t>major</w:t>
            </w:r>
            <w:r w:rsidRPr="002B3F36">
              <w:rPr>
                <w:rFonts w:ascii="Arial" w:hAnsi="Arial" w:cs="Arial"/>
                <w:b/>
                <w:spacing w:val="-3"/>
                <w:sz w:val="20"/>
                <w:szCs w:val="20"/>
              </w:rPr>
              <w:t xml:space="preserve"> </w:t>
            </w:r>
            <w:r w:rsidRPr="002B3F36">
              <w:rPr>
                <w:rFonts w:ascii="Arial" w:hAnsi="Arial" w:cs="Arial"/>
                <w:b/>
                <w:sz w:val="20"/>
                <w:szCs w:val="20"/>
              </w:rPr>
              <w:t>significance</w:t>
            </w:r>
            <w:r w:rsidRPr="002B3F36">
              <w:rPr>
                <w:rFonts w:ascii="Arial" w:hAnsi="Arial" w:cs="Arial"/>
                <w:b/>
                <w:spacing w:val="-1"/>
                <w:sz w:val="20"/>
                <w:szCs w:val="20"/>
              </w:rPr>
              <w:t xml:space="preserve"> </w:t>
            </w:r>
            <w:r w:rsidRPr="002B3F36">
              <w:rPr>
                <w:rFonts w:ascii="Arial" w:hAnsi="Arial" w:cs="Arial"/>
                <w:sz w:val="20"/>
                <w:szCs w:val="20"/>
              </w:rPr>
              <w:t>is</w:t>
            </w:r>
            <w:r w:rsidRPr="002B3F36">
              <w:rPr>
                <w:rFonts w:ascii="Arial" w:hAnsi="Arial" w:cs="Arial"/>
                <w:spacing w:val="-4"/>
                <w:sz w:val="20"/>
                <w:szCs w:val="20"/>
              </w:rPr>
              <w:t xml:space="preserve"> </w:t>
            </w:r>
            <w:r w:rsidRPr="002B3F36">
              <w:rPr>
                <w:rFonts w:ascii="Arial" w:hAnsi="Arial" w:cs="Arial"/>
                <w:sz w:val="20"/>
                <w:szCs w:val="20"/>
              </w:rPr>
              <w:t>one</w:t>
            </w:r>
            <w:r w:rsidRPr="002B3F36">
              <w:rPr>
                <w:rFonts w:ascii="Arial" w:hAnsi="Arial" w:cs="Arial"/>
                <w:spacing w:val="-4"/>
                <w:sz w:val="20"/>
                <w:szCs w:val="20"/>
              </w:rPr>
              <w:t xml:space="preserve"> </w:t>
            </w:r>
            <w:r w:rsidRPr="002B3F36">
              <w:rPr>
                <w:rFonts w:ascii="Arial" w:hAnsi="Arial" w:cs="Arial"/>
                <w:sz w:val="20"/>
                <w:szCs w:val="20"/>
              </w:rPr>
              <w:t>where</w:t>
            </w:r>
            <w:r w:rsidRPr="002B3F36">
              <w:rPr>
                <w:rFonts w:ascii="Arial" w:hAnsi="Arial" w:cs="Arial"/>
                <w:spacing w:val="-4"/>
                <w:sz w:val="20"/>
                <w:szCs w:val="20"/>
              </w:rPr>
              <w:t xml:space="preserve"> </w:t>
            </w:r>
            <w:r w:rsidRPr="002B3F36">
              <w:rPr>
                <w:rFonts w:ascii="Arial" w:hAnsi="Arial" w:cs="Arial"/>
                <w:sz w:val="20"/>
                <w:szCs w:val="20"/>
              </w:rPr>
              <w:t>an</w:t>
            </w:r>
            <w:r w:rsidRPr="002B3F36">
              <w:rPr>
                <w:rFonts w:ascii="Arial" w:hAnsi="Arial" w:cs="Arial"/>
                <w:spacing w:val="-6"/>
                <w:sz w:val="20"/>
                <w:szCs w:val="20"/>
              </w:rPr>
              <w:t xml:space="preserve"> </w:t>
            </w:r>
            <w:r w:rsidRPr="002B3F36">
              <w:rPr>
                <w:rFonts w:ascii="Arial" w:hAnsi="Arial" w:cs="Arial"/>
                <w:sz w:val="20"/>
                <w:szCs w:val="20"/>
              </w:rPr>
              <w:t>accepted</w:t>
            </w:r>
            <w:r w:rsidRPr="002B3F36">
              <w:rPr>
                <w:rFonts w:ascii="Arial" w:hAnsi="Arial" w:cs="Arial"/>
                <w:spacing w:val="-4"/>
                <w:sz w:val="20"/>
                <w:szCs w:val="20"/>
              </w:rPr>
              <w:t xml:space="preserve"> </w:t>
            </w:r>
            <w:r w:rsidRPr="002B3F36">
              <w:rPr>
                <w:rFonts w:ascii="Arial" w:hAnsi="Arial" w:cs="Arial"/>
                <w:sz w:val="20"/>
                <w:szCs w:val="20"/>
              </w:rPr>
              <w:t>limit</w:t>
            </w:r>
            <w:r w:rsidRPr="002B3F36">
              <w:rPr>
                <w:rFonts w:ascii="Arial" w:hAnsi="Arial" w:cs="Arial"/>
                <w:spacing w:val="-3"/>
                <w:sz w:val="20"/>
                <w:szCs w:val="20"/>
              </w:rPr>
              <w:t xml:space="preserve"> </w:t>
            </w:r>
            <w:r w:rsidRPr="002B3F36">
              <w:rPr>
                <w:rFonts w:ascii="Arial" w:hAnsi="Arial" w:cs="Arial"/>
                <w:sz w:val="20"/>
                <w:szCs w:val="20"/>
              </w:rPr>
              <w:t>or</w:t>
            </w:r>
            <w:r w:rsidRPr="002B3F36">
              <w:rPr>
                <w:rFonts w:ascii="Arial" w:hAnsi="Arial" w:cs="Arial"/>
                <w:spacing w:val="-4"/>
                <w:sz w:val="20"/>
                <w:szCs w:val="20"/>
              </w:rPr>
              <w:t xml:space="preserve"> </w:t>
            </w:r>
            <w:r w:rsidRPr="002B3F36">
              <w:rPr>
                <w:rFonts w:ascii="Arial" w:hAnsi="Arial" w:cs="Arial"/>
                <w:sz w:val="20"/>
                <w:szCs w:val="20"/>
              </w:rPr>
              <w:t>standard</w:t>
            </w:r>
            <w:r w:rsidRPr="002B3F36">
              <w:rPr>
                <w:rFonts w:ascii="Arial" w:hAnsi="Arial" w:cs="Arial"/>
                <w:spacing w:val="-4"/>
                <w:sz w:val="20"/>
                <w:szCs w:val="20"/>
              </w:rPr>
              <w:t xml:space="preserve"> </w:t>
            </w:r>
            <w:r w:rsidRPr="002B3F36">
              <w:rPr>
                <w:rFonts w:ascii="Arial" w:hAnsi="Arial" w:cs="Arial"/>
                <w:sz w:val="20"/>
                <w:szCs w:val="20"/>
              </w:rPr>
              <w:t>may</w:t>
            </w:r>
            <w:r w:rsidRPr="002B3F36">
              <w:rPr>
                <w:rFonts w:ascii="Arial" w:hAnsi="Arial" w:cs="Arial"/>
                <w:spacing w:val="-5"/>
                <w:sz w:val="20"/>
                <w:szCs w:val="20"/>
              </w:rPr>
              <w:t xml:space="preserve"> </w:t>
            </w:r>
            <w:r w:rsidRPr="002B3F36">
              <w:rPr>
                <w:rFonts w:ascii="Arial" w:hAnsi="Arial" w:cs="Arial"/>
                <w:sz w:val="20"/>
                <w:szCs w:val="20"/>
              </w:rPr>
              <w:t>be exceeded,</w:t>
            </w:r>
            <w:r w:rsidRPr="002B3F36">
              <w:rPr>
                <w:rFonts w:ascii="Arial" w:hAnsi="Arial" w:cs="Arial"/>
                <w:spacing w:val="-1"/>
                <w:sz w:val="20"/>
                <w:szCs w:val="20"/>
              </w:rPr>
              <w:t xml:space="preserve"> </w:t>
            </w:r>
            <w:r w:rsidRPr="002B3F36">
              <w:rPr>
                <w:rFonts w:ascii="Arial" w:hAnsi="Arial" w:cs="Arial"/>
                <w:sz w:val="20"/>
                <w:szCs w:val="20"/>
              </w:rPr>
              <w:t>or large magnitude impacts occur to highly</w:t>
            </w:r>
            <w:r w:rsidRPr="002B3F36">
              <w:rPr>
                <w:rFonts w:ascii="Arial" w:hAnsi="Arial" w:cs="Arial"/>
                <w:spacing w:val="-1"/>
                <w:sz w:val="20"/>
                <w:szCs w:val="20"/>
              </w:rPr>
              <w:t xml:space="preserve"> </w:t>
            </w:r>
            <w:r w:rsidRPr="002B3F36">
              <w:rPr>
                <w:rFonts w:ascii="Arial" w:hAnsi="Arial" w:cs="Arial"/>
                <w:sz w:val="20"/>
                <w:szCs w:val="20"/>
              </w:rPr>
              <w:t>valued/sensitive receptors.</w:t>
            </w:r>
            <w:r w:rsidRPr="002B3F36">
              <w:rPr>
                <w:rFonts w:ascii="Arial" w:hAnsi="Arial" w:cs="Arial"/>
                <w:spacing w:val="-1"/>
                <w:sz w:val="20"/>
                <w:szCs w:val="20"/>
              </w:rPr>
              <w:t xml:space="preserve"> </w:t>
            </w:r>
            <w:r w:rsidRPr="002B3F36">
              <w:rPr>
                <w:rFonts w:ascii="Arial" w:hAnsi="Arial" w:cs="Arial"/>
                <w:sz w:val="20"/>
                <w:szCs w:val="20"/>
              </w:rPr>
              <w:t>An aim of IA is to get to a position where the Project does not have any major residual impacts, certainly not ones that would endure into the long-term or extend over a large area.</w:t>
            </w:r>
          </w:p>
        </w:tc>
      </w:tr>
      <w:bookmarkEnd w:id="2162"/>
    </w:tbl>
    <w:p w14:paraId="11288871" w14:textId="77777777" w:rsidR="00F61F8E" w:rsidRPr="002B3F36" w:rsidRDefault="00F61F8E" w:rsidP="0077675E">
      <w:pPr>
        <w:pStyle w:val="ReportBodyTextNogap"/>
      </w:pPr>
    </w:p>
    <w:p w14:paraId="5B0710BF" w14:textId="77777777" w:rsidR="00F61F8E" w:rsidRPr="002B3F36" w:rsidRDefault="000F264B">
      <w:pPr>
        <w:pStyle w:val="20"/>
        <w:rPr>
          <w:color w:val="auto"/>
        </w:rPr>
      </w:pPr>
      <w:bookmarkStart w:id="2163" w:name="_Toc208973846"/>
      <w:bookmarkStart w:id="2164" w:name="_Toc208974046"/>
      <w:bookmarkStart w:id="2165" w:name="_Toc208974246"/>
      <w:bookmarkStart w:id="2166" w:name="_Toc208974448"/>
      <w:bookmarkStart w:id="2167" w:name="_Toc208974654"/>
      <w:bookmarkStart w:id="2168" w:name="_Toc210589488"/>
      <w:r w:rsidRPr="002B3F36">
        <w:rPr>
          <w:color w:val="auto"/>
        </w:rPr>
        <w:t>Likelihood</w:t>
      </w:r>
      <w:r w:rsidRPr="002B3F36">
        <w:rPr>
          <w:color w:val="auto"/>
          <w:spacing w:val="-13"/>
        </w:rPr>
        <w:t xml:space="preserve"> </w:t>
      </w:r>
      <w:r w:rsidRPr="002B3F36">
        <w:rPr>
          <w:color w:val="auto"/>
        </w:rPr>
        <w:t>(Unplanned</w:t>
      </w:r>
      <w:r w:rsidRPr="002B3F36">
        <w:rPr>
          <w:color w:val="auto"/>
          <w:spacing w:val="-13"/>
        </w:rPr>
        <w:t xml:space="preserve"> </w:t>
      </w:r>
      <w:r w:rsidRPr="002B3F36">
        <w:rPr>
          <w:color w:val="auto"/>
          <w:spacing w:val="-2"/>
        </w:rPr>
        <w:t>Event)</w:t>
      </w:r>
      <w:bookmarkEnd w:id="2163"/>
      <w:bookmarkEnd w:id="2164"/>
      <w:bookmarkEnd w:id="2165"/>
      <w:bookmarkEnd w:id="2166"/>
      <w:bookmarkEnd w:id="2167"/>
      <w:bookmarkEnd w:id="2168"/>
    </w:p>
    <w:p w14:paraId="2C6B5773" w14:textId="77777777" w:rsidR="0077675E" w:rsidRPr="002B3F36" w:rsidRDefault="0077675E" w:rsidP="0077675E">
      <w:pPr>
        <w:pStyle w:val="ReportBodyTextNogap"/>
      </w:pPr>
    </w:p>
    <w:p w14:paraId="391A43FB" w14:textId="300AE120" w:rsidR="00F61F8E" w:rsidRPr="002B3F36" w:rsidRDefault="000F264B" w:rsidP="0077675E">
      <w:pPr>
        <w:pStyle w:val="ReportBodyTextNogap"/>
      </w:pPr>
      <w:r w:rsidRPr="002B3F36">
        <w:t xml:space="preserve">In the case of unplanned events, i.e. unintended occurrences in the Project such as a fire emergency. An additional factor that is considered is likelihood. The likelihood of an unplanned event occurring is designated using a qualitative scale, as described in </w:t>
      </w:r>
      <w:r w:rsidR="0077675E" w:rsidRPr="002B3F36">
        <w:t>the Table below</w:t>
      </w:r>
      <w:r w:rsidRPr="002B3F36">
        <w:t>.</w:t>
      </w:r>
    </w:p>
    <w:p w14:paraId="6D6AE5D5" w14:textId="77777777" w:rsidR="00160801" w:rsidRPr="002B3F36" w:rsidRDefault="00160801" w:rsidP="0077675E">
      <w:pPr>
        <w:pStyle w:val="ReportBodyTextNogap"/>
      </w:pPr>
    </w:p>
    <w:p w14:paraId="3FAED0CC" w14:textId="283CF57E" w:rsidR="00F61F8E" w:rsidRPr="002B3F36" w:rsidRDefault="006501B7" w:rsidP="006501B7">
      <w:pPr>
        <w:pStyle w:val="CaptionTable"/>
      </w:pPr>
      <w:bookmarkStart w:id="2169" w:name="_bookmark125"/>
      <w:bookmarkStart w:id="2170" w:name="_Toc210589574"/>
      <w:bookmarkEnd w:id="2169"/>
      <w:r w:rsidRPr="002B3F36">
        <w:t xml:space="preserve">Table </w:t>
      </w:r>
      <w:r w:rsidR="00F3729F" w:rsidRPr="002B3F36">
        <w:fldChar w:fldCharType="begin"/>
      </w:r>
      <w:r w:rsidR="00F3729F" w:rsidRPr="002B3F36">
        <w:rPr>
          <w:noProof/>
        </w:rPr>
        <w:instrText xml:space="preserve"> SEQ Table \* ARABIC </w:instrText>
      </w:r>
      <w:r w:rsidR="00F3729F" w:rsidRPr="002B3F36">
        <w:fldChar w:fldCharType="separate"/>
      </w:r>
      <w:r w:rsidR="00A023DA">
        <w:rPr>
          <w:noProof/>
        </w:rPr>
        <w:t>30</w:t>
      </w:r>
      <w:r w:rsidR="00F3729F" w:rsidRPr="002B3F36">
        <w:fldChar w:fldCharType="end"/>
      </w:r>
      <w:r w:rsidRPr="002B3F36">
        <w:t>:</w:t>
      </w:r>
      <w:r w:rsidR="006D654A" w:rsidRPr="002B3F36">
        <w:t xml:space="preserve"> </w:t>
      </w:r>
      <w:r w:rsidRPr="002B3F36">
        <w:t xml:space="preserve">Definitions </w:t>
      </w:r>
      <w:r w:rsidR="00B95A8C" w:rsidRPr="002B3F36">
        <w:t>f</w:t>
      </w:r>
      <w:r w:rsidRPr="002B3F36">
        <w:t>or Likelihood Designations</w:t>
      </w:r>
      <w:bookmarkEnd w:id="2170"/>
    </w:p>
    <w:tbl>
      <w:tblPr>
        <w:tblW w:w="0" w:type="auto"/>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88"/>
        <w:gridCol w:w="8260"/>
      </w:tblGrid>
      <w:tr w:rsidR="00F61F8E" w:rsidRPr="002B3F36" w14:paraId="3BEE0C40" w14:textId="77777777" w:rsidTr="00AC7A0A">
        <w:trPr>
          <w:trHeight w:val="345"/>
          <w:tblHeader/>
        </w:trPr>
        <w:tc>
          <w:tcPr>
            <w:tcW w:w="1388" w:type="dxa"/>
            <w:shd w:val="clear" w:color="auto" w:fill="D2DED2"/>
          </w:tcPr>
          <w:p w14:paraId="28D60B8B" w14:textId="77777777" w:rsidR="00F61F8E" w:rsidRPr="002B3F36" w:rsidRDefault="000F264B" w:rsidP="006501B7">
            <w:pPr>
              <w:pStyle w:val="ReportBodyPar"/>
              <w:jc w:val="center"/>
              <w:rPr>
                <w:b/>
                <w:bCs/>
                <w:sz w:val="20"/>
                <w:szCs w:val="20"/>
              </w:rPr>
            </w:pPr>
            <w:r w:rsidRPr="002B3F36">
              <w:rPr>
                <w:b/>
                <w:bCs/>
                <w:sz w:val="20"/>
                <w:szCs w:val="20"/>
              </w:rPr>
              <w:lastRenderedPageBreak/>
              <w:t>Likelihood</w:t>
            </w:r>
          </w:p>
        </w:tc>
        <w:tc>
          <w:tcPr>
            <w:tcW w:w="8260" w:type="dxa"/>
            <w:shd w:val="clear" w:color="auto" w:fill="D2DED2"/>
          </w:tcPr>
          <w:p w14:paraId="36858938" w14:textId="77777777" w:rsidR="00F61F8E" w:rsidRPr="002B3F36" w:rsidRDefault="000F264B" w:rsidP="006501B7">
            <w:pPr>
              <w:pStyle w:val="ReportBodyPar"/>
              <w:jc w:val="center"/>
              <w:rPr>
                <w:b/>
                <w:bCs/>
                <w:sz w:val="20"/>
                <w:szCs w:val="20"/>
              </w:rPr>
            </w:pPr>
            <w:r w:rsidRPr="002B3F36">
              <w:rPr>
                <w:b/>
                <w:bCs/>
                <w:sz w:val="20"/>
                <w:szCs w:val="20"/>
              </w:rPr>
              <w:t>Definition</w:t>
            </w:r>
          </w:p>
        </w:tc>
      </w:tr>
      <w:tr w:rsidR="00F61F8E" w:rsidRPr="002B3F36" w14:paraId="571EEC0D" w14:textId="77777777" w:rsidTr="00F82096">
        <w:trPr>
          <w:trHeight w:val="336"/>
        </w:trPr>
        <w:tc>
          <w:tcPr>
            <w:tcW w:w="1388" w:type="dxa"/>
          </w:tcPr>
          <w:p w14:paraId="3658C419" w14:textId="77777777" w:rsidR="00F61F8E" w:rsidRPr="002B3F36" w:rsidRDefault="000F264B" w:rsidP="00160801">
            <w:pPr>
              <w:pStyle w:val="ReportBodyPar"/>
              <w:rPr>
                <w:sz w:val="20"/>
                <w:szCs w:val="20"/>
              </w:rPr>
            </w:pPr>
            <w:r w:rsidRPr="002B3F36">
              <w:rPr>
                <w:sz w:val="20"/>
                <w:szCs w:val="20"/>
              </w:rPr>
              <w:t>Unlikely</w:t>
            </w:r>
          </w:p>
        </w:tc>
        <w:tc>
          <w:tcPr>
            <w:tcW w:w="8260" w:type="dxa"/>
          </w:tcPr>
          <w:p w14:paraId="0667CC8D" w14:textId="77777777" w:rsidR="00F61F8E" w:rsidRPr="002B3F36" w:rsidRDefault="000F264B" w:rsidP="00160801">
            <w:pPr>
              <w:pStyle w:val="ReportBodyPar"/>
              <w:rPr>
                <w:sz w:val="20"/>
                <w:szCs w:val="20"/>
              </w:rPr>
            </w:pPr>
            <w:r w:rsidRPr="002B3F36">
              <w:rPr>
                <w:sz w:val="20"/>
                <w:szCs w:val="20"/>
              </w:rPr>
              <w:t>The event is unlikely but may occur at some time during normal operating</w:t>
            </w:r>
            <w:r w:rsidRPr="002B3F36">
              <w:rPr>
                <w:spacing w:val="40"/>
                <w:sz w:val="20"/>
                <w:szCs w:val="20"/>
              </w:rPr>
              <w:t xml:space="preserve"> </w:t>
            </w:r>
            <w:r w:rsidRPr="002B3F36">
              <w:rPr>
                <w:sz w:val="20"/>
                <w:szCs w:val="20"/>
              </w:rPr>
              <w:t>conditions.</w:t>
            </w:r>
          </w:p>
        </w:tc>
      </w:tr>
      <w:tr w:rsidR="00F61F8E" w:rsidRPr="002B3F36" w14:paraId="30E15A87" w14:textId="77777777" w:rsidTr="00F82096">
        <w:trPr>
          <w:trHeight w:val="264"/>
        </w:trPr>
        <w:tc>
          <w:tcPr>
            <w:tcW w:w="1388" w:type="dxa"/>
          </w:tcPr>
          <w:p w14:paraId="58529CB7" w14:textId="77777777" w:rsidR="00F61F8E" w:rsidRPr="002B3F36" w:rsidRDefault="000F264B" w:rsidP="00160801">
            <w:pPr>
              <w:pStyle w:val="ReportBodyPar"/>
              <w:rPr>
                <w:sz w:val="20"/>
                <w:szCs w:val="20"/>
              </w:rPr>
            </w:pPr>
            <w:r w:rsidRPr="002B3F36">
              <w:rPr>
                <w:sz w:val="20"/>
                <w:szCs w:val="20"/>
              </w:rPr>
              <w:t>Possible</w:t>
            </w:r>
          </w:p>
        </w:tc>
        <w:tc>
          <w:tcPr>
            <w:tcW w:w="8260" w:type="dxa"/>
          </w:tcPr>
          <w:p w14:paraId="74530B31" w14:textId="77777777" w:rsidR="00F61F8E" w:rsidRPr="002B3F36" w:rsidRDefault="000F264B" w:rsidP="00160801">
            <w:pPr>
              <w:pStyle w:val="ReportBodyPar"/>
              <w:rPr>
                <w:sz w:val="20"/>
                <w:szCs w:val="20"/>
              </w:rPr>
            </w:pPr>
            <w:r w:rsidRPr="002B3F36">
              <w:rPr>
                <w:sz w:val="20"/>
                <w:szCs w:val="20"/>
              </w:rPr>
              <w:t>The</w:t>
            </w:r>
            <w:r w:rsidRPr="002B3F36">
              <w:rPr>
                <w:spacing w:val="18"/>
                <w:sz w:val="20"/>
                <w:szCs w:val="20"/>
              </w:rPr>
              <w:t xml:space="preserve"> </w:t>
            </w:r>
            <w:r w:rsidRPr="002B3F36">
              <w:rPr>
                <w:sz w:val="20"/>
                <w:szCs w:val="20"/>
              </w:rPr>
              <w:t>event</w:t>
            </w:r>
            <w:r w:rsidRPr="002B3F36">
              <w:rPr>
                <w:spacing w:val="17"/>
                <w:sz w:val="20"/>
                <w:szCs w:val="20"/>
              </w:rPr>
              <w:t xml:space="preserve"> </w:t>
            </w:r>
            <w:r w:rsidRPr="002B3F36">
              <w:rPr>
                <w:sz w:val="20"/>
                <w:szCs w:val="20"/>
              </w:rPr>
              <w:t>is</w:t>
            </w:r>
            <w:r w:rsidRPr="002B3F36">
              <w:rPr>
                <w:spacing w:val="16"/>
                <w:sz w:val="20"/>
                <w:szCs w:val="20"/>
              </w:rPr>
              <w:t xml:space="preserve"> </w:t>
            </w:r>
            <w:r w:rsidRPr="002B3F36">
              <w:rPr>
                <w:sz w:val="20"/>
                <w:szCs w:val="20"/>
              </w:rPr>
              <w:t>likely</w:t>
            </w:r>
            <w:r w:rsidRPr="002B3F36">
              <w:rPr>
                <w:spacing w:val="17"/>
                <w:sz w:val="20"/>
                <w:szCs w:val="20"/>
              </w:rPr>
              <w:t xml:space="preserve"> </w:t>
            </w:r>
            <w:r w:rsidRPr="002B3F36">
              <w:rPr>
                <w:sz w:val="20"/>
                <w:szCs w:val="20"/>
              </w:rPr>
              <w:t>to</w:t>
            </w:r>
            <w:r w:rsidRPr="002B3F36">
              <w:rPr>
                <w:spacing w:val="18"/>
                <w:sz w:val="20"/>
                <w:szCs w:val="20"/>
              </w:rPr>
              <w:t xml:space="preserve"> </w:t>
            </w:r>
            <w:r w:rsidRPr="002B3F36">
              <w:rPr>
                <w:sz w:val="20"/>
                <w:szCs w:val="20"/>
              </w:rPr>
              <w:t>occur</w:t>
            </w:r>
            <w:r w:rsidRPr="002B3F36">
              <w:rPr>
                <w:spacing w:val="19"/>
                <w:sz w:val="20"/>
                <w:szCs w:val="20"/>
              </w:rPr>
              <w:t xml:space="preserve"> </w:t>
            </w:r>
            <w:r w:rsidRPr="002B3F36">
              <w:rPr>
                <w:sz w:val="20"/>
                <w:szCs w:val="20"/>
              </w:rPr>
              <w:t>at</w:t>
            </w:r>
            <w:r w:rsidRPr="002B3F36">
              <w:rPr>
                <w:spacing w:val="20"/>
                <w:sz w:val="20"/>
                <w:szCs w:val="20"/>
              </w:rPr>
              <w:t xml:space="preserve"> </w:t>
            </w:r>
            <w:r w:rsidRPr="002B3F36">
              <w:rPr>
                <w:sz w:val="20"/>
                <w:szCs w:val="20"/>
              </w:rPr>
              <w:t>some</w:t>
            </w:r>
            <w:r w:rsidRPr="002B3F36">
              <w:rPr>
                <w:spacing w:val="17"/>
                <w:sz w:val="20"/>
                <w:szCs w:val="20"/>
              </w:rPr>
              <w:t xml:space="preserve"> </w:t>
            </w:r>
            <w:r w:rsidRPr="002B3F36">
              <w:rPr>
                <w:sz w:val="20"/>
                <w:szCs w:val="20"/>
              </w:rPr>
              <w:t>time</w:t>
            </w:r>
            <w:r w:rsidRPr="002B3F36">
              <w:rPr>
                <w:spacing w:val="20"/>
                <w:sz w:val="20"/>
                <w:szCs w:val="20"/>
              </w:rPr>
              <w:t xml:space="preserve"> </w:t>
            </w:r>
            <w:r w:rsidRPr="002B3F36">
              <w:rPr>
                <w:sz w:val="20"/>
                <w:szCs w:val="20"/>
              </w:rPr>
              <w:t>during</w:t>
            </w:r>
            <w:r w:rsidRPr="002B3F36">
              <w:rPr>
                <w:spacing w:val="19"/>
                <w:sz w:val="20"/>
                <w:szCs w:val="20"/>
              </w:rPr>
              <w:t xml:space="preserve"> </w:t>
            </w:r>
            <w:r w:rsidRPr="002B3F36">
              <w:rPr>
                <w:sz w:val="20"/>
                <w:szCs w:val="20"/>
              </w:rPr>
              <w:t>normal</w:t>
            </w:r>
            <w:r w:rsidRPr="002B3F36">
              <w:rPr>
                <w:spacing w:val="20"/>
                <w:sz w:val="20"/>
                <w:szCs w:val="20"/>
              </w:rPr>
              <w:t xml:space="preserve"> </w:t>
            </w:r>
            <w:r w:rsidRPr="002B3F36">
              <w:rPr>
                <w:sz w:val="20"/>
                <w:szCs w:val="20"/>
              </w:rPr>
              <w:t>operating</w:t>
            </w:r>
            <w:r w:rsidRPr="002B3F36">
              <w:rPr>
                <w:spacing w:val="19"/>
                <w:sz w:val="20"/>
                <w:szCs w:val="20"/>
              </w:rPr>
              <w:t xml:space="preserve"> </w:t>
            </w:r>
            <w:r w:rsidRPr="002B3F36">
              <w:rPr>
                <w:sz w:val="20"/>
                <w:szCs w:val="20"/>
              </w:rPr>
              <w:t>conditions.</w:t>
            </w:r>
          </w:p>
        </w:tc>
      </w:tr>
      <w:tr w:rsidR="00F61F8E" w:rsidRPr="002B3F36" w14:paraId="0FEF43EF" w14:textId="77777777" w:rsidTr="00F82096">
        <w:trPr>
          <w:trHeight w:val="309"/>
        </w:trPr>
        <w:tc>
          <w:tcPr>
            <w:tcW w:w="1388" w:type="dxa"/>
          </w:tcPr>
          <w:p w14:paraId="505AAD1B" w14:textId="77777777" w:rsidR="00F61F8E" w:rsidRPr="002B3F36" w:rsidRDefault="000F264B" w:rsidP="00160801">
            <w:pPr>
              <w:pStyle w:val="ReportBodyPar"/>
              <w:rPr>
                <w:sz w:val="20"/>
                <w:szCs w:val="20"/>
              </w:rPr>
            </w:pPr>
            <w:r w:rsidRPr="002B3F36">
              <w:rPr>
                <w:sz w:val="20"/>
                <w:szCs w:val="20"/>
              </w:rPr>
              <w:t>Likely</w:t>
            </w:r>
          </w:p>
        </w:tc>
        <w:tc>
          <w:tcPr>
            <w:tcW w:w="8260" w:type="dxa"/>
          </w:tcPr>
          <w:p w14:paraId="41AFCA43" w14:textId="77777777" w:rsidR="00F61F8E" w:rsidRPr="002B3F36" w:rsidRDefault="000F264B" w:rsidP="00160801">
            <w:pPr>
              <w:pStyle w:val="ReportBodyPar"/>
              <w:rPr>
                <w:sz w:val="20"/>
                <w:szCs w:val="20"/>
              </w:rPr>
            </w:pPr>
            <w:r w:rsidRPr="002B3F36">
              <w:rPr>
                <w:sz w:val="20"/>
                <w:szCs w:val="20"/>
              </w:rPr>
              <w:t>The event will occur during normal operating</w:t>
            </w:r>
            <w:r w:rsidRPr="002B3F36">
              <w:rPr>
                <w:spacing w:val="34"/>
                <w:sz w:val="20"/>
                <w:szCs w:val="20"/>
              </w:rPr>
              <w:t xml:space="preserve"> </w:t>
            </w:r>
            <w:r w:rsidRPr="002B3F36">
              <w:rPr>
                <w:sz w:val="20"/>
                <w:szCs w:val="20"/>
              </w:rPr>
              <w:t>conditions (i.e., it is essentially</w:t>
            </w:r>
            <w:r w:rsidRPr="002B3F36">
              <w:rPr>
                <w:spacing w:val="40"/>
                <w:sz w:val="20"/>
                <w:szCs w:val="20"/>
              </w:rPr>
              <w:t xml:space="preserve"> </w:t>
            </w:r>
            <w:r w:rsidRPr="002B3F36">
              <w:rPr>
                <w:sz w:val="20"/>
                <w:szCs w:val="20"/>
              </w:rPr>
              <w:t>inevitable).</w:t>
            </w:r>
          </w:p>
        </w:tc>
      </w:tr>
    </w:tbl>
    <w:p w14:paraId="690DE843" w14:textId="77777777" w:rsidR="00F61F8E" w:rsidRPr="002B3F36" w:rsidRDefault="00F61F8E" w:rsidP="0077675E">
      <w:pPr>
        <w:pStyle w:val="ReportBodyPar"/>
      </w:pPr>
    </w:p>
    <w:p w14:paraId="55943445" w14:textId="77777777" w:rsidR="00F61F8E" w:rsidRPr="002B3F36" w:rsidRDefault="000F264B">
      <w:pPr>
        <w:pStyle w:val="20"/>
        <w:rPr>
          <w:color w:val="auto"/>
        </w:rPr>
      </w:pPr>
      <w:bookmarkStart w:id="2171" w:name="_bookmark126"/>
      <w:bookmarkStart w:id="2172" w:name="_Toc208973847"/>
      <w:bookmarkStart w:id="2173" w:name="_Toc208974047"/>
      <w:bookmarkStart w:id="2174" w:name="_Toc208974247"/>
      <w:bookmarkStart w:id="2175" w:name="_Toc208974449"/>
      <w:bookmarkStart w:id="2176" w:name="_Toc208974655"/>
      <w:bookmarkStart w:id="2177" w:name="_Toc210589489"/>
      <w:bookmarkEnd w:id="2171"/>
      <w:r w:rsidRPr="002B3F36">
        <w:rPr>
          <w:color w:val="auto"/>
        </w:rPr>
        <w:t>Impact</w:t>
      </w:r>
      <w:r w:rsidRPr="002B3F36">
        <w:rPr>
          <w:color w:val="auto"/>
          <w:spacing w:val="43"/>
        </w:rPr>
        <w:t xml:space="preserve"> </w:t>
      </w:r>
      <w:r w:rsidRPr="002B3F36">
        <w:rPr>
          <w:color w:val="auto"/>
        </w:rPr>
        <w:t>Mitigation</w:t>
      </w:r>
      <w:bookmarkEnd w:id="2172"/>
      <w:bookmarkEnd w:id="2173"/>
      <w:bookmarkEnd w:id="2174"/>
      <w:bookmarkEnd w:id="2175"/>
      <w:bookmarkEnd w:id="2176"/>
      <w:bookmarkEnd w:id="2177"/>
    </w:p>
    <w:p w14:paraId="20C24376" w14:textId="77777777" w:rsidR="0077675E" w:rsidRPr="002B3F36" w:rsidRDefault="0077675E" w:rsidP="0077675E">
      <w:pPr>
        <w:pStyle w:val="ReportBodyPar"/>
      </w:pPr>
    </w:p>
    <w:p w14:paraId="3AB1DE66" w14:textId="52855106" w:rsidR="00F61F8E" w:rsidRPr="002B3F36" w:rsidRDefault="000F264B" w:rsidP="0077675E">
      <w:pPr>
        <w:pStyle w:val="ReportBodyPar"/>
      </w:pPr>
      <w:r w:rsidRPr="002B3F36">
        <w:t>Where</w:t>
      </w:r>
      <w:r w:rsidRPr="002B3F36">
        <w:rPr>
          <w:spacing w:val="-5"/>
        </w:rPr>
        <w:t xml:space="preserve"> </w:t>
      </w:r>
      <w:r w:rsidRPr="002B3F36">
        <w:t>a</w:t>
      </w:r>
      <w:r w:rsidRPr="002B3F36">
        <w:rPr>
          <w:spacing w:val="-2"/>
        </w:rPr>
        <w:t xml:space="preserve"> </w:t>
      </w:r>
      <w:r w:rsidRPr="002B3F36">
        <w:t>significant</w:t>
      </w:r>
      <w:r w:rsidRPr="002B3F36">
        <w:rPr>
          <w:spacing w:val="-3"/>
        </w:rPr>
        <w:t xml:space="preserve"> </w:t>
      </w:r>
      <w:r w:rsidRPr="002B3F36">
        <w:t>impact</w:t>
      </w:r>
      <w:r w:rsidRPr="002B3F36">
        <w:rPr>
          <w:spacing w:val="-4"/>
        </w:rPr>
        <w:t xml:space="preserve"> </w:t>
      </w:r>
      <w:r w:rsidRPr="002B3F36">
        <w:t>was</w:t>
      </w:r>
      <w:r w:rsidRPr="002B3F36">
        <w:rPr>
          <w:spacing w:val="-2"/>
        </w:rPr>
        <w:t xml:space="preserve"> </w:t>
      </w:r>
      <w:r w:rsidRPr="002B3F36">
        <w:t>identified,</w:t>
      </w:r>
      <w:r w:rsidRPr="002B3F36">
        <w:rPr>
          <w:spacing w:val="-5"/>
        </w:rPr>
        <w:t xml:space="preserve"> </w:t>
      </w:r>
      <w:r w:rsidRPr="002B3F36">
        <w:t>a</w:t>
      </w:r>
      <w:r w:rsidRPr="002B3F36">
        <w:rPr>
          <w:spacing w:val="-4"/>
        </w:rPr>
        <w:t xml:space="preserve"> </w:t>
      </w:r>
      <w:r w:rsidRPr="002B3F36">
        <w:t>hierarchy</w:t>
      </w:r>
      <w:r w:rsidRPr="002B3F36">
        <w:rPr>
          <w:spacing w:val="-2"/>
        </w:rPr>
        <w:t xml:space="preserve"> </w:t>
      </w:r>
      <w:r w:rsidRPr="002B3F36">
        <w:t>of</w:t>
      </w:r>
      <w:r w:rsidRPr="002B3F36">
        <w:rPr>
          <w:spacing w:val="-5"/>
        </w:rPr>
        <w:t xml:space="preserve"> </w:t>
      </w:r>
      <w:r w:rsidRPr="002B3F36">
        <w:t>options</w:t>
      </w:r>
      <w:r w:rsidRPr="002B3F36">
        <w:rPr>
          <w:spacing w:val="-5"/>
        </w:rPr>
        <w:t xml:space="preserve"> </w:t>
      </w:r>
      <w:r w:rsidRPr="002B3F36">
        <w:t>for</w:t>
      </w:r>
      <w:r w:rsidRPr="002B3F36">
        <w:rPr>
          <w:spacing w:val="-5"/>
        </w:rPr>
        <w:t xml:space="preserve"> </w:t>
      </w:r>
      <w:r w:rsidRPr="002B3F36">
        <w:t>mitigation</w:t>
      </w:r>
      <w:r w:rsidRPr="002B3F36">
        <w:rPr>
          <w:spacing w:val="-3"/>
        </w:rPr>
        <w:t xml:space="preserve"> </w:t>
      </w:r>
      <w:r w:rsidRPr="002B3F36">
        <w:t>were</w:t>
      </w:r>
      <w:r w:rsidRPr="002B3F36">
        <w:rPr>
          <w:spacing w:val="-3"/>
        </w:rPr>
        <w:t xml:space="preserve"> </w:t>
      </w:r>
      <w:r w:rsidRPr="002B3F36">
        <w:t>considered to identify the preferred approach</w:t>
      </w:r>
      <w:r w:rsidR="00C17B6C" w:rsidRPr="002B3F36">
        <w:t xml:space="preserve"> (</w:t>
      </w:r>
      <w:r w:rsidR="00C17B6C" w:rsidRPr="002B3F36">
        <w:rPr>
          <w:i/>
        </w:rPr>
        <w:t>aligned with the WBG Mitigation Hierarchy under PS1</w:t>
      </w:r>
      <w:r w:rsidR="00C17B6C" w:rsidRPr="002B3F36">
        <w:t>)</w:t>
      </w:r>
      <w:r w:rsidRPr="002B3F36">
        <w:t>:</w:t>
      </w:r>
    </w:p>
    <w:p w14:paraId="54ADBE1A" w14:textId="31E059B1" w:rsidR="00F61F8E" w:rsidRPr="002B3F36" w:rsidRDefault="000F264B" w:rsidP="009B4CDB">
      <w:pPr>
        <w:pStyle w:val="a0"/>
        <w:numPr>
          <w:ilvl w:val="0"/>
          <w:numId w:val="56"/>
        </w:numPr>
        <w:rPr>
          <w:color w:val="auto"/>
        </w:rPr>
      </w:pPr>
      <w:r w:rsidRPr="002B3F36">
        <w:rPr>
          <w:b/>
          <w:color w:val="auto"/>
        </w:rPr>
        <w:t>Avoid</w:t>
      </w:r>
      <w:r w:rsidRPr="002B3F36">
        <w:rPr>
          <w:b/>
          <w:color w:val="auto"/>
          <w:spacing w:val="-3"/>
        </w:rPr>
        <w:t xml:space="preserve"> </w:t>
      </w:r>
      <w:r w:rsidRPr="002B3F36">
        <w:rPr>
          <w:b/>
          <w:color w:val="auto"/>
        </w:rPr>
        <w:t>at</w:t>
      </w:r>
      <w:r w:rsidRPr="002B3F36">
        <w:rPr>
          <w:b/>
          <w:color w:val="auto"/>
          <w:spacing w:val="-2"/>
        </w:rPr>
        <w:t xml:space="preserve"> </w:t>
      </w:r>
      <w:r w:rsidRPr="002B3F36">
        <w:rPr>
          <w:b/>
          <w:color w:val="auto"/>
        </w:rPr>
        <w:t>source,</w:t>
      </w:r>
      <w:r w:rsidRPr="002B3F36">
        <w:rPr>
          <w:b/>
          <w:color w:val="auto"/>
          <w:spacing w:val="-2"/>
        </w:rPr>
        <w:t xml:space="preserve"> </w:t>
      </w:r>
      <w:r w:rsidRPr="002B3F36">
        <w:rPr>
          <w:b/>
          <w:color w:val="auto"/>
        </w:rPr>
        <w:t>reduce</w:t>
      </w:r>
      <w:r w:rsidRPr="002B3F36">
        <w:rPr>
          <w:b/>
          <w:color w:val="auto"/>
          <w:spacing w:val="-2"/>
        </w:rPr>
        <w:t xml:space="preserve"> </w:t>
      </w:r>
      <w:r w:rsidRPr="002B3F36">
        <w:rPr>
          <w:b/>
          <w:color w:val="auto"/>
        </w:rPr>
        <w:t>at</w:t>
      </w:r>
      <w:r w:rsidRPr="002B3F36">
        <w:rPr>
          <w:b/>
          <w:color w:val="auto"/>
          <w:spacing w:val="-4"/>
        </w:rPr>
        <w:t xml:space="preserve"> </w:t>
      </w:r>
      <w:r w:rsidRPr="002B3F36">
        <w:rPr>
          <w:b/>
          <w:color w:val="auto"/>
        </w:rPr>
        <w:t>source</w:t>
      </w:r>
      <w:r w:rsidRPr="002B3F36">
        <w:rPr>
          <w:color w:val="auto"/>
        </w:rPr>
        <w:t>:</w:t>
      </w:r>
      <w:r w:rsidRPr="002B3F36">
        <w:rPr>
          <w:color w:val="auto"/>
          <w:spacing w:val="-4"/>
        </w:rPr>
        <w:t xml:space="preserve"> </w:t>
      </w:r>
      <w:r w:rsidRPr="002B3F36">
        <w:rPr>
          <w:color w:val="auto"/>
        </w:rPr>
        <w:t>avoiding</w:t>
      </w:r>
      <w:r w:rsidRPr="002B3F36">
        <w:rPr>
          <w:color w:val="auto"/>
          <w:spacing w:val="-4"/>
        </w:rPr>
        <w:t xml:space="preserve"> </w:t>
      </w:r>
      <w:r w:rsidRPr="002B3F36">
        <w:rPr>
          <w:color w:val="auto"/>
        </w:rPr>
        <w:t>or</w:t>
      </w:r>
      <w:r w:rsidRPr="002B3F36">
        <w:rPr>
          <w:color w:val="auto"/>
          <w:spacing w:val="-4"/>
        </w:rPr>
        <w:t xml:space="preserve"> </w:t>
      </w:r>
      <w:r w:rsidRPr="002B3F36">
        <w:rPr>
          <w:color w:val="auto"/>
        </w:rPr>
        <w:t>reducing</w:t>
      </w:r>
      <w:r w:rsidRPr="002B3F36">
        <w:rPr>
          <w:color w:val="auto"/>
          <w:spacing w:val="-4"/>
        </w:rPr>
        <w:t xml:space="preserve"> </w:t>
      </w:r>
      <w:r w:rsidRPr="002B3F36">
        <w:rPr>
          <w:color w:val="auto"/>
        </w:rPr>
        <w:t>at</w:t>
      </w:r>
      <w:r w:rsidRPr="002B3F36">
        <w:rPr>
          <w:color w:val="auto"/>
          <w:spacing w:val="-4"/>
        </w:rPr>
        <w:t xml:space="preserve"> </w:t>
      </w:r>
      <w:r w:rsidRPr="002B3F36">
        <w:rPr>
          <w:color w:val="auto"/>
        </w:rPr>
        <w:t>source</w:t>
      </w:r>
      <w:r w:rsidRPr="002B3F36">
        <w:rPr>
          <w:color w:val="auto"/>
          <w:spacing w:val="-5"/>
        </w:rPr>
        <w:t xml:space="preserve"> </w:t>
      </w:r>
      <w:r w:rsidRPr="002B3F36">
        <w:rPr>
          <w:color w:val="auto"/>
        </w:rPr>
        <w:t>through</w:t>
      </w:r>
      <w:r w:rsidRPr="002B3F36">
        <w:rPr>
          <w:color w:val="auto"/>
          <w:spacing w:val="-4"/>
        </w:rPr>
        <w:t xml:space="preserve"> </w:t>
      </w:r>
      <w:r w:rsidRPr="002B3F36">
        <w:rPr>
          <w:color w:val="auto"/>
        </w:rPr>
        <w:t>the</w:t>
      </w:r>
      <w:r w:rsidRPr="002B3F36">
        <w:rPr>
          <w:color w:val="auto"/>
          <w:spacing w:val="-5"/>
        </w:rPr>
        <w:t xml:space="preserve"> </w:t>
      </w:r>
      <w:r w:rsidRPr="002B3F36">
        <w:rPr>
          <w:color w:val="auto"/>
        </w:rPr>
        <w:t>design</w:t>
      </w:r>
      <w:r w:rsidRPr="002B3F36">
        <w:rPr>
          <w:color w:val="auto"/>
          <w:spacing w:val="-2"/>
        </w:rPr>
        <w:t xml:space="preserve"> </w:t>
      </w:r>
      <w:r w:rsidRPr="002B3F36">
        <w:rPr>
          <w:color w:val="auto"/>
        </w:rPr>
        <w:t>of the Project. For this Project, changes in the design may not be a feasible option as the Project is under construction</w:t>
      </w:r>
      <w:r w:rsidR="00A47C4C" w:rsidRPr="002B3F36">
        <w:rPr>
          <w:color w:val="auto"/>
        </w:rPr>
        <w:t xml:space="preserve"> (</w:t>
      </w:r>
      <w:r w:rsidR="00A47C4C" w:rsidRPr="002B3F36">
        <w:rPr>
          <w:rFonts w:eastAsia="Calibri"/>
          <w:i/>
          <w:color w:val="auto"/>
          <w:lang w:eastAsia="en-GB"/>
        </w:rPr>
        <w:t>consistent with PS1: Anticipation and Avoidance of risks and impacts</w:t>
      </w:r>
      <w:r w:rsidR="00A47C4C" w:rsidRPr="002B3F36">
        <w:rPr>
          <w:color w:val="auto"/>
        </w:rPr>
        <w:t>)</w:t>
      </w:r>
      <w:r w:rsidRPr="002B3F36">
        <w:rPr>
          <w:color w:val="auto"/>
        </w:rPr>
        <w:t>.</w:t>
      </w:r>
    </w:p>
    <w:p w14:paraId="2862DD7D" w14:textId="73BA5894" w:rsidR="00F61F8E" w:rsidRPr="002B3F36" w:rsidRDefault="000F264B" w:rsidP="009B4CDB">
      <w:pPr>
        <w:pStyle w:val="a0"/>
        <w:numPr>
          <w:ilvl w:val="0"/>
          <w:numId w:val="56"/>
        </w:numPr>
        <w:rPr>
          <w:color w:val="auto"/>
        </w:rPr>
      </w:pPr>
      <w:r w:rsidRPr="002B3F36">
        <w:rPr>
          <w:b/>
          <w:color w:val="auto"/>
        </w:rPr>
        <w:t>Abate</w:t>
      </w:r>
      <w:r w:rsidRPr="002B3F36">
        <w:rPr>
          <w:b/>
          <w:color w:val="auto"/>
          <w:spacing w:val="-2"/>
        </w:rPr>
        <w:t xml:space="preserve"> </w:t>
      </w:r>
      <w:r w:rsidRPr="002B3F36">
        <w:rPr>
          <w:b/>
          <w:color w:val="auto"/>
        </w:rPr>
        <w:t>on</w:t>
      </w:r>
      <w:r w:rsidRPr="002B3F36">
        <w:rPr>
          <w:b/>
          <w:color w:val="auto"/>
          <w:spacing w:val="-3"/>
        </w:rPr>
        <w:t xml:space="preserve"> </w:t>
      </w:r>
      <w:r w:rsidRPr="002B3F36">
        <w:rPr>
          <w:b/>
          <w:color w:val="auto"/>
        </w:rPr>
        <w:t xml:space="preserve">site: </w:t>
      </w:r>
      <w:r w:rsidRPr="002B3F36">
        <w:rPr>
          <w:color w:val="auto"/>
        </w:rPr>
        <w:t>add</w:t>
      </w:r>
      <w:r w:rsidRPr="002B3F36">
        <w:rPr>
          <w:color w:val="auto"/>
          <w:spacing w:val="-3"/>
        </w:rPr>
        <w:t xml:space="preserve"> </w:t>
      </w:r>
      <w:r w:rsidRPr="002B3F36">
        <w:rPr>
          <w:color w:val="auto"/>
        </w:rPr>
        <w:t>something</w:t>
      </w:r>
      <w:r w:rsidRPr="002B3F36">
        <w:rPr>
          <w:color w:val="auto"/>
          <w:spacing w:val="-3"/>
        </w:rPr>
        <w:t xml:space="preserve"> </w:t>
      </w:r>
      <w:r w:rsidRPr="002B3F36">
        <w:rPr>
          <w:color w:val="auto"/>
        </w:rPr>
        <w:t>to</w:t>
      </w:r>
      <w:r w:rsidRPr="002B3F36">
        <w:rPr>
          <w:color w:val="auto"/>
          <w:spacing w:val="-4"/>
        </w:rPr>
        <w:t xml:space="preserve"> </w:t>
      </w:r>
      <w:r w:rsidRPr="002B3F36">
        <w:rPr>
          <w:color w:val="auto"/>
        </w:rPr>
        <w:t>the</w:t>
      </w:r>
      <w:r w:rsidRPr="002B3F36">
        <w:rPr>
          <w:color w:val="auto"/>
          <w:spacing w:val="-5"/>
        </w:rPr>
        <w:t xml:space="preserve"> </w:t>
      </w:r>
      <w:r w:rsidRPr="002B3F36">
        <w:rPr>
          <w:color w:val="auto"/>
        </w:rPr>
        <w:t>design</w:t>
      </w:r>
      <w:r w:rsidRPr="002B3F36">
        <w:rPr>
          <w:color w:val="auto"/>
          <w:spacing w:val="-3"/>
        </w:rPr>
        <w:t xml:space="preserve"> </w:t>
      </w:r>
      <w:r w:rsidRPr="002B3F36">
        <w:rPr>
          <w:color w:val="auto"/>
        </w:rPr>
        <w:t>to</w:t>
      </w:r>
      <w:r w:rsidRPr="002B3F36">
        <w:rPr>
          <w:color w:val="auto"/>
          <w:spacing w:val="-5"/>
        </w:rPr>
        <w:t xml:space="preserve"> </w:t>
      </w:r>
      <w:r w:rsidRPr="002B3F36">
        <w:rPr>
          <w:color w:val="auto"/>
        </w:rPr>
        <w:t>abate</w:t>
      </w:r>
      <w:r w:rsidRPr="002B3F36">
        <w:rPr>
          <w:color w:val="auto"/>
          <w:spacing w:val="-3"/>
        </w:rPr>
        <w:t xml:space="preserve"> </w:t>
      </w:r>
      <w:r w:rsidRPr="002B3F36">
        <w:rPr>
          <w:color w:val="auto"/>
        </w:rPr>
        <w:t>the</w:t>
      </w:r>
      <w:r w:rsidRPr="002B3F36">
        <w:rPr>
          <w:color w:val="auto"/>
          <w:spacing w:val="-5"/>
        </w:rPr>
        <w:t xml:space="preserve"> </w:t>
      </w:r>
      <w:r w:rsidRPr="002B3F36">
        <w:rPr>
          <w:color w:val="auto"/>
        </w:rPr>
        <w:t>impact</w:t>
      </w:r>
      <w:r w:rsidRPr="002B3F36">
        <w:rPr>
          <w:color w:val="auto"/>
          <w:spacing w:val="-4"/>
        </w:rPr>
        <w:t xml:space="preserve"> </w:t>
      </w:r>
      <w:r w:rsidRPr="002B3F36">
        <w:rPr>
          <w:color w:val="auto"/>
        </w:rPr>
        <w:t>(e.g.</w:t>
      </w:r>
      <w:r w:rsidRPr="002B3F36">
        <w:rPr>
          <w:color w:val="auto"/>
          <w:spacing w:val="-2"/>
        </w:rPr>
        <w:t xml:space="preserve"> </w:t>
      </w:r>
      <w:r w:rsidRPr="002B3F36">
        <w:rPr>
          <w:color w:val="auto"/>
        </w:rPr>
        <w:t>pollution</w:t>
      </w:r>
      <w:r w:rsidRPr="002B3F36">
        <w:rPr>
          <w:color w:val="auto"/>
          <w:spacing w:val="-3"/>
        </w:rPr>
        <w:t xml:space="preserve"> </w:t>
      </w:r>
      <w:r w:rsidRPr="002B3F36">
        <w:rPr>
          <w:color w:val="auto"/>
        </w:rPr>
        <w:t>control equipment, traffic controls etc.)</w:t>
      </w:r>
      <w:r w:rsidR="00A47C4C" w:rsidRPr="002B3F36">
        <w:rPr>
          <w:color w:val="auto"/>
        </w:rPr>
        <w:t xml:space="preserve"> (</w:t>
      </w:r>
      <w:r w:rsidR="00A47C4C" w:rsidRPr="002B3F36">
        <w:rPr>
          <w:rFonts w:eastAsia="Calibri"/>
          <w:i/>
          <w:color w:val="auto"/>
          <w:lang w:eastAsia="en-GB"/>
        </w:rPr>
        <w:t>PS1: Minimization of risks and impacts</w:t>
      </w:r>
      <w:r w:rsidR="00A47C4C" w:rsidRPr="002B3F36">
        <w:rPr>
          <w:color w:val="auto"/>
        </w:rPr>
        <w:t>)</w:t>
      </w:r>
      <w:r w:rsidRPr="002B3F36">
        <w:rPr>
          <w:color w:val="auto"/>
        </w:rPr>
        <w:t>.</w:t>
      </w:r>
    </w:p>
    <w:p w14:paraId="73D7C96B" w14:textId="4ED9CEC5" w:rsidR="00F61F8E" w:rsidRPr="002B3F36" w:rsidRDefault="000F264B" w:rsidP="009B4CDB">
      <w:pPr>
        <w:pStyle w:val="a0"/>
        <w:numPr>
          <w:ilvl w:val="0"/>
          <w:numId w:val="56"/>
        </w:numPr>
        <w:rPr>
          <w:color w:val="auto"/>
        </w:rPr>
      </w:pPr>
      <w:r w:rsidRPr="002B3F36">
        <w:rPr>
          <w:b/>
          <w:color w:val="auto"/>
        </w:rPr>
        <w:t>Abate</w:t>
      </w:r>
      <w:r w:rsidRPr="002B3F36">
        <w:rPr>
          <w:b/>
          <w:color w:val="auto"/>
          <w:spacing w:val="-2"/>
        </w:rPr>
        <w:t xml:space="preserve"> </w:t>
      </w:r>
      <w:r w:rsidRPr="002B3F36">
        <w:rPr>
          <w:b/>
          <w:color w:val="auto"/>
        </w:rPr>
        <w:t>at</w:t>
      </w:r>
      <w:r w:rsidRPr="002B3F36">
        <w:rPr>
          <w:b/>
          <w:color w:val="auto"/>
          <w:spacing w:val="-2"/>
        </w:rPr>
        <w:t xml:space="preserve"> </w:t>
      </w:r>
      <w:r w:rsidRPr="002B3F36">
        <w:rPr>
          <w:b/>
          <w:color w:val="auto"/>
        </w:rPr>
        <w:t>receptor:</w:t>
      </w:r>
      <w:r w:rsidRPr="002B3F36">
        <w:rPr>
          <w:b/>
          <w:color w:val="auto"/>
          <w:spacing w:val="-2"/>
        </w:rPr>
        <w:t xml:space="preserve"> </w:t>
      </w:r>
      <w:r w:rsidRPr="002B3F36">
        <w:rPr>
          <w:color w:val="auto"/>
        </w:rPr>
        <w:t>if</w:t>
      </w:r>
      <w:r w:rsidRPr="002B3F36">
        <w:rPr>
          <w:color w:val="auto"/>
          <w:spacing w:val="-5"/>
        </w:rPr>
        <w:t xml:space="preserve"> </w:t>
      </w:r>
      <w:r w:rsidRPr="002B3F36">
        <w:rPr>
          <w:color w:val="auto"/>
        </w:rPr>
        <w:t>an</w:t>
      </w:r>
      <w:r w:rsidRPr="002B3F36">
        <w:rPr>
          <w:color w:val="auto"/>
          <w:spacing w:val="-3"/>
        </w:rPr>
        <w:t xml:space="preserve"> </w:t>
      </w:r>
      <w:r w:rsidRPr="002B3F36">
        <w:rPr>
          <w:color w:val="auto"/>
        </w:rPr>
        <w:t>impact</w:t>
      </w:r>
      <w:r w:rsidRPr="002B3F36">
        <w:rPr>
          <w:color w:val="auto"/>
          <w:spacing w:val="-4"/>
        </w:rPr>
        <w:t xml:space="preserve"> </w:t>
      </w:r>
      <w:r w:rsidRPr="002B3F36">
        <w:rPr>
          <w:color w:val="auto"/>
        </w:rPr>
        <w:t>cannot</w:t>
      </w:r>
      <w:r w:rsidRPr="002B3F36">
        <w:rPr>
          <w:color w:val="auto"/>
          <w:spacing w:val="-3"/>
        </w:rPr>
        <w:t xml:space="preserve"> </w:t>
      </w:r>
      <w:r w:rsidRPr="002B3F36">
        <w:rPr>
          <w:color w:val="auto"/>
        </w:rPr>
        <w:t>be</w:t>
      </w:r>
      <w:r w:rsidRPr="002B3F36">
        <w:rPr>
          <w:color w:val="auto"/>
          <w:spacing w:val="-5"/>
        </w:rPr>
        <w:t xml:space="preserve"> </w:t>
      </w:r>
      <w:r w:rsidRPr="002B3F36">
        <w:rPr>
          <w:color w:val="auto"/>
        </w:rPr>
        <w:t>abated</w:t>
      </w:r>
      <w:r w:rsidRPr="002B3F36">
        <w:rPr>
          <w:color w:val="auto"/>
          <w:spacing w:val="-3"/>
        </w:rPr>
        <w:t xml:space="preserve"> </w:t>
      </w:r>
      <w:r w:rsidRPr="002B3F36">
        <w:rPr>
          <w:color w:val="auto"/>
        </w:rPr>
        <w:t>on-site,</w:t>
      </w:r>
      <w:r w:rsidRPr="002B3F36">
        <w:rPr>
          <w:color w:val="auto"/>
          <w:spacing w:val="-5"/>
        </w:rPr>
        <w:t xml:space="preserve"> </w:t>
      </w:r>
      <w:r w:rsidRPr="002B3F36">
        <w:rPr>
          <w:color w:val="auto"/>
        </w:rPr>
        <w:t>then</w:t>
      </w:r>
      <w:r w:rsidRPr="002B3F36">
        <w:rPr>
          <w:color w:val="auto"/>
          <w:spacing w:val="-3"/>
        </w:rPr>
        <w:t xml:space="preserve"> </w:t>
      </w:r>
      <w:r w:rsidRPr="002B3F36">
        <w:rPr>
          <w:color w:val="auto"/>
        </w:rPr>
        <w:t>control measures</w:t>
      </w:r>
      <w:r w:rsidRPr="002B3F36">
        <w:rPr>
          <w:color w:val="auto"/>
          <w:spacing w:val="-5"/>
        </w:rPr>
        <w:t xml:space="preserve"> </w:t>
      </w:r>
      <w:r w:rsidRPr="002B3F36">
        <w:rPr>
          <w:color w:val="auto"/>
        </w:rPr>
        <w:t>can</w:t>
      </w:r>
      <w:r w:rsidRPr="002B3F36">
        <w:rPr>
          <w:color w:val="auto"/>
          <w:spacing w:val="-3"/>
        </w:rPr>
        <w:t xml:space="preserve"> </w:t>
      </w:r>
      <w:r w:rsidRPr="002B3F36">
        <w:rPr>
          <w:color w:val="auto"/>
        </w:rPr>
        <w:t>be implemented off-site</w:t>
      </w:r>
      <w:r w:rsidR="00A47C4C" w:rsidRPr="002B3F36">
        <w:rPr>
          <w:color w:val="auto"/>
        </w:rPr>
        <w:t xml:space="preserve"> (</w:t>
      </w:r>
      <w:r w:rsidR="00A47C4C" w:rsidRPr="002B3F36">
        <w:rPr>
          <w:rFonts w:eastAsia="Calibri"/>
          <w:i/>
          <w:color w:val="auto"/>
          <w:lang w:eastAsia="en-GB"/>
        </w:rPr>
        <w:t>PS1: Minimization at receptor level, consistent with WBG EHS Guidelines</w:t>
      </w:r>
      <w:r w:rsidR="00A47C4C" w:rsidRPr="002B3F36">
        <w:rPr>
          <w:color w:val="auto"/>
        </w:rPr>
        <w:t>)</w:t>
      </w:r>
      <w:r w:rsidRPr="002B3F36">
        <w:rPr>
          <w:color w:val="auto"/>
        </w:rPr>
        <w:t>.</w:t>
      </w:r>
    </w:p>
    <w:p w14:paraId="3856F2E0" w14:textId="7BB03B5A" w:rsidR="00F61F8E" w:rsidRPr="002B3F36" w:rsidRDefault="000F264B" w:rsidP="009B4CDB">
      <w:pPr>
        <w:pStyle w:val="a0"/>
        <w:numPr>
          <w:ilvl w:val="0"/>
          <w:numId w:val="56"/>
        </w:numPr>
        <w:rPr>
          <w:color w:val="auto"/>
        </w:rPr>
      </w:pPr>
      <w:r w:rsidRPr="002B3F36">
        <w:rPr>
          <w:b/>
          <w:color w:val="auto"/>
        </w:rPr>
        <w:t>Repair</w:t>
      </w:r>
      <w:r w:rsidRPr="002B3F36">
        <w:rPr>
          <w:b/>
          <w:color w:val="auto"/>
          <w:spacing w:val="-4"/>
        </w:rPr>
        <w:t xml:space="preserve"> </w:t>
      </w:r>
      <w:r w:rsidRPr="002B3F36">
        <w:rPr>
          <w:b/>
          <w:color w:val="auto"/>
        </w:rPr>
        <w:t>or</w:t>
      </w:r>
      <w:r w:rsidRPr="002B3F36">
        <w:rPr>
          <w:b/>
          <w:color w:val="auto"/>
          <w:spacing w:val="-6"/>
        </w:rPr>
        <w:t xml:space="preserve"> </w:t>
      </w:r>
      <w:r w:rsidRPr="002B3F36">
        <w:rPr>
          <w:b/>
          <w:color w:val="auto"/>
        </w:rPr>
        <w:t>remedy:</w:t>
      </w:r>
      <w:r w:rsidRPr="002B3F36">
        <w:rPr>
          <w:b/>
          <w:color w:val="auto"/>
          <w:spacing w:val="-1"/>
        </w:rPr>
        <w:t xml:space="preserve"> </w:t>
      </w:r>
      <w:r w:rsidRPr="002B3F36">
        <w:rPr>
          <w:color w:val="auto"/>
        </w:rPr>
        <w:t>some</w:t>
      </w:r>
      <w:r w:rsidRPr="002B3F36">
        <w:rPr>
          <w:color w:val="auto"/>
          <w:spacing w:val="-6"/>
        </w:rPr>
        <w:t xml:space="preserve"> </w:t>
      </w:r>
      <w:r w:rsidRPr="002B3F36">
        <w:rPr>
          <w:color w:val="auto"/>
        </w:rPr>
        <w:t>impacts</w:t>
      </w:r>
      <w:r w:rsidRPr="002B3F36">
        <w:rPr>
          <w:color w:val="auto"/>
          <w:spacing w:val="-6"/>
        </w:rPr>
        <w:t xml:space="preserve"> </w:t>
      </w:r>
      <w:r w:rsidRPr="002B3F36">
        <w:rPr>
          <w:color w:val="auto"/>
        </w:rPr>
        <w:t>involve</w:t>
      </w:r>
      <w:r w:rsidRPr="002B3F36">
        <w:rPr>
          <w:color w:val="auto"/>
          <w:spacing w:val="-6"/>
        </w:rPr>
        <w:t xml:space="preserve"> </w:t>
      </w:r>
      <w:r w:rsidRPr="002B3F36">
        <w:rPr>
          <w:color w:val="auto"/>
        </w:rPr>
        <w:t>unavoidable</w:t>
      </w:r>
      <w:r w:rsidRPr="002B3F36">
        <w:rPr>
          <w:color w:val="auto"/>
          <w:spacing w:val="-4"/>
        </w:rPr>
        <w:t xml:space="preserve"> </w:t>
      </w:r>
      <w:r w:rsidRPr="002B3F36">
        <w:rPr>
          <w:color w:val="auto"/>
        </w:rPr>
        <w:t>damage</w:t>
      </w:r>
      <w:r w:rsidRPr="002B3F36">
        <w:rPr>
          <w:color w:val="auto"/>
          <w:spacing w:val="-4"/>
        </w:rPr>
        <w:t xml:space="preserve"> </w:t>
      </w:r>
      <w:r w:rsidRPr="002B3F36">
        <w:rPr>
          <w:color w:val="auto"/>
        </w:rPr>
        <w:t>to</w:t>
      </w:r>
      <w:r w:rsidRPr="002B3F36">
        <w:rPr>
          <w:color w:val="auto"/>
          <w:spacing w:val="-5"/>
        </w:rPr>
        <w:t xml:space="preserve"> </w:t>
      </w:r>
      <w:r w:rsidRPr="002B3F36">
        <w:rPr>
          <w:color w:val="auto"/>
        </w:rPr>
        <w:t>a</w:t>
      </w:r>
      <w:r w:rsidRPr="002B3F36">
        <w:rPr>
          <w:color w:val="auto"/>
          <w:spacing w:val="-3"/>
        </w:rPr>
        <w:t xml:space="preserve"> </w:t>
      </w:r>
      <w:r w:rsidRPr="002B3F36">
        <w:rPr>
          <w:color w:val="auto"/>
        </w:rPr>
        <w:t>resource</w:t>
      </w:r>
      <w:r w:rsidRPr="002B3F36">
        <w:rPr>
          <w:color w:val="auto"/>
          <w:spacing w:val="-4"/>
        </w:rPr>
        <w:t xml:space="preserve"> </w:t>
      </w:r>
      <w:r w:rsidRPr="002B3F36">
        <w:rPr>
          <w:color w:val="auto"/>
        </w:rPr>
        <w:t>and</w:t>
      </w:r>
      <w:r w:rsidRPr="002B3F36">
        <w:rPr>
          <w:color w:val="auto"/>
          <w:spacing w:val="-4"/>
        </w:rPr>
        <w:t xml:space="preserve"> </w:t>
      </w:r>
      <w:r w:rsidRPr="002B3F36">
        <w:rPr>
          <w:color w:val="auto"/>
        </w:rPr>
        <w:t>can</w:t>
      </w:r>
      <w:r w:rsidRPr="002B3F36">
        <w:rPr>
          <w:color w:val="auto"/>
          <w:spacing w:val="-3"/>
        </w:rPr>
        <w:t xml:space="preserve"> </w:t>
      </w:r>
      <w:r w:rsidRPr="002B3F36">
        <w:rPr>
          <w:color w:val="auto"/>
        </w:rPr>
        <w:t>be addressed through repair, restoration or reinstatement measures</w:t>
      </w:r>
      <w:r w:rsidR="00A47C4C" w:rsidRPr="002B3F36">
        <w:rPr>
          <w:color w:val="auto"/>
        </w:rPr>
        <w:t xml:space="preserve"> (</w:t>
      </w:r>
      <w:r w:rsidR="00A47C4C" w:rsidRPr="002B3F36">
        <w:rPr>
          <w:rFonts w:eastAsia="Calibri"/>
          <w:i/>
          <w:color w:val="auto"/>
          <w:lang w:eastAsia="en-GB"/>
        </w:rPr>
        <w:t>PS6: Restoration of biodiversity and ecosystem services</w:t>
      </w:r>
      <w:r w:rsidR="00A47C4C" w:rsidRPr="002B3F36">
        <w:rPr>
          <w:color w:val="auto"/>
        </w:rPr>
        <w:t>)</w:t>
      </w:r>
      <w:r w:rsidRPr="002B3F36">
        <w:rPr>
          <w:color w:val="auto"/>
        </w:rPr>
        <w:t>.</w:t>
      </w:r>
    </w:p>
    <w:p w14:paraId="7AB04F84" w14:textId="3F592C89" w:rsidR="00F61F8E" w:rsidRPr="002B3F36" w:rsidRDefault="000F264B" w:rsidP="009B4CDB">
      <w:pPr>
        <w:pStyle w:val="a0"/>
        <w:numPr>
          <w:ilvl w:val="0"/>
          <w:numId w:val="56"/>
        </w:numPr>
        <w:rPr>
          <w:color w:val="auto"/>
        </w:rPr>
      </w:pPr>
      <w:r w:rsidRPr="002B3F36">
        <w:rPr>
          <w:b/>
          <w:color w:val="auto"/>
        </w:rPr>
        <w:t xml:space="preserve">Compensate in kind, compensate through other means: </w:t>
      </w:r>
      <w:r w:rsidRPr="002B3F36">
        <w:rPr>
          <w:color w:val="auto"/>
        </w:rPr>
        <w:t>where other mitigation approaches</w:t>
      </w:r>
      <w:r w:rsidRPr="002B3F36">
        <w:rPr>
          <w:color w:val="auto"/>
          <w:spacing w:val="-3"/>
        </w:rPr>
        <w:t xml:space="preserve"> </w:t>
      </w:r>
      <w:r w:rsidRPr="002B3F36">
        <w:rPr>
          <w:color w:val="auto"/>
        </w:rPr>
        <w:t>are</w:t>
      </w:r>
      <w:r w:rsidRPr="002B3F36">
        <w:rPr>
          <w:color w:val="auto"/>
          <w:spacing w:val="-6"/>
        </w:rPr>
        <w:t xml:space="preserve"> </w:t>
      </w:r>
      <w:r w:rsidRPr="002B3F36">
        <w:rPr>
          <w:color w:val="auto"/>
        </w:rPr>
        <w:t>not</w:t>
      </w:r>
      <w:r w:rsidRPr="002B3F36">
        <w:rPr>
          <w:color w:val="auto"/>
          <w:spacing w:val="-4"/>
        </w:rPr>
        <w:t xml:space="preserve"> </w:t>
      </w:r>
      <w:r w:rsidRPr="002B3F36">
        <w:rPr>
          <w:color w:val="auto"/>
        </w:rPr>
        <w:t>possible</w:t>
      </w:r>
      <w:r w:rsidRPr="002B3F36">
        <w:rPr>
          <w:color w:val="auto"/>
          <w:spacing w:val="-4"/>
        </w:rPr>
        <w:t xml:space="preserve"> </w:t>
      </w:r>
      <w:r w:rsidRPr="002B3F36">
        <w:rPr>
          <w:color w:val="auto"/>
        </w:rPr>
        <w:t>or</w:t>
      </w:r>
      <w:r w:rsidRPr="002B3F36">
        <w:rPr>
          <w:color w:val="auto"/>
          <w:spacing w:val="-4"/>
        </w:rPr>
        <w:t xml:space="preserve"> </w:t>
      </w:r>
      <w:r w:rsidRPr="002B3F36">
        <w:rPr>
          <w:color w:val="auto"/>
        </w:rPr>
        <w:t>fully</w:t>
      </w:r>
      <w:r w:rsidRPr="002B3F36">
        <w:rPr>
          <w:color w:val="auto"/>
          <w:spacing w:val="-3"/>
        </w:rPr>
        <w:t xml:space="preserve"> </w:t>
      </w:r>
      <w:r w:rsidRPr="002B3F36">
        <w:rPr>
          <w:color w:val="auto"/>
        </w:rPr>
        <w:t>effective,</w:t>
      </w:r>
      <w:r w:rsidRPr="002B3F36">
        <w:rPr>
          <w:color w:val="auto"/>
          <w:spacing w:val="-3"/>
        </w:rPr>
        <w:t xml:space="preserve"> </w:t>
      </w:r>
      <w:r w:rsidRPr="002B3F36">
        <w:rPr>
          <w:color w:val="auto"/>
        </w:rPr>
        <w:t>then</w:t>
      </w:r>
      <w:r w:rsidRPr="002B3F36">
        <w:rPr>
          <w:color w:val="auto"/>
          <w:spacing w:val="-4"/>
        </w:rPr>
        <w:t xml:space="preserve"> </w:t>
      </w:r>
      <w:r w:rsidRPr="002B3F36">
        <w:rPr>
          <w:color w:val="auto"/>
        </w:rPr>
        <w:t>compensation</w:t>
      </w:r>
      <w:r w:rsidRPr="002B3F36">
        <w:rPr>
          <w:color w:val="auto"/>
          <w:spacing w:val="-4"/>
        </w:rPr>
        <w:t xml:space="preserve"> </w:t>
      </w:r>
      <w:r w:rsidRPr="002B3F36">
        <w:rPr>
          <w:color w:val="auto"/>
        </w:rPr>
        <w:t>for</w:t>
      </w:r>
      <w:r w:rsidRPr="002B3F36">
        <w:rPr>
          <w:color w:val="auto"/>
          <w:spacing w:val="-6"/>
        </w:rPr>
        <w:t xml:space="preserve"> </w:t>
      </w:r>
      <w:r w:rsidRPr="002B3F36">
        <w:rPr>
          <w:color w:val="auto"/>
        </w:rPr>
        <w:t>loss,</w:t>
      </w:r>
      <w:r w:rsidRPr="002B3F36">
        <w:rPr>
          <w:color w:val="auto"/>
          <w:spacing w:val="-6"/>
        </w:rPr>
        <w:t xml:space="preserve"> </w:t>
      </w:r>
      <w:r w:rsidRPr="002B3F36">
        <w:rPr>
          <w:color w:val="auto"/>
        </w:rPr>
        <w:t>damage</w:t>
      </w:r>
      <w:r w:rsidRPr="002B3F36">
        <w:rPr>
          <w:color w:val="auto"/>
          <w:spacing w:val="-6"/>
        </w:rPr>
        <w:t xml:space="preserve"> </w:t>
      </w:r>
      <w:r w:rsidRPr="002B3F36">
        <w:rPr>
          <w:color w:val="auto"/>
        </w:rPr>
        <w:t>and disturbance might be appropriate</w:t>
      </w:r>
      <w:r w:rsidR="00A47C4C" w:rsidRPr="002B3F36">
        <w:rPr>
          <w:color w:val="auto"/>
        </w:rPr>
        <w:t xml:space="preserve"> (</w:t>
      </w:r>
      <w:r w:rsidR="00A47C4C" w:rsidRPr="002B3F36">
        <w:rPr>
          <w:rFonts w:eastAsia="Calibri"/>
          <w:i/>
          <w:color w:val="auto"/>
          <w:lang w:eastAsia="en-GB"/>
        </w:rPr>
        <w:t>PS5 and PS6: Livelihood restoration and biodiversity offsets/compensation</w:t>
      </w:r>
      <w:r w:rsidR="00A47C4C" w:rsidRPr="002B3F36">
        <w:rPr>
          <w:color w:val="auto"/>
        </w:rPr>
        <w:t>)</w:t>
      </w:r>
      <w:r w:rsidRPr="002B3F36">
        <w:rPr>
          <w:color w:val="auto"/>
        </w:rPr>
        <w:t>.</w:t>
      </w:r>
    </w:p>
    <w:p w14:paraId="55E84055" w14:textId="7B96AB1A" w:rsidR="005A68AD" w:rsidRPr="002B3F36" w:rsidRDefault="005A68AD" w:rsidP="005A68AD">
      <w:pPr>
        <w:pStyle w:val="ReportBodyPar"/>
      </w:pPr>
    </w:p>
    <w:p w14:paraId="5E2F00FA" w14:textId="1617FA99" w:rsidR="005A68AD" w:rsidRPr="002B3F36" w:rsidRDefault="005A68AD" w:rsidP="005A68AD">
      <w:pPr>
        <w:pStyle w:val="ReportBodyPar"/>
      </w:pPr>
      <w:r w:rsidRPr="002B3F36">
        <w:t xml:space="preserve">Consistent with the mitigation hierarchy outlined in </w:t>
      </w:r>
      <w:r w:rsidR="00163238" w:rsidRPr="002B3F36">
        <w:t>WB PS</w:t>
      </w:r>
      <w:r w:rsidRPr="002B3F36">
        <w:t>, the railway project applies a structured approach to managing significant environmental and social impacts. This hierarchy prioritizes avoiding impacts at source wherever feasible, followed by minimizing impacts through on-site and receptor-level interventions, and then repairing or restoring affected areas where damage is unavoidable. Where residual impacts remain, compensation measures are implemented to ensure that affected habitats, biodiversity, and communities, especially vulnerable groups, receive appropriate and proportionate benefits. This approach ensures that risks are managed responsibly</w:t>
      </w:r>
      <w:r w:rsidR="00A47C4C" w:rsidRPr="002B3F36">
        <w:t xml:space="preserve"> (</w:t>
      </w:r>
      <w:r w:rsidR="00A47C4C" w:rsidRPr="002B3F36">
        <w:rPr>
          <w:i/>
        </w:rPr>
        <w:t>as emphasized in PS1’s mitigation hierarchy and the WBG General EHS Guidelines)</w:t>
      </w:r>
      <w:r w:rsidRPr="002B3F36">
        <w:t xml:space="preserve">, in line with international best practice, and that project implementation aligns with the sustainability principles embedded in the </w:t>
      </w:r>
      <w:r w:rsidR="00F95BD8" w:rsidRPr="002B3F36">
        <w:t>WB</w:t>
      </w:r>
      <w:r w:rsidRPr="002B3F36">
        <w:t xml:space="preserve"> Performance Standards.</w:t>
      </w:r>
    </w:p>
    <w:p w14:paraId="5EC216E6" w14:textId="77777777" w:rsidR="005A68AD" w:rsidRPr="002B3F36" w:rsidRDefault="005A68AD" w:rsidP="005A68AD">
      <w:pPr>
        <w:pStyle w:val="ReportBodyPar"/>
      </w:pPr>
    </w:p>
    <w:p w14:paraId="4352A084" w14:textId="5D55E42E" w:rsidR="00F61F8E" w:rsidRPr="002B3F36" w:rsidRDefault="000F264B">
      <w:pPr>
        <w:pStyle w:val="20"/>
        <w:rPr>
          <w:color w:val="auto"/>
        </w:rPr>
      </w:pPr>
      <w:bookmarkStart w:id="2178" w:name="_bookmark127"/>
      <w:bookmarkStart w:id="2179" w:name="_Toc208973848"/>
      <w:bookmarkStart w:id="2180" w:name="_Toc208974048"/>
      <w:bookmarkStart w:id="2181" w:name="_Toc208974248"/>
      <w:bookmarkStart w:id="2182" w:name="_Toc208974450"/>
      <w:bookmarkStart w:id="2183" w:name="_Toc208974656"/>
      <w:bookmarkStart w:id="2184" w:name="_Toc210589490"/>
      <w:bookmarkEnd w:id="2178"/>
      <w:r w:rsidRPr="002B3F36">
        <w:rPr>
          <w:color w:val="auto"/>
        </w:rPr>
        <w:t>Residual</w:t>
      </w:r>
      <w:r w:rsidRPr="002B3F36">
        <w:rPr>
          <w:color w:val="auto"/>
          <w:spacing w:val="54"/>
        </w:rPr>
        <w:t xml:space="preserve"> </w:t>
      </w:r>
      <w:r w:rsidRPr="002B3F36">
        <w:rPr>
          <w:color w:val="auto"/>
        </w:rPr>
        <w:t>Significance</w:t>
      </w:r>
      <w:r w:rsidRPr="002B3F36">
        <w:rPr>
          <w:color w:val="auto"/>
          <w:spacing w:val="59"/>
        </w:rPr>
        <w:t xml:space="preserve"> </w:t>
      </w:r>
      <w:r w:rsidR="0003654E" w:rsidRPr="002B3F36">
        <w:rPr>
          <w:color w:val="auto"/>
        </w:rPr>
        <w:t>o</w:t>
      </w:r>
      <w:r w:rsidRPr="002B3F36">
        <w:rPr>
          <w:color w:val="auto"/>
        </w:rPr>
        <w:t>f Impacts</w:t>
      </w:r>
      <w:bookmarkEnd w:id="2179"/>
      <w:bookmarkEnd w:id="2180"/>
      <w:bookmarkEnd w:id="2181"/>
      <w:bookmarkEnd w:id="2182"/>
      <w:bookmarkEnd w:id="2183"/>
      <w:bookmarkEnd w:id="2184"/>
    </w:p>
    <w:p w14:paraId="254A48CD" w14:textId="77777777" w:rsidR="0077675E" w:rsidRPr="002B3F36" w:rsidRDefault="0077675E" w:rsidP="0077675E">
      <w:pPr>
        <w:pStyle w:val="ReportBodyPar"/>
      </w:pPr>
    </w:p>
    <w:p w14:paraId="36CF2D9C" w14:textId="30F56E90" w:rsidR="00510049" w:rsidRPr="002B3F36" w:rsidRDefault="00510049" w:rsidP="0077675E">
      <w:pPr>
        <w:pStyle w:val="ReportBodyPar"/>
      </w:pPr>
      <w:r w:rsidRPr="002B3F36">
        <w:t xml:space="preserve">Residual impacts are the adverse effects that remain after embedded design controls and all reasonably practicable mitigation measures under the mitigation hierarchy have been applied. In accordance with </w:t>
      </w:r>
      <w:r w:rsidR="00F95BD8" w:rsidRPr="002B3F36">
        <w:t>WB</w:t>
      </w:r>
      <w:r w:rsidRPr="002B3F36">
        <w:t xml:space="preserve"> Performance Standard 1 (PS1) and EHS risk management practice, the Project must demonstrate that residual risks are reduced to </w:t>
      </w:r>
      <w:r w:rsidR="002632A5" w:rsidRPr="002B3F36">
        <w:t xml:space="preserve">as low as reasonably practicable </w:t>
      </w:r>
      <w:r w:rsidRPr="002B3F36">
        <w:t>(ALARP).</w:t>
      </w:r>
    </w:p>
    <w:p w14:paraId="6BB348A2" w14:textId="77777777" w:rsidR="0077675E" w:rsidRPr="002B3F36" w:rsidRDefault="0077675E" w:rsidP="0077675E">
      <w:pPr>
        <w:pStyle w:val="ReportBodyPar"/>
      </w:pPr>
    </w:p>
    <w:p w14:paraId="66058E90" w14:textId="105D6F73" w:rsidR="00510049" w:rsidRPr="002B3F36" w:rsidRDefault="00510049" w:rsidP="0077675E">
      <w:pPr>
        <w:pStyle w:val="ReportBodyPar"/>
      </w:pPr>
      <w:r w:rsidRPr="002B3F36">
        <w:t xml:space="preserve">In some cases, it may not be possible to eliminate or further reduce negative impacts. These are considered residual in nature, persisting after the application of design features, avoidance, minimization, or abatement measures. Where initial (pre-mitigation) significance </w:t>
      </w:r>
      <w:r w:rsidRPr="002B3F36">
        <w:lastRenderedPageBreak/>
        <w:t>is negligible or minor, the current Project design and standard good-practice controls are considered sufficient, and such impacts are tracked through routine compliance monitoring. Where initial significance is moderate or major, the Project team evaluates additional measures in consultation with engineering, construction, and operations specialists. The significance is then reassessed to determine whether further reduction is feasible.</w:t>
      </w:r>
      <w:r w:rsidR="002632A5">
        <w:t xml:space="preserve"> </w:t>
      </w:r>
      <w:r w:rsidRPr="002B3F36">
        <w:t>If, after all practicable measures are implemented, the residual significance remains moderate or major, the ESIA will:</w:t>
      </w:r>
    </w:p>
    <w:p w14:paraId="7E3B24E4" w14:textId="77777777" w:rsidR="00510049" w:rsidRPr="002B3F36" w:rsidRDefault="00510049" w:rsidP="0077675E">
      <w:pPr>
        <w:pStyle w:val="aff9"/>
        <w:numPr>
          <w:ilvl w:val="0"/>
          <w:numId w:val="116"/>
        </w:numPr>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Document the ALARP demonstration — describing what additional measures were considered, and explaining why further risk reduction is not reasonably practicable (e.g., technical limitations, safety trade-offs, or disproportionate cost).</w:t>
      </w:r>
    </w:p>
    <w:p w14:paraId="3E034553" w14:textId="77777777" w:rsidR="00510049" w:rsidRPr="002B3F36" w:rsidRDefault="00510049" w:rsidP="0077675E">
      <w:pPr>
        <w:pStyle w:val="aff9"/>
        <w:numPr>
          <w:ilvl w:val="0"/>
          <w:numId w:val="116"/>
        </w:numPr>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Commit to targeted monitoring — including trigger levels and contingency actions to ensure early detection and response.</w:t>
      </w:r>
    </w:p>
    <w:p w14:paraId="1E875CCB" w14:textId="77777777" w:rsidR="00510049" w:rsidRPr="002B3F36" w:rsidRDefault="00510049" w:rsidP="0077675E">
      <w:pPr>
        <w:pStyle w:val="aff9"/>
        <w:numPr>
          <w:ilvl w:val="0"/>
          <w:numId w:val="116"/>
        </w:numPr>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Apply offsets or compensation, where relevant — particularly under PS-specific requirements (e.g., biodiversity offsets under PS6) to achieve no-net-loss or net-gain outcomes.</w:t>
      </w:r>
    </w:p>
    <w:p w14:paraId="4B1EA648" w14:textId="77777777" w:rsidR="0077675E" w:rsidRPr="002B3F36" w:rsidRDefault="0077675E" w:rsidP="0077675E">
      <w:pPr>
        <w:pStyle w:val="ReportBodyPar"/>
      </w:pPr>
    </w:p>
    <w:p w14:paraId="49FF90D7" w14:textId="7C971572" w:rsidR="00510049" w:rsidRPr="002B3F36" w:rsidRDefault="00510049" w:rsidP="0077675E">
      <w:pPr>
        <w:pStyle w:val="ReportBodyPar"/>
      </w:pPr>
      <w:r w:rsidRPr="002B3F36">
        <w:t xml:space="preserve">For unplanned events such as accidental spills, fires, or traffic incidents, significance is assessed as risk = consequence × likelihood. Residual risks rated </w:t>
      </w:r>
      <w:r w:rsidRPr="002B3F36">
        <w:rPr>
          <w:i/>
          <w:iCs/>
        </w:rPr>
        <w:t>substantial or high</w:t>
      </w:r>
      <w:r w:rsidRPr="002B3F36">
        <w:t xml:space="preserve"> are not acceptable. Activities linked to such hazards cannot proceed until prevention and response controls reduce risk to moderate or low (ALARP).</w:t>
      </w:r>
    </w:p>
    <w:p w14:paraId="6C6471AD" w14:textId="77777777" w:rsidR="00510049" w:rsidRPr="002B3F36" w:rsidRDefault="00510049" w:rsidP="00701F4F">
      <w:pPr>
        <w:pStyle w:val="41"/>
      </w:pPr>
      <w:bookmarkStart w:id="2185" w:name="_Toc210589491"/>
      <w:r w:rsidRPr="002B3F36">
        <w:t>Documentation and Tracking</w:t>
      </w:r>
      <w:bookmarkEnd w:id="2185"/>
    </w:p>
    <w:p w14:paraId="6469F76D" w14:textId="77777777" w:rsidR="00510049" w:rsidRPr="002B3F36" w:rsidRDefault="00510049" w:rsidP="0077675E">
      <w:pPr>
        <w:pStyle w:val="aff9"/>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All residual impacts are recorded in a Residual Impacts Register, which includes:</w:t>
      </w:r>
    </w:p>
    <w:p w14:paraId="5045FAEC" w14:textId="77777777" w:rsidR="00510049" w:rsidRPr="002B3F36" w:rsidRDefault="00510049" w:rsidP="0077675E">
      <w:pPr>
        <w:pStyle w:val="aff9"/>
        <w:numPr>
          <w:ilvl w:val="0"/>
          <w:numId w:val="117"/>
        </w:numPr>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Impact ID and location;</w:t>
      </w:r>
    </w:p>
    <w:p w14:paraId="27B7FFE9" w14:textId="77777777" w:rsidR="00510049" w:rsidRPr="002B3F36" w:rsidRDefault="00510049" w:rsidP="0077675E">
      <w:pPr>
        <w:pStyle w:val="aff9"/>
        <w:numPr>
          <w:ilvl w:val="0"/>
          <w:numId w:val="117"/>
        </w:numPr>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Receptor and sensitivity;</w:t>
      </w:r>
    </w:p>
    <w:p w14:paraId="58E14EC2" w14:textId="77777777" w:rsidR="00510049" w:rsidRPr="002B3F36" w:rsidRDefault="00510049" w:rsidP="0077675E">
      <w:pPr>
        <w:pStyle w:val="aff9"/>
        <w:numPr>
          <w:ilvl w:val="0"/>
          <w:numId w:val="117"/>
        </w:numPr>
        <w:spacing w:before="0" w:beforeAutospacing="0" w:after="0" w:afterAutospacing="0"/>
        <w:jc w:val="both"/>
        <w:rPr>
          <w:rFonts w:ascii="Arial" w:eastAsia="Calibri" w:hAnsi="Arial" w:cs="Arial"/>
          <w:lang w:eastAsia="en-GB"/>
        </w:rPr>
      </w:pPr>
      <w:r w:rsidRPr="002B3F36">
        <w:rPr>
          <w:rFonts w:ascii="Arial" w:eastAsia="Calibri" w:hAnsi="Arial" w:cs="Arial"/>
          <w:lang w:eastAsia="en-GB"/>
        </w:rPr>
        <w:t>Pre- and post-mitigation magnitude and significance;</w:t>
      </w:r>
    </w:p>
    <w:p w14:paraId="56973C65" w14:textId="77777777" w:rsidR="00510049" w:rsidRPr="002B3F36" w:rsidRDefault="00510049" w:rsidP="009B4CDB">
      <w:pPr>
        <w:pStyle w:val="aff9"/>
        <w:numPr>
          <w:ilvl w:val="0"/>
          <w:numId w:val="117"/>
        </w:numPr>
        <w:jc w:val="both"/>
        <w:rPr>
          <w:rFonts w:ascii="Arial" w:eastAsia="Calibri" w:hAnsi="Arial" w:cs="Arial"/>
          <w:lang w:eastAsia="en-GB"/>
        </w:rPr>
      </w:pPr>
      <w:r w:rsidRPr="002B3F36">
        <w:rPr>
          <w:rFonts w:ascii="Arial" w:eastAsia="Calibri" w:hAnsi="Arial" w:cs="Arial"/>
          <w:lang w:eastAsia="en-GB"/>
        </w:rPr>
        <w:t>Mitigation measures applied;</w:t>
      </w:r>
    </w:p>
    <w:p w14:paraId="02F4D952" w14:textId="77777777" w:rsidR="00510049" w:rsidRPr="002B3F36" w:rsidRDefault="00510049" w:rsidP="009B4CDB">
      <w:pPr>
        <w:pStyle w:val="aff9"/>
        <w:numPr>
          <w:ilvl w:val="0"/>
          <w:numId w:val="117"/>
        </w:numPr>
        <w:jc w:val="both"/>
        <w:rPr>
          <w:rFonts w:ascii="Arial" w:eastAsia="Calibri" w:hAnsi="Arial" w:cs="Arial"/>
          <w:lang w:eastAsia="en-GB"/>
        </w:rPr>
      </w:pPr>
      <w:r w:rsidRPr="002B3F36">
        <w:rPr>
          <w:rFonts w:ascii="Arial" w:eastAsia="Calibri" w:hAnsi="Arial" w:cs="Arial"/>
          <w:lang w:eastAsia="en-GB"/>
        </w:rPr>
        <w:t>ALARP justification;</w:t>
      </w:r>
    </w:p>
    <w:p w14:paraId="0641BE1D" w14:textId="77777777" w:rsidR="00510049" w:rsidRPr="002B3F36" w:rsidRDefault="00510049" w:rsidP="009B4CDB">
      <w:pPr>
        <w:pStyle w:val="aff9"/>
        <w:numPr>
          <w:ilvl w:val="0"/>
          <w:numId w:val="117"/>
        </w:numPr>
        <w:jc w:val="both"/>
        <w:rPr>
          <w:rFonts w:ascii="Arial" w:eastAsia="Calibri" w:hAnsi="Arial" w:cs="Arial"/>
          <w:lang w:eastAsia="en-GB"/>
        </w:rPr>
      </w:pPr>
      <w:r w:rsidRPr="002B3F36">
        <w:rPr>
          <w:rFonts w:ascii="Arial" w:eastAsia="Calibri" w:hAnsi="Arial" w:cs="Arial"/>
          <w:lang w:eastAsia="en-GB"/>
        </w:rPr>
        <w:t>Monitoring indicators, thresholds, and contingency/Corrective and Preventive Actions (CAPA);</w:t>
      </w:r>
    </w:p>
    <w:p w14:paraId="23270F2B" w14:textId="77777777" w:rsidR="00510049" w:rsidRPr="002B3F36" w:rsidRDefault="00510049" w:rsidP="009B4CDB">
      <w:pPr>
        <w:pStyle w:val="aff9"/>
        <w:numPr>
          <w:ilvl w:val="0"/>
          <w:numId w:val="117"/>
        </w:numPr>
        <w:jc w:val="both"/>
        <w:rPr>
          <w:rFonts w:ascii="Arial" w:eastAsia="Calibri" w:hAnsi="Arial" w:cs="Arial"/>
          <w:lang w:eastAsia="en-GB"/>
        </w:rPr>
      </w:pPr>
      <w:r w:rsidRPr="002B3F36">
        <w:rPr>
          <w:rFonts w:ascii="Arial" w:eastAsia="Calibri" w:hAnsi="Arial" w:cs="Arial"/>
          <w:lang w:eastAsia="en-GB"/>
        </w:rPr>
        <w:t>Responsible party and schedule.</w:t>
      </w:r>
    </w:p>
    <w:p w14:paraId="2C7DAAAC" w14:textId="77777777" w:rsidR="00510049" w:rsidRPr="002B3F36" w:rsidRDefault="00510049" w:rsidP="00701F4F">
      <w:pPr>
        <w:pStyle w:val="41"/>
      </w:pPr>
      <w:bookmarkStart w:id="2186" w:name="_Toc210589492"/>
      <w:r w:rsidRPr="002B3F36">
        <w:t>Integration into Project Management</w:t>
      </w:r>
      <w:bookmarkEnd w:id="2186"/>
    </w:p>
    <w:p w14:paraId="6C094CB4" w14:textId="3D95CB15" w:rsidR="00510049" w:rsidRPr="002B3F36" w:rsidRDefault="00510049" w:rsidP="0077675E">
      <w:pPr>
        <w:pStyle w:val="ReportBodyPar"/>
      </w:pPr>
      <w:r w:rsidRPr="002B3F36">
        <w:t>Residual impacts and associated measures are consolidated within the Environmental and Social Management Plan (ESMP). Where uncertainties remain about impact significance or mitigation effectiveness, verification monitoring and adaptive management are specified. For example, additional fencing may be installed at wildlife crossings if monitoring shows low usage, or dust suppression may be intensified if complaints or exceedances occur.</w:t>
      </w:r>
    </w:p>
    <w:p w14:paraId="7D5A6538" w14:textId="77777777" w:rsidR="0077675E" w:rsidRPr="002B3F36" w:rsidRDefault="0077675E" w:rsidP="0077675E">
      <w:pPr>
        <w:pStyle w:val="ReportBodyPar"/>
      </w:pPr>
    </w:p>
    <w:p w14:paraId="28799AAC" w14:textId="3E5F5074" w:rsidR="00D86357" w:rsidRPr="002B3F36" w:rsidRDefault="00510049" w:rsidP="0077675E">
      <w:pPr>
        <w:pStyle w:val="ReportBodyPar"/>
      </w:pPr>
      <w:r w:rsidRPr="002B3F36">
        <w:t xml:space="preserve">The ESMP is implemented through the Project’s Environmental and Social Management System (ESMS), which ensures accountability and oversight. While overall accountability rests with the </w:t>
      </w:r>
      <w:r w:rsidR="00BD3FAA" w:rsidRPr="002B3F36">
        <w:t>Client</w:t>
      </w:r>
      <w:r w:rsidR="00BD3FAA" w:rsidRPr="002B3F36">
        <w:rPr>
          <w:rStyle w:val="ac"/>
        </w:rPr>
        <w:footnoteReference w:id="11"/>
      </w:r>
      <w:r w:rsidRPr="002B3F36">
        <w:t xml:space="preserve">, day-to-day implementation is carried out by the EPC Contractor, under the supervision of the </w:t>
      </w:r>
      <w:r w:rsidR="00BD3FAA" w:rsidRPr="002B3F36">
        <w:t>Client</w:t>
      </w:r>
      <w:r w:rsidRPr="002B3F36">
        <w:t>’s Engineer/Supervision Engineer. Performance is tracked using KPIs, site inspections, incident reporting, audits, and management review to ensure continuous improvement and compliance with both legal and lender requirements.</w:t>
      </w:r>
    </w:p>
    <w:p w14:paraId="699E3B1E" w14:textId="77777777" w:rsidR="0077675E" w:rsidRPr="002B3F36" w:rsidRDefault="0077675E" w:rsidP="0077675E">
      <w:pPr>
        <w:pStyle w:val="ReportBodyPar"/>
      </w:pPr>
    </w:p>
    <w:p w14:paraId="69FA41DB" w14:textId="34878896" w:rsidR="00D73E9F" w:rsidRPr="002B3F36" w:rsidRDefault="000F264B" w:rsidP="00D73E9F">
      <w:pPr>
        <w:pStyle w:val="20"/>
        <w:rPr>
          <w:color w:val="auto"/>
        </w:rPr>
      </w:pPr>
      <w:bookmarkStart w:id="2187" w:name="_bookmark128"/>
      <w:bookmarkStart w:id="2188" w:name="_Toc208973849"/>
      <w:bookmarkStart w:id="2189" w:name="_Toc208974049"/>
      <w:bookmarkStart w:id="2190" w:name="_Toc208974249"/>
      <w:bookmarkStart w:id="2191" w:name="_Toc208974451"/>
      <w:bookmarkStart w:id="2192" w:name="_Toc208974657"/>
      <w:bookmarkStart w:id="2193" w:name="_Toc210589493"/>
      <w:bookmarkEnd w:id="2187"/>
      <w:r w:rsidRPr="002B3F36">
        <w:rPr>
          <w:color w:val="auto"/>
        </w:rPr>
        <w:lastRenderedPageBreak/>
        <w:t>Cumulative</w:t>
      </w:r>
      <w:r w:rsidRPr="002B3F36">
        <w:rPr>
          <w:color w:val="auto"/>
          <w:spacing w:val="60"/>
        </w:rPr>
        <w:t xml:space="preserve"> </w:t>
      </w:r>
      <w:r w:rsidRPr="002B3F36">
        <w:rPr>
          <w:color w:val="auto"/>
          <w:spacing w:val="-2"/>
        </w:rPr>
        <w:t>Impacts</w:t>
      </w:r>
      <w:bookmarkEnd w:id="2188"/>
      <w:bookmarkEnd w:id="2189"/>
      <w:bookmarkEnd w:id="2190"/>
      <w:bookmarkEnd w:id="2191"/>
      <w:bookmarkEnd w:id="2192"/>
      <w:bookmarkEnd w:id="2193"/>
    </w:p>
    <w:p w14:paraId="364CE0F8" w14:textId="77777777" w:rsidR="0077675E" w:rsidRPr="002B3F36" w:rsidRDefault="0077675E" w:rsidP="00385927">
      <w:pPr>
        <w:pStyle w:val="ReportBodyPar"/>
      </w:pPr>
    </w:p>
    <w:p w14:paraId="75C0F23A" w14:textId="708841B0" w:rsidR="00D73E9F" w:rsidRPr="002B3F36" w:rsidRDefault="00D73E9F" w:rsidP="00385927">
      <w:pPr>
        <w:pStyle w:val="ReportBodyPar"/>
      </w:pPr>
      <w:r w:rsidRPr="002B3F36">
        <w:t xml:space="preserve">Cumulative impacts arise when the effects of the Project interact with those from other </w:t>
      </w:r>
      <w:r w:rsidRPr="002B3F36">
        <w:rPr>
          <w:bCs/>
        </w:rPr>
        <w:t>existing, planned, or reasonably foreseeable developments</w:t>
      </w:r>
      <w:r w:rsidRPr="002B3F36">
        <w:t xml:space="preserve">, as well as broader </w:t>
      </w:r>
      <w:r w:rsidRPr="002B3F36">
        <w:rPr>
          <w:bCs/>
        </w:rPr>
        <w:t>background trends</w:t>
      </w:r>
      <w:r w:rsidRPr="002B3F36">
        <w:t xml:space="preserve"> or </w:t>
      </w:r>
      <w:r w:rsidRPr="002B3F36">
        <w:rPr>
          <w:bCs/>
        </w:rPr>
        <w:t>climate-related stressors</w:t>
      </w:r>
      <w:r w:rsidRPr="002B3F36">
        <w:t>. These impacts may be additive or synergistic in nature, meaning that their combined effect is greater than the sum of individual project-level impacts.</w:t>
      </w:r>
    </w:p>
    <w:p w14:paraId="64B5002B" w14:textId="77777777" w:rsidR="00BD3FAA" w:rsidRPr="002B3F36" w:rsidRDefault="00BD3FAA" w:rsidP="00385927">
      <w:pPr>
        <w:pStyle w:val="ReportBodyPar"/>
      </w:pPr>
    </w:p>
    <w:p w14:paraId="0619A012" w14:textId="10DE7C40" w:rsidR="00D73E9F" w:rsidRPr="002B3F36" w:rsidRDefault="00D73E9F" w:rsidP="00385927">
      <w:pPr>
        <w:pStyle w:val="ReportBodyPar"/>
        <w:rPr>
          <w:rFonts w:eastAsia="Times New Roman"/>
        </w:rPr>
      </w:pPr>
      <w:r w:rsidRPr="002B3F36">
        <w:rPr>
          <w:rFonts w:eastAsia="Times New Roman"/>
        </w:rPr>
        <w:t xml:space="preserve">The assessment of cumulative impacts is influenced by the </w:t>
      </w:r>
      <w:r w:rsidRPr="002B3F36">
        <w:rPr>
          <w:rFonts w:eastAsia="Times New Roman"/>
          <w:bCs/>
        </w:rPr>
        <w:t>status and availability of information</w:t>
      </w:r>
      <w:r w:rsidRPr="002B3F36">
        <w:rPr>
          <w:rFonts w:eastAsia="Times New Roman"/>
        </w:rPr>
        <w:t xml:space="preserve"> on other developments—whether they are ongoing, formally approved and committed, or only proposed. To ensure relevance, </w:t>
      </w:r>
      <w:r w:rsidRPr="002B3F36">
        <w:rPr>
          <w:rFonts w:eastAsia="Times New Roman"/>
          <w:bCs/>
        </w:rPr>
        <w:t>spatial and temporal boundaries</w:t>
      </w:r>
      <w:r w:rsidRPr="002B3F36">
        <w:rPr>
          <w:rFonts w:eastAsia="Times New Roman"/>
        </w:rPr>
        <w:t xml:space="preserve"> are defined in a </w:t>
      </w:r>
      <w:r w:rsidRPr="002B3F36">
        <w:rPr>
          <w:rFonts w:eastAsia="Times New Roman"/>
          <w:bCs/>
        </w:rPr>
        <w:t>receptor-specific manner</w:t>
      </w:r>
      <w:r w:rsidRPr="002B3F36">
        <w:rPr>
          <w:rFonts w:eastAsia="Times New Roman"/>
        </w:rPr>
        <w:t xml:space="preserve">. For example, cumulative water quality effects may be assessed at the </w:t>
      </w:r>
      <w:r w:rsidRPr="002B3F36">
        <w:rPr>
          <w:rFonts w:eastAsia="Times New Roman"/>
          <w:bCs/>
        </w:rPr>
        <w:t>catchment scale</w:t>
      </w:r>
      <w:r w:rsidRPr="002B3F36">
        <w:rPr>
          <w:rFonts w:eastAsia="Times New Roman"/>
        </w:rPr>
        <w:t xml:space="preserve">, while cumulative effects on wildlife movement may be considered along a </w:t>
      </w:r>
      <w:r w:rsidRPr="002B3F36">
        <w:rPr>
          <w:rFonts w:eastAsia="Times New Roman"/>
          <w:bCs/>
        </w:rPr>
        <w:t>habitat corridor</w:t>
      </w:r>
      <w:r w:rsidRPr="002B3F36">
        <w:rPr>
          <w:rFonts w:eastAsia="Times New Roman"/>
        </w:rPr>
        <w:t>.</w:t>
      </w:r>
    </w:p>
    <w:p w14:paraId="42516650" w14:textId="77777777" w:rsidR="00BD3FAA" w:rsidRPr="002B3F36" w:rsidRDefault="00BD3FAA" w:rsidP="00385927">
      <w:pPr>
        <w:pStyle w:val="ReportBodyPar"/>
        <w:rPr>
          <w:rFonts w:eastAsia="Times New Roman"/>
        </w:rPr>
      </w:pPr>
    </w:p>
    <w:p w14:paraId="201E95E7" w14:textId="2E9E5E47" w:rsidR="00D73E9F" w:rsidRPr="002B3F36" w:rsidRDefault="00D73E9F" w:rsidP="00385927">
      <w:pPr>
        <w:pStyle w:val="ReportBodyPar"/>
        <w:rPr>
          <w:rFonts w:eastAsia="Times New Roman"/>
        </w:rPr>
      </w:pPr>
      <w:r w:rsidRPr="002B3F36">
        <w:rPr>
          <w:rFonts w:eastAsia="Times New Roman"/>
        </w:rPr>
        <w:t xml:space="preserve">Where cumulative significance is assessed as </w:t>
      </w:r>
      <w:r w:rsidRPr="002B3F36">
        <w:rPr>
          <w:rFonts w:eastAsia="Times New Roman"/>
          <w:bCs/>
        </w:rPr>
        <w:t>Moderate or Major</w:t>
      </w:r>
      <w:r w:rsidRPr="002B3F36">
        <w:rPr>
          <w:rFonts w:eastAsia="Times New Roman"/>
        </w:rPr>
        <w:t xml:space="preserve">, the Project seeks to apply </w:t>
      </w:r>
      <w:r w:rsidRPr="002B3F36">
        <w:rPr>
          <w:rFonts w:eastAsia="Times New Roman"/>
          <w:bCs/>
        </w:rPr>
        <w:t>collaborative or programmatic measures</w:t>
      </w:r>
      <w:r w:rsidRPr="002B3F36">
        <w:rPr>
          <w:rFonts w:eastAsia="Times New Roman"/>
        </w:rPr>
        <w:t xml:space="preserve">. These may include coordinated traffic management schemes, joint water abstraction planning, or corridor-wide biodiversity initiatives developed with other stakeholders, regulators, or developers. The Project will also report transparently on the </w:t>
      </w:r>
      <w:r w:rsidRPr="002B3F36">
        <w:rPr>
          <w:rFonts w:eastAsia="Times New Roman"/>
          <w:bCs/>
        </w:rPr>
        <w:t>extent of its influence and the feasibility</w:t>
      </w:r>
      <w:r w:rsidRPr="002B3F36">
        <w:rPr>
          <w:rFonts w:eastAsia="Times New Roman"/>
        </w:rPr>
        <w:t xml:space="preserve"> of implementing such measures.</w:t>
      </w:r>
    </w:p>
    <w:p w14:paraId="0C9395D9" w14:textId="77777777" w:rsidR="00C9169D" w:rsidRPr="002B3F36" w:rsidRDefault="00C9169D" w:rsidP="00385927">
      <w:pPr>
        <w:pStyle w:val="ReportBodyPar"/>
        <w:rPr>
          <w:rFonts w:eastAsia="Times New Roman"/>
        </w:rPr>
      </w:pPr>
    </w:p>
    <w:p w14:paraId="1B1007F6" w14:textId="0A031F19" w:rsidR="00D86357" w:rsidRPr="002B3F36" w:rsidRDefault="00D73E9F" w:rsidP="00385927">
      <w:pPr>
        <w:pStyle w:val="ReportBodyPar"/>
        <w:rPr>
          <w:rFonts w:eastAsia="Times New Roman"/>
        </w:rPr>
      </w:pPr>
      <w:r w:rsidRPr="002B3F36">
        <w:rPr>
          <w:rFonts w:eastAsia="Times New Roman"/>
        </w:rPr>
        <w:t xml:space="preserve">This receptor-based and context-driven approach ensures that cumulative effects are not overlooked and that practical opportunities for </w:t>
      </w:r>
      <w:r w:rsidRPr="002B3F36">
        <w:rPr>
          <w:rFonts w:eastAsia="Times New Roman"/>
          <w:bCs/>
        </w:rPr>
        <w:t>mitigation, collaboration, and adaptive management</w:t>
      </w:r>
      <w:r w:rsidRPr="002B3F36">
        <w:rPr>
          <w:rFonts w:eastAsia="Times New Roman"/>
        </w:rPr>
        <w:t xml:space="preserve"> are identified early, supporting the sustainability of the Project within its wider environmental and socio-economic setting.</w:t>
      </w:r>
    </w:p>
    <w:p w14:paraId="34CCB4CF" w14:textId="77777777" w:rsidR="00385927" w:rsidRPr="002B3F36" w:rsidRDefault="00385927" w:rsidP="00385927">
      <w:pPr>
        <w:pStyle w:val="ReportBodyPar"/>
        <w:rPr>
          <w:rFonts w:eastAsia="Times New Roman"/>
        </w:rPr>
      </w:pPr>
    </w:p>
    <w:p w14:paraId="381B36AD" w14:textId="77777777" w:rsidR="00D73E9F" w:rsidRPr="002B3F36" w:rsidRDefault="000F264B" w:rsidP="00D73E9F">
      <w:pPr>
        <w:pStyle w:val="20"/>
        <w:rPr>
          <w:color w:val="auto"/>
        </w:rPr>
      </w:pPr>
      <w:bookmarkStart w:id="2194" w:name="_bookmark129"/>
      <w:bookmarkStart w:id="2195" w:name="_Toc208973850"/>
      <w:bookmarkStart w:id="2196" w:name="_Toc208974050"/>
      <w:bookmarkStart w:id="2197" w:name="_Toc208974250"/>
      <w:bookmarkStart w:id="2198" w:name="_Toc208974452"/>
      <w:bookmarkStart w:id="2199" w:name="_Toc208974658"/>
      <w:bookmarkStart w:id="2200" w:name="_Toc210589494"/>
      <w:bookmarkEnd w:id="2194"/>
      <w:r w:rsidRPr="002B3F36">
        <w:rPr>
          <w:color w:val="auto"/>
        </w:rPr>
        <w:t>Dealing</w:t>
      </w:r>
      <w:r w:rsidRPr="002B3F36">
        <w:rPr>
          <w:color w:val="auto"/>
          <w:spacing w:val="48"/>
        </w:rPr>
        <w:t xml:space="preserve"> </w:t>
      </w:r>
      <w:r w:rsidRPr="002B3F36">
        <w:rPr>
          <w:color w:val="auto"/>
        </w:rPr>
        <w:t>With</w:t>
      </w:r>
      <w:r w:rsidRPr="002B3F36">
        <w:rPr>
          <w:color w:val="auto"/>
          <w:spacing w:val="47"/>
        </w:rPr>
        <w:t xml:space="preserve"> </w:t>
      </w:r>
      <w:r w:rsidRPr="002B3F36">
        <w:rPr>
          <w:color w:val="auto"/>
          <w:spacing w:val="-2"/>
        </w:rPr>
        <w:t>Uncertainty</w:t>
      </w:r>
      <w:bookmarkEnd w:id="2195"/>
      <w:bookmarkEnd w:id="2196"/>
      <w:bookmarkEnd w:id="2197"/>
      <w:bookmarkEnd w:id="2198"/>
      <w:bookmarkEnd w:id="2199"/>
      <w:bookmarkEnd w:id="2200"/>
    </w:p>
    <w:p w14:paraId="716A250F" w14:textId="77777777" w:rsidR="00A55811" w:rsidRPr="002B3F36" w:rsidRDefault="00A55811" w:rsidP="00A55811">
      <w:pPr>
        <w:pStyle w:val="ReportBodyTextNogap"/>
      </w:pPr>
    </w:p>
    <w:p w14:paraId="6D1CD81A" w14:textId="4E4B2674" w:rsidR="00D73E9F" w:rsidRPr="002B3F36" w:rsidRDefault="00D73E9F" w:rsidP="00A55811">
      <w:pPr>
        <w:pStyle w:val="ReportBodyTextNogap"/>
      </w:pPr>
      <w:r w:rsidRPr="002B3F36">
        <w:t xml:space="preserve">By definition, all impact predictions contain some degree of uncertainty. Even with a firm Project design and comprehensive baseline data, there are inherent limitations in the methods used, the assumptions applied, and the quality of available information. In this Impact Assessment, predictions have therefore been evaluated using a combination of </w:t>
      </w:r>
      <w:r w:rsidRPr="002B3F36">
        <w:rPr>
          <w:bCs/>
        </w:rPr>
        <w:t>qualitative assessments, quantitative data (where available), and subject matter expert judgment</w:t>
      </w:r>
      <w:r w:rsidRPr="002B3F36">
        <w:t>.</w:t>
      </w:r>
    </w:p>
    <w:p w14:paraId="340F16B8" w14:textId="77777777" w:rsidR="00A55811" w:rsidRPr="002B3F36" w:rsidRDefault="00A55811" w:rsidP="00A55811">
      <w:pPr>
        <w:pStyle w:val="ReportBodyTextNogap"/>
      </w:pPr>
    </w:p>
    <w:p w14:paraId="069B4659" w14:textId="41E75DDF" w:rsidR="00D73E9F" w:rsidRPr="002B3F36" w:rsidRDefault="00D73E9F" w:rsidP="00A55811">
      <w:pPr>
        <w:pStyle w:val="ReportBodyTextNogap"/>
      </w:pPr>
      <w:r w:rsidRPr="002B3F36">
        <w:t xml:space="preserve">Each impact statement explicitly records the </w:t>
      </w:r>
      <w:r w:rsidRPr="002B3F36">
        <w:rPr>
          <w:bCs/>
        </w:rPr>
        <w:t>key assumptions, data gaps, and a confidence rating</w:t>
      </w:r>
      <w:r w:rsidRPr="002B3F36">
        <w:t xml:space="preserve"> (High, Medium, or Low) associated with the prediction. This ensures that the level of certainty is transparent and can be considered when prioritizing mitigation and monitoring measures. Where assumptions are critical to the outcome, the nature of uncertainties stemming from them is described in the receptor-specific assessment sections.</w:t>
      </w:r>
    </w:p>
    <w:p w14:paraId="6409035C" w14:textId="77777777" w:rsidR="00A55811" w:rsidRPr="002B3F36" w:rsidRDefault="00A55811" w:rsidP="00A55811">
      <w:pPr>
        <w:pStyle w:val="ReportBodyTextNogap"/>
      </w:pPr>
    </w:p>
    <w:p w14:paraId="0DE68333" w14:textId="48D2C7F9" w:rsidR="00D73E9F" w:rsidRPr="002B3F36" w:rsidRDefault="00D73E9F" w:rsidP="00A55811">
      <w:pPr>
        <w:pStyle w:val="ReportBodyTextNogap"/>
      </w:pPr>
      <w:r w:rsidRPr="002B3F36">
        <w:t xml:space="preserve">Where uncertainty is material to decision-making, the Project applies a </w:t>
      </w:r>
      <w:r w:rsidRPr="002B3F36">
        <w:rPr>
          <w:bCs/>
        </w:rPr>
        <w:t>precautionary approach</w:t>
      </w:r>
      <w:r w:rsidRPr="002B3F36">
        <w:t xml:space="preserve"> by incorporating monitoring and </w:t>
      </w:r>
      <w:r w:rsidRPr="002B3F36">
        <w:rPr>
          <w:bCs/>
        </w:rPr>
        <w:t>trigger-based adaptive actions</w:t>
      </w:r>
      <w:r w:rsidRPr="002B3F36">
        <w:t xml:space="preserve"> into the Environmental and Social Management Plan (ESMP). For example, additional fencing may be installed at wildlife passages if monitoring shows low usage, or dust suppression may be intensified if complaints or monitoring results exceed defined thresholds.</w:t>
      </w:r>
    </w:p>
    <w:p w14:paraId="594E7658" w14:textId="77777777" w:rsidR="00A55811" w:rsidRPr="002B3F36" w:rsidRDefault="00A55811" w:rsidP="00A55811">
      <w:pPr>
        <w:pStyle w:val="ReportBodyTextNogap"/>
      </w:pPr>
    </w:p>
    <w:p w14:paraId="1009BD69" w14:textId="529F5FE1" w:rsidR="00F61F8E" w:rsidRPr="002B3F36" w:rsidRDefault="00D73E9F" w:rsidP="00A55811">
      <w:pPr>
        <w:pStyle w:val="ReportBodyTextNogap"/>
      </w:pPr>
      <w:r w:rsidRPr="002B3F36">
        <w:t xml:space="preserve">Monitoring results are fed back into Project management through the </w:t>
      </w:r>
      <w:r w:rsidRPr="002B3F36">
        <w:rPr>
          <w:bCs/>
        </w:rPr>
        <w:t>Environmental and Social Management System (ESMS)</w:t>
      </w:r>
      <w:r w:rsidRPr="002B3F36">
        <w:t xml:space="preserve">, ensuring that control measures remain effective and responsive throughout the Project lifecycle. This adaptive management framework is consistent with the principles of </w:t>
      </w:r>
      <w:r w:rsidR="00F95BD8" w:rsidRPr="002B3F36">
        <w:rPr>
          <w:bCs/>
        </w:rPr>
        <w:t>WB</w:t>
      </w:r>
      <w:r w:rsidRPr="002B3F36">
        <w:rPr>
          <w:bCs/>
        </w:rPr>
        <w:t xml:space="preserve"> Performance Standard 1 (PS1)</w:t>
      </w:r>
      <w:r w:rsidRPr="002B3F36">
        <w:t>, promoting continuous improvement and defensible decision-making despite uncertainties.</w:t>
      </w:r>
      <w:r w:rsidR="002B3F36">
        <w:t xml:space="preserve"> </w:t>
      </w:r>
    </w:p>
    <w:p w14:paraId="76AE8E1D" w14:textId="77777777" w:rsidR="00F61F8E" w:rsidRPr="002B3F36" w:rsidRDefault="00F61F8E">
      <w:pPr>
        <w:pStyle w:val="a5"/>
        <w:spacing w:line="300" w:lineRule="auto"/>
        <w:jc w:val="both"/>
        <w:rPr>
          <w:rFonts w:ascii="Arial" w:hAnsi="Arial" w:cs="Arial"/>
        </w:rPr>
        <w:sectPr w:rsidR="00F61F8E" w:rsidRPr="002B3F36">
          <w:pgSz w:w="11910" w:h="16840"/>
          <w:pgMar w:top="1040" w:right="1133" w:bottom="1300" w:left="992" w:header="563" w:footer="1114" w:gutter="0"/>
          <w:cols w:space="720"/>
        </w:sectPr>
      </w:pPr>
    </w:p>
    <w:p w14:paraId="0286848E" w14:textId="5AB3EB57" w:rsidR="00F61F8E" w:rsidRPr="002B3F36" w:rsidRDefault="000F264B" w:rsidP="00D11EF6">
      <w:pPr>
        <w:pStyle w:val="1"/>
        <w:numPr>
          <w:ilvl w:val="0"/>
          <w:numId w:val="1"/>
        </w:numPr>
        <w:autoSpaceDE/>
        <w:autoSpaceDN/>
        <w:spacing w:line="253" w:lineRule="auto"/>
        <w:ind w:right="72"/>
        <w:jc w:val="both"/>
        <w:rPr>
          <w:rFonts w:cs="Arial"/>
        </w:rPr>
      </w:pPr>
      <w:bookmarkStart w:id="2201" w:name="_bookmark130"/>
      <w:bookmarkStart w:id="2202" w:name="_Toc169094771"/>
      <w:bookmarkStart w:id="2203" w:name="_Toc210589495"/>
      <w:bookmarkStart w:id="2204" w:name="_Toc208973851"/>
      <w:bookmarkStart w:id="2205" w:name="_Toc208974051"/>
      <w:bookmarkStart w:id="2206" w:name="_Toc208974251"/>
      <w:bookmarkStart w:id="2207" w:name="_Toc208974453"/>
      <w:bookmarkStart w:id="2208" w:name="_Toc208974659"/>
      <w:bookmarkStart w:id="2209" w:name="_Hlk63237709"/>
      <w:bookmarkEnd w:id="2201"/>
      <w:r w:rsidRPr="002B3F36">
        <w:rPr>
          <w:rFonts w:cs="Arial"/>
        </w:rPr>
        <w:lastRenderedPageBreak/>
        <w:t xml:space="preserve">ENVIRONMENTAL AND SOCIAL RISKS ASSESSMENTS </w:t>
      </w:r>
      <w:r w:rsidR="002B3F36">
        <w:rPr>
          <w:rFonts w:cs="Arial"/>
        </w:rPr>
        <w:t>&amp;</w:t>
      </w:r>
      <w:r w:rsidRPr="002B3F36">
        <w:rPr>
          <w:rFonts w:cs="Arial"/>
        </w:rPr>
        <w:t xml:space="preserve"> MEASURES</w:t>
      </w:r>
      <w:bookmarkEnd w:id="2202"/>
      <w:bookmarkEnd w:id="2203"/>
      <w:r w:rsidRPr="002B3F36">
        <w:rPr>
          <w:rFonts w:cs="Arial"/>
        </w:rPr>
        <w:t xml:space="preserve"> </w:t>
      </w:r>
      <w:bookmarkEnd w:id="2204"/>
      <w:bookmarkEnd w:id="2205"/>
      <w:bookmarkEnd w:id="2206"/>
      <w:bookmarkEnd w:id="2207"/>
      <w:bookmarkEnd w:id="2208"/>
      <w:bookmarkEnd w:id="2209"/>
    </w:p>
    <w:p w14:paraId="10DCAFE4" w14:textId="77777777" w:rsidR="00A55811" w:rsidRPr="002B3F36" w:rsidRDefault="00A55811" w:rsidP="00A55811">
      <w:pPr>
        <w:pStyle w:val="ReportBodyPar"/>
        <w:rPr>
          <w:rStyle w:val="ReportBodyTextNogapChar"/>
        </w:rPr>
      </w:pPr>
    </w:p>
    <w:p w14:paraId="0077E4FB" w14:textId="43F46402" w:rsidR="00016734" w:rsidRPr="002B3F36" w:rsidRDefault="00016734" w:rsidP="002A1711">
      <w:pPr>
        <w:pStyle w:val="ReportBodyPar"/>
        <w:rPr>
          <w:rStyle w:val="ReportBodyTextNogapChar"/>
        </w:rPr>
      </w:pPr>
      <w:r w:rsidRPr="002B3F36">
        <w:rPr>
          <w:rStyle w:val="ReportBodyTextNogapChar"/>
        </w:rPr>
        <w:t xml:space="preserve">This </w:t>
      </w:r>
      <w:r w:rsidR="00933AB6" w:rsidRPr="002B3F36">
        <w:rPr>
          <w:rStyle w:val="ReportBodyTextNogapChar"/>
        </w:rPr>
        <w:t>chapter</w:t>
      </w:r>
      <w:r w:rsidRPr="002B3F36">
        <w:rPr>
          <w:rStyle w:val="ReportBodyTextNogapChar"/>
        </w:rPr>
        <w:t xml:space="preserve"> provides an integrated overview of the anticipated environmental and social risks and outlines the proposed mitigation and management measures. These measures are designed to ensure that Project implementation:</w:t>
      </w:r>
    </w:p>
    <w:p w14:paraId="12983034" w14:textId="77777777" w:rsidR="00016734" w:rsidRPr="002B3F36" w:rsidRDefault="00016734" w:rsidP="002632A5">
      <w:pPr>
        <w:widowControl/>
        <w:numPr>
          <w:ilvl w:val="0"/>
          <w:numId w:val="119"/>
        </w:numPr>
        <w:autoSpaceDE/>
        <w:autoSpaceDN/>
        <w:jc w:val="both"/>
        <w:rPr>
          <w:rStyle w:val="ReportBodyTextNogapChar"/>
        </w:rPr>
      </w:pPr>
      <w:r w:rsidRPr="002B3F36">
        <w:rPr>
          <w:rStyle w:val="ReportBodyTextNogapChar"/>
        </w:rPr>
        <w:t>Avoids or minimizes adverse impacts through careful design, adherence to the mitigation hierarchy, and application of good international industry practice.</w:t>
      </w:r>
    </w:p>
    <w:p w14:paraId="737DE526" w14:textId="77777777" w:rsidR="00016734" w:rsidRPr="002B3F36" w:rsidRDefault="00016734" w:rsidP="002632A5">
      <w:pPr>
        <w:widowControl/>
        <w:numPr>
          <w:ilvl w:val="0"/>
          <w:numId w:val="119"/>
        </w:numPr>
        <w:autoSpaceDE/>
        <w:autoSpaceDN/>
        <w:jc w:val="both"/>
        <w:rPr>
          <w:rStyle w:val="ReportBodyTextNogapChar"/>
        </w:rPr>
      </w:pPr>
      <w:r w:rsidRPr="002B3F36">
        <w:rPr>
          <w:rStyle w:val="ReportBodyTextNogapChar"/>
        </w:rPr>
        <w:t>Strengthens positive contributions to sustainable development, particularly by improving transport efficiency, enhancing local connectivity, and generating socio-economic opportunities.</w:t>
      </w:r>
    </w:p>
    <w:p w14:paraId="3FCCD93B" w14:textId="77777777" w:rsidR="00016734" w:rsidRPr="002B3F36" w:rsidRDefault="00016734" w:rsidP="002632A5">
      <w:pPr>
        <w:widowControl/>
        <w:numPr>
          <w:ilvl w:val="0"/>
          <w:numId w:val="119"/>
        </w:numPr>
        <w:autoSpaceDE/>
        <w:autoSpaceDN/>
        <w:jc w:val="both"/>
        <w:rPr>
          <w:rStyle w:val="ReportBodyTextNogapChar"/>
        </w:rPr>
      </w:pPr>
      <w:r w:rsidRPr="002B3F36">
        <w:rPr>
          <w:rStyle w:val="ReportBodyTextNogapChar"/>
        </w:rPr>
        <w:t>Promotes accountability and adaptive management by embedding risk management and monitoring into the Project’s Environmental and Social Management Plan (ESMP) and Environmental and Social Management System (ESMS).</w:t>
      </w:r>
    </w:p>
    <w:p w14:paraId="5A01279B" w14:textId="77777777" w:rsidR="00A55811" w:rsidRPr="002B3F36" w:rsidRDefault="00A55811" w:rsidP="00A55811">
      <w:pPr>
        <w:pStyle w:val="ReportBodyTextNogap"/>
        <w:rPr>
          <w:rStyle w:val="ReportBodyTextNogapChar"/>
        </w:rPr>
      </w:pPr>
    </w:p>
    <w:p w14:paraId="535B98AA" w14:textId="77777777" w:rsidR="00F61F8E" w:rsidRPr="002B3F36" w:rsidRDefault="000F264B">
      <w:pPr>
        <w:pStyle w:val="20"/>
        <w:rPr>
          <w:color w:val="auto"/>
        </w:rPr>
      </w:pPr>
      <w:bookmarkStart w:id="2210" w:name="_Toc169094772"/>
      <w:bookmarkStart w:id="2211" w:name="_Toc208973852"/>
      <w:bookmarkStart w:id="2212" w:name="_Toc208974052"/>
      <w:bookmarkStart w:id="2213" w:name="_Toc208974252"/>
      <w:bookmarkStart w:id="2214" w:name="_Toc208974454"/>
      <w:bookmarkStart w:id="2215" w:name="_Toc208974660"/>
      <w:bookmarkStart w:id="2216" w:name="_Toc210589496"/>
      <w:r w:rsidRPr="002B3F36">
        <w:rPr>
          <w:color w:val="auto"/>
        </w:rPr>
        <w:t>Environmental and Social Assessment on the Project Activities</w:t>
      </w:r>
      <w:bookmarkEnd w:id="2210"/>
      <w:bookmarkEnd w:id="2211"/>
      <w:bookmarkEnd w:id="2212"/>
      <w:bookmarkEnd w:id="2213"/>
      <w:bookmarkEnd w:id="2214"/>
      <w:bookmarkEnd w:id="2215"/>
      <w:bookmarkEnd w:id="2216"/>
    </w:p>
    <w:p w14:paraId="56D4E7BF" w14:textId="014A64C9" w:rsidR="00A55811" w:rsidRPr="002B3F36" w:rsidRDefault="00A55811" w:rsidP="0078443C">
      <w:pPr>
        <w:pStyle w:val="ReportBodyPar"/>
      </w:pPr>
    </w:p>
    <w:p w14:paraId="2F4EBD88" w14:textId="472E2536" w:rsidR="0078443C" w:rsidRPr="002B3F36" w:rsidRDefault="0078443C" w:rsidP="0078443C">
      <w:pPr>
        <w:pStyle w:val="ReportBodyPar"/>
      </w:pPr>
      <w:r w:rsidRPr="002B3F36">
        <w:t>As a new</w:t>
      </w:r>
      <w:r w:rsidR="006B4CDF" w:rsidRPr="002B3F36">
        <w:t>/greenfield</w:t>
      </w:r>
      <w:r w:rsidRPr="002B3F36">
        <w:t xml:space="preserve"> linear infrastructure development, the Project will interact with a wide range of environmental receptors</w:t>
      </w:r>
      <w:r w:rsidR="00B5445F" w:rsidRPr="002B3F36">
        <w:t xml:space="preserve"> - </w:t>
      </w:r>
      <w:r w:rsidRPr="002B3F36">
        <w:t>including soils, surface watercourses, steppe biodiversity, and ambient air quality</w:t>
      </w:r>
      <w:r w:rsidR="00F4248C" w:rsidRPr="002B3F36">
        <w:t xml:space="preserve"> </w:t>
      </w:r>
      <w:r w:rsidR="00B5445F" w:rsidRPr="002B3F36">
        <w:t xml:space="preserve">- </w:t>
      </w:r>
      <w:r w:rsidRPr="002B3F36">
        <w:t xml:space="preserve">and social receptors, such as land users, vulnerable groups, and cultural heritage resources. These interactions necessitate a comprehensive risk and impact assessment, ensuring that potential adverse effects are identified, managed, and monitored in line with the </w:t>
      </w:r>
      <w:r w:rsidR="00F95BD8" w:rsidRPr="002B3F36">
        <w:t>WB</w:t>
      </w:r>
      <w:r w:rsidRPr="002B3F36">
        <w:t xml:space="preserve"> Performance Standards (PS1–PS8) and international good practice.</w:t>
      </w:r>
    </w:p>
    <w:p w14:paraId="11C971D4" w14:textId="77777777" w:rsidR="00D11EF6" w:rsidRPr="002B3F36" w:rsidRDefault="00D11EF6" w:rsidP="00D11EF6">
      <w:pPr>
        <w:pStyle w:val="ReportBodyPar"/>
        <w:rPr>
          <w:rFonts w:eastAsia="Verdana"/>
          <w:szCs w:val="20"/>
        </w:rPr>
      </w:pPr>
    </w:p>
    <w:p w14:paraId="703A9C7D" w14:textId="77777777" w:rsidR="00C870E9" w:rsidRPr="002B3F36" w:rsidRDefault="00C870E9" w:rsidP="005A68AD">
      <w:pPr>
        <w:pStyle w:val="31"/>
      </w:pPr>
      <w:bookmarkStart w:id="2217" w:name="_Toc208973853"/>
      <w:bookmarkStart w:id="2218" w:name="_Toc208974053"/>
      <w:bookmarkStart w:id="2219" w:name="_Toc208974253"/>
      <w:bookmarkStart w:id="2220" w:name="_Toc208974455"/>
      <w:bookmarkStart w:id="2221" w:name="_Toc208974661"/>
      <w:bookmarkStart w:id="2222" w:name="_Toc210589497"/>
      <w:r w:rsidRPr="002B3F36">
        <w:t>Pre-Construction Activities</w:t>
      </w:r>
      <w:bookmarkEnd w:id="2217"/>
      <w:bookmarkEnd w:id="2218"/>
      <w:bookmarkEnd w:id="2219"/>
      <w:bookmarkEnd w:id="2220"/>
      <w:bookmarkEnd w:id="2221"/>
      <w:bookmarkEnd w:id="2222"/>
    </w:p>
    <w:p w14:paraId="64F4D8C8" w14:textId="77777777" w:rsidR="00F02368" w:rsidRPr="002B3F36" w:rsidRDefault="00F02368" w:rsidP="00F02368">
      <w:pPr>
        <w:pStyle w:val="ReportBodyPar"/>
      </w:pPr>
    </w:p>
    <w:p w14:paraId="433266E0" w14:textId="7C50CF80" w:rsidR="006B11F3" w:rsidRPr="002B3F36" w:rsidRDefault="006B11F3" w:rsidP="00A55811">
      <w:pPr>
        <w:pStyle w:val="ReportBodyPar"/>
      </w:pPr>
      <w:r w:rsidRPr="002B3F36">
        <w:t xml:space="preserve">In accordance with the </w:t>
      </w:r>
      <w:r w:rsidR="00A110DC" w:rsidRPr="002B3F36">
        <w:t xml:space="preserve">WB </w:t>
      </w:r>
      <w:r w:rsidRPr="002B3F36">
        <w:t xml:space="preserve">Performance Standards and international good practice, a series of pre-construction activities </w:t>
      </w:r>
      <w:r w:rsidR="004535A8" w:rsidRPr="002B3F36">
        <w:t>would be typically be undertaken</w:t>
      </w:r>
      <w:r w:rsidRPr="002B3F36">
        <w:t xml:space="preserve"> </w:t>
      </w:r>
      <w:r w:rsidR="002A1711" w:rsidRPr="002B3F36">
        <w:t xml:space="preserve">prepare the alignment for construction while </w:t>
      </w:r>
      <w:r w:rsidRPr="002B3F36">
        <w:t>ensur</w:t>
      </w:r>
      <w:r w:rsidR="009C0634" w:rsidRPr="002B3F36">
        <w:t>ing</w:t>
      </w:r>
      <w:r w:rsidRPr="002B3F36">
        <w:t xml:space="preserve"> environmental and social sustainability,</w:t>
      </w:r>
      <w:r w:rsidR="002A1711" w:rsidRPr="002B3F36">
        <w:t xml:space="preserve"> and</w:t>
      </w:r>
      <w:r w:rsidRPr="002B3F36">
        <w:t xml:space="preserve"> minimiz</w:t>
      </w:r>
      <w:r w:rsidR="009C0634" w:rsidRPr="002B3F36">
        <w:t>ing</w:t>
      </w:r>
      <w:r w:rsidRPr="002B3F36">
        <w:t xml:space="preserve"> project </w:t>
      </w:r>
      <w:r w:rsidR="002A1711" w:rsidRPr="002B3F36">
        <w:t xml:space="preserve">ES </w:t>
      </w:r>
      <w:r w:rsidRPr="002B3F36">
        <w:t>risks. These activities include:</w:t>
      </w:r>
    </w:p>
    <w:p w14:paraId="7FA16738" w14:textId="77777777" w:rsidR="006B11F3" w:rsidRPr="002B3F36" w:rsidRDefault="006B11F3" w:rsidP="009B4CDB">
      <w:pPr>
        <w:widowControl/>
        <w:numPr>
          <w:ilvl w:val="0"/>
          <w:numId w:val="120"/>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Finalization of detailed engineering designs, integrating climate resilience measures and embedded environmental and social controls.</w:t>
      </w:r>
    </w:p>
    <w:p w14:paraId="6E01C7AD" w14:textId="77777777" w:rsidR="006B11F3" w:rsidRPr="002B3F36" w:rsidRDefault="006B11F3" w:rsidP="009B4CDB">
      <w:pPr>
        <w:widowControl/>
        <w:numPr>
          <w:ilvl w:val="0"/>
          <w:numId w:val="120"/>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Land acquisition, compensation, and livelihood restoration, carried out in line with Performance Standard 5 (PS5) to ensure fair treatment of project-affected persons and the restoration of livelihoods.</w:t>
      </w:r>
    </w:p>
    <w:p w14:paraId="55562D42" w14:textId="361FDBAC" w:rsidR="006B11F3" w:rsidRPr="002B3F36" w:rsidRDefault="006B11F3" w:rsidP="009B4CDB">
      <w:pPr>
        <w:widowControl/>
        <w:numPr>
          <w:ilvl w:val="0"/>
          <w:numId w:val="120"/>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 xml:space="preserve">Capacity building for the </w:t>
      </w:r>
      <w:r w:rsidR="008D4F3A" w:rsidRPr="002B3F36">
        <w:rPr>
          <w:rFonts w:ascii="Arial" w:eastAsia="Calibri" w:hAnsi="Arial" w:cs="Arial"/>
          <w:sz w:val="24"/>
          <w:szCs w:val="24"/>
          <w:lang w:eastAsia="en-GB"/>
        </w:rPr>
        <w:t>KTZ</w:t>
      </w:r>
      <w:r w:rsidR="00001BBA" w:rsidRPr="002B3F36">
        <w:rPr>
          <w:rFonts w:ascii="Arial" w:eastAsia="Calibri" w:hAnsi="Arial" w:cs="Arial"/>
          <w:sz w:val="24"/>
          <w:szCs w:val="24"/>
          <w:lang w:eastAsia="en-GB"/>
        </w:rPr>
        <w:t xml:space="preserve"> Contractors</w:t>
      </w:r>
      <w:r w:rsidR="008D4F3A" w:rsidRPr="002B3F36">
        <w:rPr>
          <w:rFonts w:ascii="Arial" w:eastAsia="Calibri" w:hAnsi="Arial" w:cs="Arial"/>
          <w:sz w:val="24"/>
          <w:szCs w:val="24"/>
          <w:lang w:eastAsia="en-GB"/>
        </w:rPr>
        <w:t xml:space="preserve"> </w:t>
      </w:r>
      <w:r w:rsidRPr="002B3F36">
        <w:rPr>
          <w:rFonts w:ascii="Arial" w:eastAsia="Calibri" w:hAnsi="Arial" w:cs="Arial"/>
          <w:sz w:val="24"/>
          <w:szCs w:val="24"/>
          <w:lang w:eastAsia="en-GB"/>
        </w:rPr>
        <w:t>, focusing on environmental and social (E&amp;S) risk management, compliance monitoring, and stakeholder engagement procedures.</w:t>
      </w:r>
    </w:p>
    <w:p w14:paraId="66132F17" w14:textId="77777777" w:rsidR="006B11F3" w:rsidRPr="002B3F36" w:rsidRDefault="006B11F3" w:rsidP="009B4CDB">
      <w:pPr>
        <w:widowControl/>
        <w:numPr>
          <w:ilvl w:val="0"/>
          <w:numId w:val="120"/>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Pre-construction ecological and cultural heritage surveys to identify and safeguard sensitive habitats, protected species, and cultural heritage resources prior to site clearance.</w:t>
      </w:r>
    </w:p>
    <w:p w14:paraId="090277B3" w14:textId="77777777" w:rsidR="006B11F3" w:rsidRPr="002B3F36" w:rsidRDefault="006B11F3" w:rsidP="009B4CDB">
      <w:pPr>
        <w:widowControl/>
        <w:numPr>
          <w:ilvl w:val="0"/>
          <w:numId w:val="120"/>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Site demarcation and preparation, including staking of the alignment, marking of access roads, and stripping of topsoil in designated areas, with provisions for proper storage and reuse to support restoration and erosion control.</w:t>
      </w:r>
    </w:p>
    <w:p w14:paraId="1DD85D8E" w14:textId="77777777" w:rsidR="00A55811" w:rsidRPr="002B3F36" w:rsidRDefault="00A55811" w:rsidP="00A55811">
      <w:pPr>
        <w:pStyle w:val="ReportBodyTextNogap"/>
      </w:pPr>
    </w:p>
    <w:p w14:paraId="469DF09B" w14:textId="77777777" w:rsidR="00C870E9" w:rsidRPr="002B3F36" w:rsidRDefault="00C870E9" w:rsidP="005A68AD">
      <w:pPr>
        <w:pStyle w:val="31"/>
      </w:pPr>
      <w:bookmarkStart w:id="2223" w:name="_Toc208973854"/>
      <w:bookmarkStart w:id="2224" w:name="_Toc208974054"/>
      <w:bookmarkStart w:id="2225" w:name="_Toc208974254"/>
      <w:bookmarkStart w:id="2226" w:name="_Toc208974456"/>
      <w:bookmarkStart w:id="2227" w:name="_Toc208974662"/>
      <w:bookmarkStart w:id="2228" w:name="_Toc210589498"/>
      <w:r w:rsidRPr="002B3F36">
        <w:t>Construction Activities</w:t>
      </w:r>
      <w:bookmarkEnd w:id="2223"/>
      <w:bookmarkEnd w:id="2224"/>
      <w:bookmarkEnd w:id="2225"/>
      <w:bookmarkEnd w:id="2226"/>
      <w:bookmarkEnd w:id="2227"/>
      <w:bookmarkEnd w:id="2228"/>
    </w:p>
    <w:p w14:paraId="79B248D1" w14:textId="77777777" w:rsidR="000337A3" w:rsidRPr="002B3F36" w:rsidRDefault="000337A3" w:rsidP="00A55811">
      <w:pPr>
        <w:pStyle w:val="ReportParagraph"/>
      </w:pPr>
    </w:p>
    <w:p w14:paraId="29967BD3" w14:textId="43356B71" w:rsidR="006B11F3" w:rsidRPr="002B3F36" w:rsidRDefault="006B11F3" w:rsidP="00A55811">
      <w:pPr>
        <w:pStyle w:val="ReportParagraph"/>
      </w:pPr>
      <w:r w:rsidRPr="002B3F36">
        <w:t xml:space="preserve">The construction phase will encompass a wide range of activities that must be carried out in strict adherence to the </w:t>
      </w:r>
      <w:r w:rsidR="00F95BD8" w:rsidRPr="002B3F36">
        <w:t>WB</w:t>
      </w:r>
      <w:r w:rsidRPr="002B3F36">
        <w:t xml:space="preserve"> Performance Standards (PS1–PS8) to prevent and mitigate environmental and social impacts. All activities—from site preparation to the installation of </w:t>
      </w:r>
      <w:r w:rsidRPr="002B3F36">
        <w:lastRenderedPageBreak/>
        <w:t>railway systems—will be planned and executed to meet international standards for risk management, worker safety, pollution prevention, biodiversity protection, and community well-being.</w:t>
      </w:r>
    </w:p>
    <w:p w14:paraId="4FD0119C" w14:textId="77777777" w:rsidR="00A55811" w:rsidRPr="002B3F36" w:rsidRDefault="00A55811" w:rsidP="00A55811">
      <w:pPr>
        <w:pStyle w:val="ReportParagraph"/>
      </w:pPr>
    </w:p>
    <w:p w14:paraId="0D1921CD" w14:textId="77777777" w:rsidR="006B11F3" w:rsidRPr="002B3F36" w:rsidRDefault="006B11F3" w:rsidP="00A55811">
      <w:pPr>
        <w:pStyle w:val="ReportParagraph"/>
      </w:pPr>
      <w:r w:rsidRPr="002B3F36">
        <w:t>Key construction activities include:</w:t>
      </w:r>
    </w:p>
    <w:p w14:paraId="18326847"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Relocation of utilities and existing service lines to ensure uninterrupted community services and minimize disruption.</w:t>
      </w:r>
    </w:p>
    <w:p w14:paraId="60D7251D"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Establishment of auxiliary facilities, including batching plants, crushing plants, quarries, borrow pits, laydown areas, workers’ camps, and access roads, with appropriate environmental and safety controls.</w:t>
      </w:r>
    </w:p>
    <w:p w14:paraId="38B7A1A7"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Earthworks, such as clearance, grubbing, cut-and-fill operations, embankment construction, and material haulage, conducted with erosion and sedimentation controls in place.</w:t>
      </w:r>
    </w:p>
    <w:p w14:paraId="77C14E85"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Drainage works, including the installation of culverts, stormwater management systems, and erosion and flood-control structures to protect surrounding land and water resources.</w:t>
      </w:r>
    </w:p>
    <w:p w14:paraId="4DEE2FC3"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Construction of bridges and culverts, involving piling, concreting, and superstructure assembly in compliance with safety and environmental safeguards.</w:t>
      </w:r>
    </w:p>
    <w:p w14:paraId="45AB37F6" w14:textId="25596D76" w:rsidR="006B11F3" w:rsidRPr="002B3F36" w:rsidRDefault="00662145"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Track bed</w:t>
      </w:r>
      <w:r w:rsidR="006B11F3" w:rsidRPr="002B3F36">
        <w:rPr>
          <w:rFonts w:ascii="Arial" w:eastAsia="Calibri" w:hAnsi="Arial" w:cs="Arial"/>
          <w:sz w:val="24"/>
          <w:szCs w:val="24"/>
          <w:lang w:eastAsia="en-GB"/>
        </w:rPr>
        <w:t xml:space="preserve"> and track construction, comprising subgrade preparation, ballast laying, sleeper (tie) placement, and rail installation.</w:t>
      </w:r>
    </w:p>
    <w:p w14:paraId="548EB654"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Installation of signaling, telecommunications, and utility systems, supporting safe and efficient railway operations.</w:t>
      </w:r>
    </w:p>
    <w:p w14:paraId="01F585D1"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Site clearance, waste management, and erosion control, with measures to reduce dust, noise, and water pollution.</w:t>
      </w:r>
    </w:p>
    <w:p w14:paraId="431B5979" w14:textId="77777777" w:rsidR="006B11F3" w:rsidRPr="002B3F36" w:rsidRDefault="006B11F3" w:rsidP="009B4CDB">
      <w:pPr>
        <w:widowControl/>
        <w:numPr>
          <w:ilvl w:val="0"/>
          <w:numId w:val="121"/>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Decommissioning and rehabilitation of temporary facilities, including borrow pits, quarries, and worker camps, with restoration of sites to stable and safe conditions.</w:t>
      </w:r>
    </w:p>
    <w:p w14:paraId="6243490A" w14:textId="77777777" w:rsidR="00A55811" w:rsidRPr="002B3F36" w:rsidRDefault="00A55811" w:rsidP="00A55811">
      <w:pPr>
        <w:pStyle w:val="ReportBodyPar"/>
      </w:pPr>
    </w:p>
    <w:p w14:paraId="6A80ACA8" w14:textId="77777777" w:rsidR="00C870E9" w:rsidRPr="002B3F36" w:rsidRDefault="00C870E9" w:rsidP="005A68AD">
      <w:pPr>
        <w:pStyle w:val="31"/>
      </w:pPr>
      <w:bookmarkStart w:id="2229" w:name="_Toc208973855"/>
      <w:bookmarkStart w:id="2230" w:name="_Toc208974055"/>
      <w:bookmarkStart w:id="2231" w:name="_Toc208974255"/>
      <w:bookmarkStart w:id="2232" w:name="_Toc208974457"/>
      <w:bookmarkStart w:id="2233" w:name="_Toc208974663"/>
      <w:bookmarkStart w:id="2234" w:name="_Toc210589499"/>
      <w:r w:rsidRPr="002B3F36">
        <w:t>Operation Activities</w:t>
      </w:r>
      <w:bookmarkEnd w:id="2229"/>
      <w:bookmarkEnd w:id="2230"/>
      <w:bookmarkEnd w:id="2231"/>
      <w:bookmarkEnd w:id="2232"/>
      <w:bookmarkEnd w:id="2233"/>
      <w:bookmarkEnd w:id="2234"/>
    </w:p>
    <w:p w14:paraId="27B79E7E" w14:textId="77777777" w:rsidR="00A55811" w:rsidRPr="002B3F36" w:rsidRDefault="00A55811" w:rsidP="00A55811">
      <w:pPr>
        <w:pStyle w:val="ReportBodyPar"/>
      </w:pPr>
      <w:bookmarkStart w:id="2235" w:name="_Toc208973856"/>
      <w:bookmarkStart w:id="2236" w:name="_Toc208974056"/>
      <w:bookmarkStart w:id="2237" w:name="_Toc208974256"/>
      <w:bookmarkStart w:id="2238" w:name="_Toc208974458"/>
      <w:bookmarkStart w:id="2239" w:name="_Toc208974664"/>
    </w:p>
    <w:p w14:paraId="3BEEB6BE" w14:textId="7367B752" w:rsidR="006B11F3" w:rsidRPr="002B3F36" w:rsidRDefault="006B11F3" w:rsidP="00A55811">
      <w:pPr>
        <w:pStyle w:val="ReportBodyPar"/>
      </w:pPr>
      <w:r w:rsidRPr="002B3F36">
        <w:t xml:space="preserve">During the operation phase, the Project will transition from construction to the long-term use of the railway corridor for freight and passenger services. This stage is critical to ensuring that the infrastructure delivers its intended socio-economic benefits while maintaining strong safeguards for environmental and social sustainability in line with </w:t>
      </w:r>
      <w:r w:rsidR="00F95BD8" w:rsidRPr="002B3F36">
        <w:t>WB</w:t>
      </w:r>
      <w:r w:rsidRPr="002B3F36">
        <w:t xml:space="preserve"> Performance Standards (PS1–PS8).</w:t>
      </w:r>
    </w:p>
    <w:p w14:paraId="480E25F2" w14:textId="77777777" w:rsidR="00A55811" w:rsidRPr="002B3F36" w:rsidRDefault="00A55811" w:rsidP="00A55811">
      <w:pPr>
        <w:pStyle w:val="ReportBodyPar"/>
      </w:pPr>
    </w:p>
    <w:p w14:paraId="4FE56D91" w14:textId="77777777" w:rsidR="006B11F3" w:rsidRPr="002B3F36" w:rsidRDefault="006B11F3" w:rsidP="00A55811">
      <w:pPr>
        <w:pStyle w:val="ReportBodyPar"/>
      </w:pPr>
      <w:r w:rsidRPr="002B3F36">
        <w:t>Key operational activities include:</w:t>
      </w:r>
    </w:p>
    <w:p w14:paraId="2FA925A6" w14:textId="77777777" w:rsidR="006B11F3" w:rsidRPr="002B3F36" w:rsidRDefault="006B11F3" w:rsidP="009B4CDB">
      <w:pPr>
        <w:widowControl/>
        <w:numPr>
          <w:ilvl w:val="0"/>
          <w:numId w:val="122"/>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Regular freight and passenger train operations, providing reliable transport services that enhance regional connectivity and economic integration.</w:t>
      </w:r>
    </w:p>
    <w:p w14:paraId="07162035" w14:textId="77777777" w:rsidR="006B11F3" w:rsidRPr="002B3F36" w:rsidRDefault="006B11F3" w:rsidP="009B4CDB">
      <w:pPr>
        <w:widowControl/>
        <w:numPr>
          <w:ilvl w:val="0"/>
          <w:numId w:val="122"/>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Routine inspections, repairs, and maintenance of core infrastructure components—including track, ballast, embankments, bridges, and drainage systems—to ensure operational safety and longevity of assets.</w:t>
      </w:r>
    </w:p>
    <w:p w14:paraId="76DE4EFE" w14:textId="77777777" w:rsidR="006B11F3" w:rsidRPr="002B3F36" w:rsidRDefault="006B11F3" w:rsidP="009B4CDB">
      <w:pPr>
        <w:widowControl/>
        <w:numPr>
          <w:ilvl w:val="0"/>
          <w:numId w:val="122"/>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Operation and maintenance of depots, signaling, and telecommunication systems, supporting efficient train management, communications, and service continuity.</w:t>
      </w:r>
    </w:p>
    <w:p w14:paraId="498959E3" w14:textId="77777777" w:rsidR="006B11F3" w:rsidRPr="002B3F36" w:rsidRDefault="006B11F3" w:rsidP="009B4CDB">
      <w:pPr>
        <w:widowControl/>
        <w:numPr>
          <w:ilvl w:val="0"/>
          <w:numId w:val="122"/>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Implementation of safety monitoring systems, wildlife crossings, and emergency response procedures, ensuring the protection of railway users, nearby communities, and ecological receptors.</w:t>
      </w:r>
    </w:p>
    <w:p w14:paraId="47E12E72" w14:textId="77777777" w:rsidR="00A55811" w:rsidRPr="002B3F36" w:rsidRDefault="00A55811" w:rsidP="00A55811">
      <w:pPr>
        <w:pStyle w:val="ReportBodyTextNogap"/>
      </w:pPr>
    </w:p>
    <w:p w14:paraId="59B55DE2" w14:textId="77777777" w:rsidR="00C870E9" w:rsidRPr="002B3F36" w:rsidRDefault="00C870E9" w:rsidP="005A68AD">
      <w:pPr>
        <w:pStyle w:val="31"/>
      </w:pPr>
      <w:bookmarkStart w:id="2240" w:name="_Toc210589500"/>
      <w:r w:rsidRPr="002B3F36">
        <w:t>Environmental and Social Risks and Impacts</w:t>
      </w:r>
      <w:bookmarkEnd w:id="2235"/>
      <w:bookmarkEnd w:id="2236"/>
      <w:bookmarkEnd w:id="2237"/>
      <w:bookmarkEnd w:id="2238"/>
      <w:bookmarkEnd w:id="2239"/>
      <w:bookmarkEnd w:id="2240"/>
    </w:p>
    <w:p w14:paraId="772BD833" w14:textId="77777777" w:rsidR="00A55811" w:rsidRPr="002B3F36" w:rsidRDefault="00A55811" w:rsidP="00A55811">
      <w:pPr>
        <w:pStyle w:val="ReportBodyTextNogap"/>
      </w:pPr>
    </w:p>
    <w:p w14:paraId="02CD7D8E" w14:textId="37FC7ECF" w:rsidR="006B11F3" w:rsidRPr="002B3F36" w:rsidRDefault="006B11F3" w:rsidP="00A55811">
      <w:pPr>
        <w:pStyle w:val="ReportBodyTextNogap"/>
      </w:pPr>
      <w:r w:rsidRPr="002B3F36">
        <w:t xml:space="preserve">The Mointy–Kyzylzhar Railway Project will generate a wide range of environmental and social risks and impacts across its lifecycle—from pre-construction to operation and the </w:t>
      </w:r>
      <w:r w:rsidRPr="002B3F36">
        <w:lastRenderedPageBreak/>
        <w:t xml:space="preserve">decommissioning of temporary facilities. These risks have been identified and assessed in alignment with the </w:t>
      </w:r>
      <w:r w:rsidR="00F95BD8" w:rsidRPr="002B3F36">
        <w:t>WB</w:t>
      </w:r>
      <w:r w:rsidRPr="002B3F36">
        <w:t xml:space="preserve"> Performance Standards (PS1–PS8), which provide a structured framework for impact management.</w:t>
      </w:r>
    </w:p>
    <w:p w14:paraId="162D8E6A" w14:textId="77777777" w:rsidR="00A55811" w:rsidRPr="002B3F36" w:rsidRDefault="00A55811" w:rsidP="00A55811">
      <w:pPr>
        <w:pStyle w:val="ReportBodyTextNogap"/>
      </w:pPr>
    </w:p>
    <w:p w14:paraId="20565D9F" w14:textId="0B48DA6D" w:rsidR="006B11F3" w:rsidRPr="002B3F36" w:rsidRDefault="009C0634" w:rsidP="00A55811">
      <w:pPr>
        <w:pStyle w:val="ReportBodyTextNogap"/>
      </w:pPr>
      <w:r w:rsidRPr="002B3F36">
        <w:t xml:space="preserve">While PS 1 (Assessment and Management of Environmental and Social Risks and Impacts) serves as the foundational and overarching framework that establishes the process for identifying, assessing, and managing all environmental and social (E&amp;S) risks and impacts, </w:t>
      </w:r>
      <w:r w:rsidR="0046239D" w:rsidRPr="002B3F36">
        <w:t xml:space="preserve">wherein </w:t>
      </w:r>
      <w:r w:rsidRPr="002B3F36">
        <w:t>the k</w:t>
      </w:r>
      <w:r w:rsidR="006B11F3" w:rsidRPr="002B3F36">
        <w:t>ey risks and impacts include:</w:t>
      </w:r>
    </w:p>
    <w:p w14:paraId="6DD171D7" w14:textId="77777777"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PS2 – Labor and Working Conditions:</w:t>
      </w:r>
      <w:r w:rsidRPr="002B3F36">
        <w:rPr>
          <w:rFonts w:ascii="Arial" w:eastAsia="Calibri" w:hAnsi="Arial" w:cs="Arial"/>
          <w:sz w:val="24"/>
          <w:szCs w:val="24"/>
          <w:lang w:eastAsia="en-GB"/>
        </w:rPr>
        <w:br/>
        <w:t>Risks associated with labor influx, occupational health and safety (OHS) hazards, worker welfare standards in camps, and establishment of an effective worker grievance mechanism.</w:t>
      </w:r>
    </w:p>
    <w:p w14:paraId="170936C6" w14:textId="77777777"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PS3 – Resource Efficiency and Pollution Prevention:</w:t>
      </w:r>
      <w:r w:rsidRPr="002B3F36">
        <w:rPr>
          <w:rFonts w:ascii="Arial" w:eastAsia="Calibri" w:hAnsi="Arial" w:cs="Arial"/>
          <w:sz w:val="24"/>
          <w:szCs w:val="24"/>
          <w:lang w:eastAsia="en-GB"/>
        </w:rPr>
        <w:br/>
        <w:t>Generation of dust, noise, vibration, and air emissions; solid and hazardous waste management challenges; increased water consumption; and risks of soil erosion and sedimentation.</w:t>
      </w:r>
    </w:p>
    <w:p w14:paraId="57871289" w14:textId="05232040"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PS4 – Community Health, Safety, and Security:</w:t>
      </w:r>
      <w:r w:rsidRPr="002B3F36">
        <w:rPr>
          <w:rFonts w:ascii="Arial" w:eastAsia="Calibri" w:hAnsi="Arial" w:cs="Arial"/>
          <w:sz w:val="24"/>
          <w:szCs w:val="24"/>
          <w:lang w:eastAsia="en-GB"/>
        </w:rPr>
        <w:br/>
      </w:r>
      <w:r w:rsidR="000337A3" w:rsidRPr="002B3F36">
        <w:rPr>
          <w:rFonts w:ascii="Arial" w:eastAsia="Calibri" w:hAnsi="Arial" w:cs="Arial"/>
          <w:sz w:val="24"/>
          <w:szCs w:val="24"/>
          <w:lang w:eastAsia="en-GB"/>
        </w:rPr>
        <w:t>Vehicular</w:t>
      </w:r>
      <w:r w:rsidRPr="002B3F36">
        <w:rPr>
          <w:rFonts w:ascii="Arial" w:eastAsia="Calibri" w:hAnsi="Arial" w:cs="Arial"/>
          <w:sz w:val="24"/>
          <w:szCs w:val="24"/>
          <w:lang w:eastAsia="en-GB"/>
        </w:rPr>
        <w:t xml:space="preserve"> safety concerns along </w:t>
      </w:r>
      <w:r w:rsidR="000337A3" w:rsidRPr="002B3F36">
        <w:rPr>
          <w:rFonts w:ascii="Arial" w:eastAsia="Calibri" w:hAnsi="Arial" w:cs="Arial"/>
          <w:sz w:val="24"/>
          <w:szCs w:val="24"/>
          <w:lang w:eastAsia="en-GB"/>
        </w:rPr>
        <w:t>access</w:t>
      </w:r>
      <w:r w:rsidRPr="002B3F36">
        <w:rPr>
          <w:rFonts w:ascii="Arial" w:eastAsia="Calibri" w:hAnsi="Arial" w:cs="Arial"/>
          <w:sz w:val="24"/>
          <w:szCs w:val="24"/>
          <w:lang w:eastAsia="en-GB"/>
        </w:rPr>
        <w:t xml:space="preserve"> routes</w:t>
      </w:r>
      <w:r w:rsidR="000337A3" w:rsidRPr="002B3F36">
        <w:rPr>
          <w:rFonts w:ascii="Arial" w:eastAsia="Calibri" w:hAnsi="Arial" w:cs="Arial"/>
          <w:sz w:val="24"/>
          <w:szCs w:val="24"/>
          <w:lang w:eastAsia="en-GB"/>
        </w:rPr>
        <w:t xml:space="preserve"> to construction sites</w:t>
      </w:r>
      <w:r w:rsidRPr="002B3F36">
        <w:rPr>
          <w:rFonts w:ascii="Arial" w:eastAsia="Calibri" w:hAnsi="Arial" w:cs="Arial"/>
          <w:sz w:val="24"/>
          <w:szCs w:val="24"/>
          <w:lang w:eastAsia="en-GB"/>
        </w:rPr>
        <w:t>; risks of communicable disease transmission; gender-based violence (GBV) and harassment risks; and potential adverse interactions with project security personnel.</w:t>
      </w:r>
    </w:p>
    <w:p w14:paraId="73DEEBFB" w14:textId="77777777"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PS5 – Land Acquisition and Involuntary Resettlement:</w:t>
      </w:r>
      <w:r w:rsidRPr="002B3F36">
        <w:rPr>
          <w:rFonts w:ascii="Arial" w:eastAsia="Calibri" w:hAnsi="Arial" w:cs="Arial"/>
          <w:sz w:val="24"/>
          <w:szCs w:val="24"/>
          <w:lang w:eastAsia="en-GB"/>
        </w:rPr>
        <w:br/>
        <w:t>Physical and economic displacement; loss of pastureland and access to natural resources; and restrictions on land use affecting local livelihoods.</w:t>
      </w:r>
    </w:p>
    <w:p w14:paraId="4A0FF0B2" w14:textId="23B18997"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PS6 – Biodiversity Conservation and Sustainable Management of Living Natural Resources:</w:t>
      </w:r>
      <w:r w:rsidRPr="002B3F36">
        <w:rPr>
          <w:rFonts w:ascii="Arial" w:hAnsi="Arial" w:cs="Arial"/>
        </w:rPr>
        <w:br/>
      </w:r>
      <w:r w:rsidRPr="002B3F36">
        <w:rPr>
          <w:rFonts w:ascii="Arial" w:eastAsia="Calibri" w:hAnsi="Arial" w:cs="Arial"/>
          <w:sz w:val="24"/>
          <w:szCs w:val="24"/>
          <w:lang w:eastAsia="en-GB"/>
        </w:rPr>
        <w:t xml:space="preserve">Loss of steppe habitats; barrier effects on wildlife movement; and disturbance </w:t>
      </w:r>
      <w:r w:rsidR="0046239D" w:rsidRPr="002B3F36">
        <w:rPr>
          <w:rFonts w:ascii="Arial" w:eastAsia="Calibri" w:hAnsi="Arial" w:cs="Arial"/>
          <w:sz w:val="24"/>
          <w:szCs w:val="24"/>
          <w:lang w:eastAsia="en-GB"/>
        </w:rPr>
        <w:t>including</w:t>
      </w:r>
      <w:r w:rsidR="770D9846" w:rsidRPr="002B3F36">
        <w:rPr>
          <w:rFonts w:ascii="Arial" w:eastAsia="Calibri" w:hAnsi="Arial" w:cs="Arial"/>
          <w:sz w:val="24"/>
          <w:szCs w:val="24"/>
          <w:lang w:eastAsia="en-GB"/>
        </w:rPr>
        <w:t xml:space="preserve"> collision-related fatalities </w:t>
      </w:r>
      <w:r w:rsidRPr="002B3F36">
        <w:rPr>
          <w:rFonts w:ascii="Arial" w:eastAsia="Calibri" w:hAnsi="Arial" w:cs="Arial"/>
          <w:sz w:val="24"/>
          <w:szCs w:val="24"/>
          <w:lang w:eastAsia="en-GB"/>
        </w:rPr>
        <w:t>of migratory species and species of conservation concern.</w:t>
      </w:r>
    </w:p>
    <w:p w14:paraId="6091C7E3" w14:textId="77777777"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PS7 – Indigenous Peoples:</w:t>
      </w:r>
      <w:r w:rsidRPr="002B3F36">
        <w:rPr>
          <w:rFonts w:ascii="Arial" w:eastAsia="Calibri" w:hAnsi="Arial" w:cs="Arial"/>
          <w:sz w:val="24"/>
          <w:szCs w:val="24"/>
          <w:lang w:eastAsia="en-GB"/>
        </w:rPr>
        <w:br/>
        <w:t>Screening to determine the presence of Indigenous Peoples or vulnerable groups, with culturally appropriate engagement and benefit-sharing measures if such groups are identified.</w:t>
      </w:r>
    </w:p>
    <w:p w14:paraId="53AE2688" w14:textId="77777777" w:rsidR="006B11F3" w:rsidRPr="002B3F36" w:rsidRDefault="006B11F3" w:rsidP="009B4CDB">
      <w:pPr>
        <w:widowControl/>
        <w:numPr>
          <w:ilvl w:val="0"/>
          <w:numId w:val="123"/>
        </w:numPr>
        <w:autoSpaceDE/>
        <w:autoSpaceDN/>
        <w:rPr>
          <w:rFonts w:ascii="Arial" w:eastAsia="Calibri" w:hAnsi="Arial" w:cs="Arial"/>
          <w:sz w:val="24"/>
          <w:szCs w:val="24"/>
          <w:lang w:eastAsia="en-GB"/>
        </w:rPr>
      </w:pPr>
      <w:r w:rsidRPr="002B3F36">
        <w:rPr>
          <w:rFonts w:ascii="Arial" w:eastAsia="Calibri" w:hAnsi="Arial" w:cs="Arial"/>
          <w:sz w:val="24"/>
          <w:szCs w:val="24"/>
          <w:lang w:eastAsia="en-GB"/>
        </w:rPr>
        <w:t>PS8 – Cultural Heritage:</w:t>
      </w:r>
      <w:r w:rsidRPr="002B3F36">
        <w:rPr>
          <w:rFonts w:ascii="Arial" w:eastAsia="Calibri" w:hAnsi="Arial" w:cs="Arial"/>
          <w:sz w:val="24"/>
          <w:szCs w:val="24"/>
          <w:lang w:eastAsia="en-GB"/>
        </w:rPr>
        <w:br/>
        <w:t>Potential for chance finds of archaeological or historical resources during earthworks, requiring implementation of a chance finds procedure and engagement with cultural authorities.</w:t>
      </w:r>
    </w:p>
    <w:p w14:paraId="1B7569A1" w14:textId="77777777" w:rsidR="002A1711" w:rsidRPr="002B3F36" w:rsidRDefault="002A1711" w:rsidP="00A55811">
      <w:pPr>
        <w:pStyle w:val="ReportBodyTextNogap"/>
      </w:pPr>
    </w:p>
    <w:p w14:paraId="5B090BCB" w14:textId="05110F55" w:rsidR="006B11F3" w:rsidRPr="002B3F36" w:rsidRDefault="006B11F3" w:rsidP="00A55811">
      <w:pPr>
        <w:pStyle w:val="ReportBodyTextNogap"/>
      </w:pPr>
      <w:r w:rsidRPr="002B3F36">
        <w:t>To strengthen the linkage between project activities and potential risks, an activity–impact interaction matrix has been developed. This matrix demonstrates the relationship between specific project activities (e.g., site clearance, earthworks, camp operations) and the relevant environmental and social receptors.</w:t>
      </w:r>
    </w:p>
    <w:p w14:paraId="1DA34A49" w14:textId="4419EB6A" w:rsidR="00C870E9" w:rsidRPr="002B3F36" w:rsidRDefault="00C870E9" w:rsidP="00A55811">
      <w:pPr>
        <w:pStyle w:val="ReportBodyTextNogap"/>
        <w:rPr>
          <w:rFonts w:eastAsia="SimSun"/>
          <w:lang w:val="en-PH"/>
        </w:rPr>
      </w:pPr>
    </w:p>
    <w:p w14:paraId="26B5A93E" w14:textId="44A1B5ED" w:rsidR="000F5B76" w:rsidRPr="002B3F36" w:rsidRDefault="000F5B76" w:rsidP="000F5B76">
      <w:pPr>
        <w:pStyle w:val="CaptionTable"/>
      </w:pPr>
      <w:bookmarkStart w:id="2241" w:name="_Toc169094903"/>
      <w:bookmarkStart w:id="2242" w:name="_Toc210589575"/>
      <w:r w:rsidRPr="002B3F36">
        <w:t xml:space="preserve">Table </w:t>
      </w:r>
      <w:r w:rsidRPr="002B3F36">
        <w:fldChar w:fldCharType="begin"/>
      </w:r>
      <w:r w:rsidRPr="002B3F36">
        <w:rPr>
          <w:noProof/>
        </w:rPr>
        <w:instrText xml:space="preserve"> SEQ Table \* ARABIC </w:instrText>
      </w:r>
      <w:r w:rsidRPr="002B3F36">
        <w:fldChar w:fldCharType="separate"/>
      </w:r>
      <w:r w:rsidR="00A023DA">
        <w:rPr>
          <w:noProof/>
        </w:rPr>
        <w:t>31</w:t>
      </w:r>
      <w:r w:rsidRPr="002B3F36">
        <w:fldChar w:fldCharType="end"/>
      </w:r>
      <w:r w:rsidRPr="002B3F36">
        <w:t>: Activity – Impact Interaction Matrix</w:t>
      </w:r>
      <w:bookmarkEnd w:id="2241"/>
      <w:bookmarkEnd w:id="2242"/>
    </w:p>
    <w:tbl>
      <w:tblPr>
        <w:tblStyle w:val="TableGrid2"/>
        <w:tblW w:w="0" w:type="auto"/>
        <w:tblLook w:val="04A0" w:firstRow="1" w:lastRow="0" w:firstColumn="1" w:lastColumn="0" w:noHBand="0" w:noVBand="1"/>
      </w:tblPr>
      <w:tblGrid>
        <w:gridCol w:w="4206"/>
        <w:gridCol w:w="5504"/>
      </w:tblGrid>
      <w:tr w:rsidR="000F5B76" w:rsidRPr="002B3F36" w14:paraId="0A2DD255" w14:textId="77777777" w:rsidTr="002B3F36">
        <w:trPr>
          <w:tblHeader/>
        </w:trPr>
        <w:tc>
          <w:tcPr>
            <w:tcW w:w="0" w:type="auto"/>
            <w:shd w:val="clear" w:color="auto" w:fill="F2F2F2" w:themeFill="background1" w:themeFillShade="F2"/>
            <w:hideMark/>
          </w:tcPr>
          <w:p w14:paraId="222A682C" w14:textId="77777777" w:rsidR="000F5B76" w:rsidRPr="002B3F36" w:rsidRDefault="000F5B76" w:rsidP="003D37BF">
            <w:pPr>
              <w:jc w:val="center"/>
              <w:rPr>
                <w:rFonts w:ascii="Arial" w:eastAsia="Times New Roman" w:hAnsi="Arial" w:cs="Arial"/>
                <w:b/>
                <w:bCs/>
                <w:sz w:val="20"/>
                <w:szCs w:val="20"/>
              </w:rPr>
            </w:pPr>
            <w:r w:rsidRPr="002B3F36">
              <w:rPr>
                <w:rFonts w:ascii="Arial" w:eastAsia="Times New Roman" w:hAnsi="Arial" w:cs="Arial"/>
                <w:b/>
                <w:bCs/>
                <w:sz w:val="20"/>
                <w:szCs w:val="20"/>
              </w:rPr>
              <w:t>Project Activities</w:t>
            </w:r>
          </w:p>
        </w:tc>
        <w:tc>
          <w:tcPr>
            <w:tcW w:w="0" w:type="auto"/>
            <w:shd w:val="clear" w:color="auto" w:fill="F2F2F2" w:themeFill="background1" w:themeFillShade="F2"/>
            <w:hideMark/>
          </w:tcPr>
          <w:p w14:paraId="4FEB1FBF" w14:textId="77777777" w:rsidR="000F5B76" w:rsidRPr="002B3F36" w:rsidRDefault="000F5B76" w:rsidP="003D37BF">
            <w:pPr>
              <w:jc w:val="center"/>
              <w:rPr>
                <w:rFonts w:ascii="Arial" w:eastAsia="Times New Roman" w:hAnsi="Arial" w:cs="Arial"/>
                <w:b/>
                <w:bCs/>
                <w:sz w:val="20"/>
                <w:szCs w:val="20"/>
              </w:rPr>
            </w:pPr>
            <w:r w:rsidRPr="002B3F36">
              <w:rPr>
                <w:rFonts w:ascii="Arial" w:eastAsia="Times New Roman" w:hAnsi="Arial" w:cs="Arial"/>
                <w:b/>
                <w:bCs/>
                <w:sz w:val="20"/>
                <w:szCs w:val="20"/>
              </w:rPr>
              <w:t>Relevant Environmental &amp; Social Risks/Impacts</w:t>
            </w:r>
          </w:p>
        </w:tc>
      </w:tr>
      <w:tr w:rsidR="000F5B76" w:rsidRPr="002B3F36" w14:paraId="6CDDA48C" w14:textId="77777777" w:rsidTr="003D37BF">
        <w:tc>
          <w:tcPr>
            <w:tcW w:w="0" w:type="auto"/>
            <w:hideMark/>
          </w:tcPr>
          <w:p w14:paraId="1AEAC898"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Establishment of auxiliary facilities (plants, camps, borrow pits)</w:t>
            </w:r>
          </w:p>
        </w:tc>
        <w:tc>
          <w:tcPr>
            <w:tcW w:w="0" w:type="auto"/>
            <w:hideMark/>
          </w:tcPr>
          <w:p w14:paraId="3C1E2E29"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Pollution (air, water, noise), labor influx, waste generation, land take, habitat disturbance</w:t>
            </w:r>
          </w:p>
        </w:tc>
      </w:tr>
      <w:tr w:rsidR="000F5B76" w:rsidRPr="002B3F36" w14:paraId="2A4AB738" w14:textId="77777777" w:rsidTr="003D37BF">
        <w:tc>
          <w:tcPr>
            <w:tcW w:w="0" w:type="auto"/>
            <w:hideMark/>
          </w:tcPr>
          <w:p w14:paraId="0DFE7DE8"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Earthworks (site clearance, excavation, fill, transport)</w:t>
            </w:r>
          </w:p>
        </w:tc>
        <w:tc>
          <w:tcPr>
            <w:tcW w:w="0" w:type="auto"/>
            <w:hideMark/>
          </w:tcPr>
          <w:p w14:paraId="7730E83F"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Land take loss of vegetation, habitat fragmentation</w:t>
            </w:r>
          </w:p>
        </w:tc>
      </w:tr>
      <w:tr w:rsidR="000F5B76" w:rsidRPr="002B3F36" w14:paraId="364ACFC3" w14:textId="77777777" w:rsidTr="003D37BF">
        <w:tc>
          <w:tcPr>
            <w:tcW w:w="0" w:type="auto"/>
            <w:hideMark/>
          </w:tcPr>
          <w:p w14:paraId="0F639C6A"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Construction of bridges and culverts</w:t>
            </w:r>
          </w:p>
        </w:tc>
        <w:tc>
          <w:tcPr>
            <w:tcW w:w="0" w:type="auto"/>
            <w:hideMark/>
          </w:tcPr>
          <w:p w14:paraId="7B744367"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Habitat alteration, sedimentation, OHS, community safety</w:t>
            </w:r>
          </w:p>
        </w:tc>
      </w:tr>
      <w:tr w:rsidR="000F5B76" w:rsidRPr="002B3F36" w14:paraId="7A80F755" w14:textId="77777777" w:rsidTr="003D37BF">
        <w:tc>
          <w:tcPr>
            <w:tcW w:w="0" w:type="auto"/>
            <w:hideMark/>
          </w:tcPr>
          <w:p w14:paraId="6F1143BA" w14:textId="77777777" w:rsidR="000F5B76" w:rsidRPr="002B3F36" w:rsidRDefault="000F5B76" w:rsidP="003D37BF">
            <w:pPr>
              <w:rPr>
                <w:rFonts w:ascii="Arial" w:eastAsia="Times New Roman" w:hAnsi="Arial" w:cs="Arial"/>
                <w:sz w:val="20"/>
                <w:szCs w:val="20"/>
              </w:rPr>
            </w:pPr>
            <w:bookmarkStart w:id="2243" w:name="_Hlk208896744"/>
            <w:r w:rsidRPr="002B3F36">
              <w:rPr>
                <w:rFonts w:ascii="Arial" w:eastAsia="Times New Roman" w:hAnsi="Arial" w:cs="Arial"/>
                <w:sz w:val="20"/>
                <w:szCs w:val="20"/>
              </w:rPr>
              <w:t>Railroad infrastructure</w:t>
            </w:r>
            <w:bookmarkEnd w:id="2243"/>
            <w:r w:rsidRPr="002B3F36">
              <w:rPr>
                <w:rFonts w:ascii="Arial" w:hAnsi="Arial" w:cs="Arial"/>
                <w:sz w:val="20"/>
                <w:szCs w:val="20"/>
              </w:rPr>
              <w:t xml:space="preserve"> </w:t>
            </w:r>
            <w:r w:rsidRPr="002B3F36">
              <w:rPr>
                <w:rFonts w:ascii="Arial" w:eastAsia="Times New Roman" w:hAnsi="Arial" w:cs="Arial"/>
                <w:sz w:val="20"/>
                <w:szCs w:val="20"/>
              </w:rPr>
              <w:t>construction</w:t>
            </w:r>
          </w:p>
        </w:tc>
        <w:tc>
          <w:tcPr>
            <w:tcW w:w="0" w:type="auto"/>
            <w:hideMark/>
          </w:tcPr>
          <w:p w14:paraId="04603940"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Soil erosion, land take, habitat modification</w:t>
            </w:r>
          </w:p>
        </w:tc>
      </w:tr>
      <w:tr w:rsidR="000F5B76" w:rsidRPr="002B3F36" w14:paraId="0F6C3345" w14:textId="77777777" w:rsidTr="003D37BF">
        <w:tc>
          <w:tcPr>
            <w:tcW w:w="0" w:type="auto"/>
            <w:hideMark/>
          </w:tcPr>
          <w:p w14:paraId="409D62BA"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Railroad superstructure</w:t>
            </w:r>
            <w:r w:rsidRPr="002B3F36">
              <w:rPr>
                <w:rFonts w:ascii="Arial" w:hAnsi="Arial" w:cs="Arial"/>
                <w:sz w:val="20"/>
                <w:szCs w:val="20"/>
              </w:rPr>
              <w:t xml:space="preserve"> </w:t>
            </w:r>
            <w:r w:rsidRPr="002B3F36">
              <w:rPr>
                <w:rFonts w:ascii="Arial" w:eastAsia="Times New Roman" w:hAnsi="Arial" w:cs="Arial"/>
                <w:sz w:val="20"/>
                <w:szCs w:val="20"/>
              </w:rPr>
              <w:t>construction</w:t>
            </w:r>
          </w:p>
        </w:tc>
        <w:tc>
          <w:tcPr>
            <w:tcW w:w="0" w:type="auto"/>
            <w:hideMark/>
          </w:tcPr>
          <w:p w14:paraId="70E1544E"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Air/noise pollution, traffic and worker safety, waste</w:t>
            </w:r>
          </w:p>
        </w:tc>
      </w:tr>
      <w:tr w:rsidR="000F5B76" w:rsidRPr="002B3F36" w14:paraId="168F92A2" w14:textId="77777777" w:rsidTr="003D37BF">
        <w:tc>
          <w:tcPr>
            <w:tcW w:w="0" w:type="auto"/>
            <w:hideMark/>
          </w:tcPr>
          <w:p w14:paraId="44F78627"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Railroad Facilities and Buildings</w:t>
            </w:r>
          </w:p>
        </w:tc>
        <w:tc>
          <w:tcPr>
            <w:tcW w:w="0" w:type="auto"/>
            <w:hideMark/>
          </w:tcPr>
          <w:p w14:paraId="66E266D3"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Minor emissions, worker safety, waste</w:t>
            </w:r>
          </w:p>
        </w:tc>
      </w:tr>
      <w:tr w:rsidR="000F5B76" w:rsidRPr="002B3F36" w14:paraId="40320CE9" w14:textId="77777777" w:rsidTr="003D37BF">
        <w:tc>
          <w:tcPr>
            <w:tcW w:w="0" w:type="auto"/>
            <w:hideMark/>
          </w:tcPr>
          <w:p w14:paraId="1CF90C7F"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General work site clearance</w:t>
            </w:r>
          </w:p>
        </w:tc>
        <w:tc>
          <w:tcPr>
            <w:tcW w:w="0" w:type="auto"/>
            <w:hideMark/>
          </w:tcPr>
          <w:p w14:paraId="19612E18"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Vegetation removal, waste generation, chance finds</w:t>
            </w:r>
          </w:p>
        </w:tc>
      </w:tr>
      <w:tr w:rsidR="000F5B76" w:rsidRPr="002B3F36" w14:paraId="27B52393" w14:textId="77777777" w:rsidTr="003D37BF">
        <w:tc>
          <w:tcPr>
            <w:tcW w:w="0" w:type="auto"/>
            <w:hideMark/>
          </w:tcPr>
          <w:p w14:paraId="5B261757"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lastRenderedPageBreak/>
              <w:t>Decommissioning of auxiliary facilities</w:t>
            </w:r>
          </w:p>
        </w:tc>
        <w:tc>
          <w:tcPr>
            <w:tcW w:w="0" w:type="auto"/>
            <w:hideMark/>
          </w:tcPr>
          <w:p w14:paraId="5F5A567F"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Demolition waste, site contamination, land restoration</w:t>
            </w:r>
          </w:p>
        </w:tc>
      </w:tr>
      <w:tr w:rsidR="000F5B76" w:rsidRPr="002B3F36" w14:paraId="4F0F354A" w14:textId="77777777" w:rsidTr="003D37BF">
        <w:tc>
          <w:tcPr>
            <w:tcW w:w="0" w:type="auto"/>
            <w:hideMark/>
          </w:tcPr>
          <w:p w14:paraId="6B228548"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b/>
                <w:bCs/>
                <w:sz w:val="20"/>
                <w:szCs w:val="20"/>
              </w:rPr>
              <w:t>Operations Phase</w:t>
            </w:r>
          </w:p>
        </w:tc>
        <w:tc>
          <w:tcPr>
            <w:tcW w:w="0" w:type="auto"/>
            <w:hideMark/>
          </w:tcPr>
          <w:p w14:paraId="266014EB" w14:textId="77777777" w:rsidR="000F5B76" w:rsidRPr="002B3F36" w:rsidRDefault="000F5B76" w:rsidP="003D37BF">
            <w:pPr>
              <w:rPr>
                <w:rFonts w:ascii="Arial" w:eastAsia="Times New Roman" w:hAnsi="Arial" w:cs="Arial"/>
                <w:sz w:val="20"/>
                <w:szCs w:val="20"/>
              </w:rPr>
            </w:pPr>
          </w:p>
        </w:tc>
      </w:tr>
      <w:tr w:rsidR="000F5B76" w:rsidRPr="002B3F36" w14:paraId="22909F47" w14:textId="77777777" w:rsidTr="003D37BF">
        <w:tc>
          <w:tcPr>
            <w:tcW w:w="0" w:type="auto"/>
            <w:hideMark/>
          </w:tcPr>
          <w:p w14:paraId="157C4163"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Usage of railroad</w:t>
            </w:r>
          </w:p>
        </w:tc>
        <w:tc>
          <w:tcPr>
            <w:tcW w:w="0" w:type="auto"/>
            <w:hideMark/>
          </w:tcPr>
          <w:p w14:paraId="5AE51CD9"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Air/noise emissions, vibration, collision risks for fauna, community safety</w:t>
            </w:r>
          </w:p>
        </w:tc>
      </w:tr>
      <w:tr w:rsidR="000F5B76" w:rsidRPr="002B3F36" w14:paraId="561478B8" w14:textId="77777777" w:rsidTr="003D37BF">
        <w:tc>
          <w:tcPr>
            <w:tcW w:w="0" w:type="auto"/>
            <w:hideMark/>
          </w:tcPr>
          <w:p w14:paraId="213B3698"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Repairs and maintenance</w:t>
            </w:r>
          </w:p>
        </w:tc>
        <w:tc>
          <w:tcPr>
            <w:tcW w:w="0" w:type="auto"/>
            <w:hideMark/>
          </w:tcPr>
          <w:p w14:paraId="77AA29DA" w14:textId="77777777" w:rsidR="000F5B76" w:rsidRPr="002B3F36" w:rsidRDefault="000F5B76" w:rsidP="003D37BF">
            <w:pPr>
              <w:rPr>
                <w:rFonts w:ascii="Arial" w:eastAsia="Times New Roman" w:hAnsi="Arial" w:cs="Arial"/>
                <w:sz w:val="20"/>
                <w:szCs w:val="20"/>
              </w:rPr>
            </w:pPr>
            <w:r w:rsidRPr="002B3F36">
              <w:rPr>
                <w:rFonts w:ascii="Arial" w:eastAsia="Times New Roman" w:hAnsi="Arial" w:cs="Arial"/>
                <w:sz w:val="20"/>
                <w:szCs w:val="20"/>
              </w:rPr>
              <w:t>OHS risks, waste, minor land take for storage areas, biodiversity disturbance</w:t>
            </w:r>
          </w:p>
        </w:tc>
      </w:tr>
    </w:tbl>
    <w:p w14:paraId="6A6813AB" w14:textId="7F7186CB" w:rsidR="000F5B76" w:rsidRPr="002B3F36" w:rsidRDefault="000F5B76" w:rsidP="000F5B76">
      <w:pPr>
        <w:pStyle w:val="ReportBodyTextNogap"/>
        <w:rPr>
          <w:lang w:val="en-PH"/>
        </w:rPr>
      </w:pPr>
    </w:p>
    <w:p w14:paraId="54DAC778" w14:textId="6C99A6C2" w:rsidR="00983979" w:rsidRPr="002B3F36" w:rsidRDefault="00983979" w:rsidP="00983979">
      <w:pPr>
        <w:pStyle w:val="ReportBodyTextNogap"/>
        <w:rPr>
          <w:lang w:val="en-PH"/>
        </w:rPr>
      </w:pPr>
      <w:r w:rsidRPr="002B3F36">
        <w:rPr>
          <w:lang w:val="en-PH"/>
        </w:rPr>
        <w:t>Cumulative impacts were also considered. For the 32</w:t>
      </w:r>
      <w:r w:rsidR="005C152A">
        <w:rPr>
          <w:lang w:val="en-PH"/>
        </w:rPr>
        <w:t>2.2</w:t>
      </w:r>
      <w:r w:rsidRPr="002B3F36">
        <w:rPr>
          <w:lang w:val="en-PH"/>
        </w:rPr>
        <w:t xml:space="preserve"> km Greenfield section from Mointy to Kyzylzhar, there are no other known projects along most of the route. Potential overlap occurs only at the connection points in Mointy and Kyzylzhar, where the new line meets existing rail/road networks, nears town centers, crosses water, and ties into utilities. The assessment covers construction through early operations (10–15-year view), consistent with PS1 and referring to PS3/PS4/PS5/PS6/PS8. Likely overlapping activities include KTZ works, road upgrades, quarry/borrow use, settlement growth, farm water use, and third-party logistics.</w:t>
      </w:r>
    </w:p>
    <w:p w14:paraId="68233C4E" w14:textId="77777777" w:rsidR="00983979" w:rsidRPr="002B3F36" w:rsidRDefault="00983979" w:rsidP="00983979">
      <w:pPr>
        <w:pStyle w:val="ReportBodyTextNogap"/>
        <w:rPr>
          <w:lang w:val="en-PH"/>
        </w:rPr>
      </w:pPr>
    </w:p>
    <w:p w14:paraId="2ACD63E3" w14:textId="77777777" w:rsidR="00983979" w:rsidRPr="002B3F36" w:rsidRDefault="00983979" w:rsidP="00983979">
      <w:pPr>
        <w:pStyle w:val="ReportBodyTextNogap"/>
        <w:rPr>
          <w:lang w:val="en-PH"/>
        </w:rPr>
      </w:pPr>
      <w:r w:rsidRPr="002B3F36">
        <w:rPr>
          <w:lang w:val="en-PH"/>
        </w:rPr>
        <w:t>At Mointy, combined activities may increase traffic and safety risks near junctions and schools, raise dust/PM, noise, and vibration (especially at night), strain local water sources, affect small farms and grazing, and add habitat edges/barriers. Before mitigation, significance is Moderate–High due to concurrent works and nearby receptors. At Kyzylzhar, truck flows plus local traffic may cause queues and higher exposure at school hours; diesel/NOx and shunting noise may exceed baselines; multiple crews increase siltation/spill risks; bundled rail/road can fragment habitats (with possible bird-strike risk); and chance-find risks rise where linear works converge. Before mitigation, significance is Moderate, trending High at peak periods.</w:t>
      </w:r>
    </w:p>
    <w:p w14:paraId="247DD65B" w14:textId="77777777" w:rsidR="00983979" w:rsidRPr="002B3F36" w:rsidRDefault="00983979" w:rsidP="00983979">
      <w:pPr>
        <w:pStyle w:val="ReportBodyTextNogap"/>
        <w:rPr>
          <w:lang w:val="en-PH"/>
        </w:rPr>
      </w:pPr>
    </w:p>
    <w:p w14:paraId="0A952133" w14:textId="345E1ABE" w:rsidR="00983979" w:rsidRPr="002B3F36" w:rsidRDefault="00983979" w:rsidP="00983979">
      <w:pPr>
        <w:pStyle w:val="ReportBodyTextNogap"/>
        <w:rPr>
          <w:lang w:val="en-PH"/>
        </w:rPr>
      </w:pPr>
      <w:r w:rsidRPr="002B3F36">
        <w:rPr>
          <w:lang w:val="en-PH"/>
        </w:rPr>
        <w:t>Mitigation focuses on phasing/staggering works, a unified traffic plan, night-work limits near sensitive sites, targeted air/noise controls (real-time dust triggers, low-squeal rail, temporary acoustic screens, vibration buffers), shared erosion and spill controls, non-community water sourcing, compact temporary footprints with stock crossings and compensation as needed, joint emergency planning, GBV/SEA safeguards, where needed.</w:t>
      </w:r>
    </w:p>
    <w:p w14:paraId="16276797" w14:textId="77777777" w:rsidR="00983979" w:rsidRPr="002B3F36" w:rsidRDefault="00983979" w:rsidP="00983979">
      <w:pPr>
        <w:pStyle w:val="ReportBodyTextNogap"/>
        <w:rPr>
          <w:lang w:val="en-PH"/>
        </w:rPr>
      </w:pPr>
    </w:p>
    <w:p w14:paraId="14C5E9AD" w14:textId="5D9F5F54" w:rsidR="00983979" w:rsidRPr="002B3F36" w:rsidRDefault="00983979" w:rsidP="00A846C7">
      <w:pPr>
        <w:pStyle w:val="ReportBodyPar"/>
        <w:rPr>
          <w:lang w:val="en-PH"/>
        </w:rPr>
      </w:pPr>
      <w:r w:rsidRPr="002B3F36">
        <w:rPr>
          <w:lang w:val="en-PH"/>
        </w:rPr>
        <w:t>Monitoring should track PM10/PM2.5, daytime/nighttime noise and vibration at the nearest homes, traffic delays/near-misses, water turbidity and hydrocarbons upstream/downstream, and grievance performance (disaggregated). With consistent implementation, residual cumulative impacts are expected to drop to Low–Moderate during construction and Low in steady operations.</w:t>
      </w:r>
    </w:p>
    <w:p w14:paraId="316910C8" w14:textId="09E3DD6B" w:rsidR="000F5B76" w:rsidRPr="002B3F36" w:rsidRDefault="000F5B76">
      <w:pPr>
        <w:rPr>
          <w:rFonts w:ascii="Arial" w:eastAsia="SimSun" w:hAnsi="Arial" w:cs="Arial"/>
          <w:sz w:val="24"/>
          <w:szCs w:val="24"/>
          <w:lang w:val="en-PH" w:eastAsia="en-GB"/>
        </w:rPr>
      </w:pPr>
      <w:r w:rsidRPr="002B3F36">
        <w:rPr>
          <w:rFonts w:eastAsia="SimSun"/>
          <w:lang w:val="en-PH"/>
        </w:rPr>
        <w:br w:type="page"/>
      </w:r>
    </w:p>
    <w:p w14:paraId="24A1A05A" w14:textId="4D7A0863" w:rsidR="00F61F8E" w:rsidRPr="002B3F36" w:rsidRDefault="000F264B">
      <w:pPr>
        <w:pStyle w:val="20"/>
        <w:rPr>
          <w:color w:val="auto"/>
        </w:rPr>
      </w:pPr>
      <w:bookmarkStart w:id="2244" w:name="_Toc169094773"/>
      <w:bookmarkStart w:id="2245" w:name="_Toc208973857"/>
      <w:bookmarkStart w:id="2246" w:name="_Toc208974057"/>
      <w:bookmarkStart w:id="2247" w:name="_Toc208974257"/>
      <w:bookmarkStart w:id="2248" w:name="_Toc208974459"/>
      <w:bookmarkStart w:id="2249" w:name="_Toc208974665"/>
      <w:bookmarkStart w:id="2250" w:name="_Toc210589501"/>
      <w:r w:rsidRPr="002B3F36">
        <w:rPr>
          <w:color w:val="auto"/>
        </w:rPr>
        <w:lastRenderedPageBreak/>
        <w:t>Impacts and Risks during Pre-construction and Construction Phase</w:t>
      </w:r>
      <w:bookmarkEnd w:id="2244"/>
      <w:bookmarkEnd w:id="2245"/>
      <w:bookmarkEnd w:id="2246"/>
      <w:bookmarkEnd w:id="2247"/>
      <w:bookmarkEnd w:id="2248"/>
      <w:bookmarkEnd w:id="2249"/>
      <w:bookmarkEnd w:id="2250"/>
    </w:p>
    <w:p w14:paraId="5DA09242" w14:textId="014410C6" w:rsidR="00D8531D" w:rsidRPr="002B3F36" w:rsidRDefault="00D8531D" w:rsidP="00D8531D">
      <w:pPr>
        <w:pStyle w:val="ReportParagraph"/>
      </w:pPr>
    </w:p>
    <w:p w14:paraId="4683423F" w14:textId="67752F6E" w:rsidR="00707D9F" w:rsidRPr="002B3F36" w:rsidRDefault="00707D9F" w:rsidP="00707D9F">
      <w:pPr>
        <w:pStyle w:val="ReportParagraph"/>
      </w:pPr>
      <w:r w:rsidRPr="002B3F36">
        <w:t xml:space="preserve">The </w:t>
      </w:r>
      <w:r w:rsidR="003650DB" w:rsidRPr="002B3F36">
        <w:t xml:space="preserve">Mointy – Kyzylzhar </w:t>
      </w:r>
      <w:r w:rsidRPr="002B3F36">
        <w:t xml:space="preserve">Railway Project undergoes a comprehensive Environmental and Social Impact Assessment (ESIA) in line with </w:t>
      </w:r>
      <w:r w:rsidR="00A13F0B" w:rsidRPr="002B3F36">
        <w:t xml:space="preserve">WB </w:t>
      </w:r>
      <w:r w:rsidRPr="002B3F36">
        <w:t>Performance Standard 1 (PS1), the WBG EHS Guidelines (2007), and Kazakhstan’s Environmental Code (2021) and Land Code (2003). During the pre-construction and construction phases, key risks include habitat loss, community health and safety hazards, climate-related vulnerabilities, land acquisition impacts, and socio-economic disruptions affecting farmers, herders, and vulnerable groups. Additional concerns involve gender-based violence (GBV), labor influx, and cultural heritage disturbance in sensitive areas.</w:t>
      </w:r>
    </w:p>
    <w:p w14:paraId="349138E3" w14:textId="77777777" w:rsidR="00707D9F" w:rsidRPr="002B3F36" w:rsidRDefault="00707D9F" w:rsidP="00707D9F">
      <w:pPr>
        <w:pStyle w:val="ReportParagraph"/>
      </w:pPr>
    </w:p>
    <w:p w14:paraId="2B443CE5" w14:textId="15A98773" w:rsidR="00707D9F" w:rsidRPr="002B3F36" w:rsidRDefault="00707D9F" w:rsidP="00707D9F">
      <w:pPr>
        <w:pStyle w:val="ReportParagraph"/>
      </w:pPr>
      <w:r w:rsidRPr="002B3F36">
        <w:t xml:space="preserve">The ESIA applies a risk-based approach assessing likelihood, severity, and reversibility of impacts on environmental and social receptors. Mitigation measures, consolidated in the Environmental and Social Management Plan (ESMP), follow the mitigation hierarchy and align with </w:t>
      </w:r>
      <w:r w:rsidR="00163238" w:rsidRPr="002B3F36">
        <w:t>WB PS</w:t>
      </w:r>
      <w:r w:rsidRPr="002B3F36">
        <w:t>2–PS8 and national legislation, ensuring impacts are effectively avoided, minimized, restored, or offset throughout the project lifecycle.</w:t>
      </w:r>
    </w:p>
    <w:p w14:paraId="10D2A73F" w14:textId="40F809EC" w:rsidR="00D8531D" w:rsidRPr="002B3F36" w:rsidRDefault="00D8531D" w:rsidP="00D8531D">
      <w:pPr>
        <w:pStyle w:val="ReportParagraph"/>
      </w:pPr>
      <w:bookmarkStart w:id="2251" w:name="_Toc208973859"/>
      <w:bookmarkStart w:id="2252" w:name="_Toc208974059"/>
      <w:bookmarkStart w:id="2253" w:name="_Toc208974259"/>
      <w:bookmarkStart w:id="2254" w:name="_Toc208974461"/>
      <w:bookmarkStart w:id="2255" w:name="_Toc208974667"/>
      <w:bookmarkStart w:id="2256" w:name="_Toc169094776"/>
    </w:p>
    <w:p w14:paraId="222B1A48" w14:textId="46190749" w:rsidR="00836C3B" w:rsidRPr="002B3F36" w:rsidRDefault="00300ED9" w:rsidP="00931608">
      <w:pPr>
        <w:pStyle w:val="31"/>
        <w:numPr>
          <w:ilvl w:val="0"/>
          <w:numId w:val="0"/>
        </w:numPr>
        <w:rPr>
          <w:rStyle w:val="affffb"/>
          <w:b/>
          <w:bCs/>
        </w:rPr>
      </w:pPr>
      <w:bookmarkStart w:id="2257" w:name="_Toc210589502"/>
      <w:r w:rsidRPr="002B3F36">
        <w:t>8.2.</w:t>
      </w:r>
      <w:r w:rsidR="001E7768">
        <w:t>1</w:t>
      </w:r>
      <w:r w:rsidRPr="002B3F36">
        <w:t xml:space="preserve"> Environmental and Social Risks and Impacts Related to </w:t>
      </w:r>
      <w:r w:rsidRPr="002B3F36">
        <w:rPr>
          <w:rStyle w:val="affffb"/>
          <w:b/>
          <w:bCs/>
        </w:rPr>
        <w:t>PS2</w:t>
      </w:r>
      <w:bookmarkEnd w:id="2251"/>
      <w:bookmarkEnd w:id="2252"/>
      <w:bookmarkEnd w:id="2253"/>
      <w:bookmarkEnd w:id="2254"/>
      <w:bookmarkEnd w:id="2255"/>
      <w:bookmarkEnd w:id="2257"/>
      <w:r w:rsidRPr="002B3F36">
        <w:rPr>
          <w:rStyle w:val="affffb"/>
          <w:b/>
          <w:bCs/>
        </w:rPr>
        <w:t xml:space="preserve"> </w:t>
      </w:r>
    </w:p>
    <w:p w14:paraId="18E32486" w14:textId="36324C21" w:rsidR="00B93149" w:rsidRPr="002B3F36" w:rsidRDefault="00B93149" w:rsidP="00B93149">
      <w:pPr>
        <w:pStyle w:val="ReportBodyTextNogap"/>
        <w:rPr>
          <w:rStyle w:val="affffb"/>
          <w:rFonts w:eastAsia="Times New Roman"/>
          <w:b w:val="0"/>
        </w:rPr>
      </w:pPr>
    </w:p>
    <w:p w14:paraId="429F6BA6" w14:textId="49395954" w:rsidR="00CD5B2B" w:rsidRPr="002B3F36" w:rsidRDefault="00CD5B2B" w:rsidP="00B93149">
      <w:pPr>
        <w:pStyle w:val="ReportBodyTextNogap"/>
        <w:rPr>
          <w:rStyle w:val="affffb"/>
          <w:rFonts w:eastAsia="Times New Roman"/>
          <w:b w:val="0"/>
        </w:rPr>
      </w:pPr>
      <w:r w:rsidRPr="002B3F36">
        <w:rPr>
          <w:rStyle w:val="affffb"/>
          <w:rFonts w:eastAsia="Times New Roman"/>
          <w:b w:val="0"/>
        </w:rPr>
        <w:t xml:space="preserve">The </w:t>
      </w:r>
      <w:r w:rsidR="003650DB" w:rsidRPr="002B3F36">
        <w:rPr>
          <w:rStyle w:val="affffb"/>
          <w:rFonts w:eastAsia="Times New Roman"/>
          <w:b w:val="0"/>
        </w:rPr>
        <w:t xml:space="preserve">Mointy – Kyzylzhar </w:t>
      </w:r>
      <w:r w:rsidRPr="002B3F36">
        <w:rPr>
          <w:rStyle w:val="affffb"/>
          <w:rFonts w:eastAsia="Times New Roman"/>
          <w:b w:val="0"/>
        </w:rPr>
        <w:t xml:space="preserve">Railway Project will employ a mixed workforce of direct, contracted, and supplier workers, creating employment opportunities but also risks related to labor influx, worker welfare, and occupational health and safety. In line with </w:t>
      </w:r>
      <w:r w:rsidR="00F95BD8" w:rsidRPr="002B3F36">
        <w:rPr>
          <w:rStyle w:val="affffb"/>
          <w:rFonts w:eastAsia="Times New Roman"/>
          <w:b w:val="0"/>
        </w:rPr>
        <w:t>WB</w:t>
      </w:r>
      <w:r w:rsidRPr="002B3F36">
        <w:rPr>
          <w:rStyle w:val="affffb"/>
          <w:rFonts w:eastAsia="Times New Roman"/>
          <w:b w:val="0"/>
        </w:rPr>
        <w:t xml:space="preserve"> Performance Standard 2 (PS2)</w:t>
      </w:r>
      <w:r w:rsidR="000F108F" w:rsidRPr="002B3F36">
        <w:rPr>
          <w:rStyle w:val="affffb"/>
          <w:rFonts w:eastAsia="Times New Roman"/>
          <w:b w:val="0"/>
        </w:rPr>
        <w:t xml:space="preserve">, </w:t>
      </w:r>
      <w:r w:rsidR="000F108F" w:rsidRPr="002B3F36">
        <w:t>Labor and Working Conditions</w:t>
      </w:r>
      <w:r w:rsidRPr="002B3F36">
        <w:rPr>
          <w:rStyle w:val="affffb"/>
          <w:rFonts w:eastAsia="Times New Roman"/>
          <w:b w:val="0"/>
        </w:rPr>
        <w:t>, the Kazakhstan Labour Code, and the WBG General EHS Guidelines (2007), key concerns include fair labor practices, safe working conditions, gender-based violence (GBV) prevention, and pressure on local services. Mitigation will focus on transparent recruitment, worker accommodation standards, OHS compliance, grievance mechanisms, and community engagement to ensure labor rights and safety throughout the project lifecycle.</w:t>
      </w:r>
    </w:p>
    <w:p w14:paraId="3DC94698" w14:textId="77777777" w:rsidR="00CD5B2B" w:rsidRPr="002B3F36" w:rsidRDefault="00CD5B2B" w:rsidP="00B93149">
      <w:pPr>
        <w:pStyle w:val="ReportBodyTextNogap"/>
        <w:rPr>
          <w:rStyle w:val="affffb"/>
          <w:rFonts w:eastAsia="Times New Roman"/>
          <w:b w:val="0"/>
        </w:rPr>
      </w:pPr>
    </w:p>
    <w:bookmarkEnd w:id="2256"/>
    <w:p w14:paraId="44F511AF" w14:textId="77777777" w:rsidR="00931608" w:rsidRPr="002B3F36" w:rsidRDefault="00931608" w:rsidP="00B93149">
      <w:pPr>
        <w:pStyle w:val="DiaList12"/>
        <w:rPr>
          <w:rFonts w:eastAsia="SimSun"/>
          <w:lang w:val="en-PH"/>
        </w:rPr>
      </w:pPr>
      <w:r w:rsidRPr="002B3F36">
        <w:rPr>
          <w:rFonts w:eastAsia="SimSun"/>
          <w:lang w:val="en-PH"/>
        </w:rPr>
        <w:t>Project Workforce</w:t>
      </w:r>
    </w:p>
    <w:p w14:paraId="08B44716" w14:textId="7A7EBC7F" w:rsidR="00931608" w:rsidRPr="002B3F36" w:rsidRDefault="00931608" w:rsidP="00B93149">
      <w:pPr>
        <w:pStyle w:val="ReportBodyPar"/>
      </w:pPr>
      <w:r w:rsidRPr="002B3F36">
        <w:t xml:space="preserve">Consistent with </w:t>
      </w:r>
      <w:r w:rsidR="007A0BB7" w:rsidRPr="002B3F36">
        <w:rPr>
          <w:rStyle w:val="affffb"/>
        </w:rPr>
        <w:t xml:space="preserve">WB </w:t>
      </w:r>
      <w:r w:rsidRPr="002B3F36">
        <w:rPr>
          <w:rStyle w:val="affffb"/>
        </w:rPr>
        <w:t>Performance Standard 2 (PS2)</w:t>
      </w:r>
      <w:r w:rsidRPr="002B3F36">
        <w:t xml:space="preserve">, the railway project will engage a diverse workforce comprising </w:t>
      </w:r>
      <w:r w:rsidRPr="002B3F36">
        <w:rPr>
          <w:rStyle w:val="affffb"/>
        </w:rPr>
        <w:t>direct workers, contracted workers, and primary supplier workers</w:t>
      </w:r>
      <w:r w:rsidRPr="002B3F36">
        <w:t xml:space="preserve">. Workforce numbers are expected to peak at approximately </w:t>
      </w:r>
      <w:r w:rsidR="00F47182" w:rsidRPr="002B3F36">
        <w:rPr>
          <w:rStyle w:val="affffb"/>
        </w:rPr>
        <w:t>2150</w:t>
      </w:r>
      <w:r w:rsidRPr="002B3F36">
        <w:rPr>
          <w:rStyle w:val="affffb"/>
        </w:rPr>
        <w:t xml:space="preserve"> workers</w:t>
      </w:r>
      <w:r w:rsidRPr="002B3F36">
        <w:t xml:space="preserve">, with around </w:t>
      </w:r>
      <w:r w:rsidRPr="002B3F36">
        <w:rPr>
          <w:rStyle w:val="affffb"/>
        </w:rPr>
        <w:t>200–230 workers deployed per 100 km section</w:t>
      </w:r>
      <w:r w:rsidRPr="002B3F36">
        <w:t xml:space="preserve">. A significant proportion of the workforce will consist of </w:t>
      </w:r>
      <w:r w:rsidRPr="002B3F36">
        <w:rPr>
          <w:rStyle w:val="affffb"/>
        </w:rPr>
        <w:t>non-local or migrant workers</w:t>
      </w:r>
      <w:r w:rsidRPr="002B3F36">
        <w:t>, creating both opportunities for local employment and risks of labor influx impacts.</w:t>
      </w:r>
    </w:p>
    <w:p w14:paraId="701A5FCB" w14:textId="77777777" w:rsidR="00B93149" w:rsidRPr="002B3F36" w:rsidRDefault="00B93149" w:rsidP="00B93149">
      <w:pPr>
        <w:pStyle w:val="ReportBodyPar"/>
      </w:pPr>
    </w:p>
    <w:p w14:paraId="0717C8AC" w14:textId="77777777" w:rsidR="00931608" w:rsidRPr="002B3F36" w:rsidRDefault="00931608" w:rsidP="00B93149">
      <w:pPr>
        <w:pStyle w:val="ReportBodyPar"/>
      </w:pPr>
      <w:r w:rsidRPr="002B3F36">
        <w:t>The workforce composition is as follows:</w:t>
      </w:r>
    </w:p>
    <w:p w14:paraId="367A325F" w14:textId="1DF00BA6" w:rsidR="00931608" w:rsidRPr="002B3F36" w:rsidRDefault="00931608" w:rsidP="009B4CDB">
      <w:pPr>
        <w:pStyle w:val="aff9"/>
        <w:numPr>
          <w:ilvl w:val="0"/>
          <w:numId w:val="126"/>
        </w:numPr>
        <w:spacing w:before="0" w:beforeAutospacing="0" w:after="0" w:afterAutospacing="0"/>
        <w:rPr>
          <w:rFonts w:ascii="Arial" w:hAnsi="Arial" w:cs="Arial"/>
        </w:rPr>
      </w:pPr>
      <w:r w:rsidRPr="002B3F36">
        <w:rPr>
          <w:rStyle w:val="affffb"/>
        </w:rPr>
        <w:t>Direct workers</w:t>
      </w:r>
      <w:r w:rsidRPr="002B3F36">
        <w:rPr>
          <w:rFonts w:ascii="Arial" w:hAnsi="Arial" w:cs="Arial"/>
        </w:rPr>
        <w:t>: KTZ staff responsible for overseeing design, construction, and E&amp;S compliance.</w:t>
      </w:r>
    </w:p>
    <w:p w14:paraId="08EB2FB8" w14:textId="6344FDA5" w:rsidR="00931608" w:rsidRPr="002B3F36" w:rsidRDefault="00931608" w:rsidP="009B4CDB">
      <w:pPr>
        <w:pStyle w:val="aff9"/>
        <w:numPr>
          <w:ilvl w:val="0"/>
          <w:numId w:val="126"/>
        </w:numPr>
        <w:spacing w:before="0" w:beforeAutospacing="0" w:after="0" w:afterAutospacing="0"/>
        <w:rPr>
          <w:rFonts w:ascii="Arial" w:hAnsi="Arial" w:cs="Arial"/>
        </w:rPr>
      </w:pPr>
      <w:r w:rsidRPr="002B3F36">
        <w:rPr>
          <w:rStyle w:val="affffb"/>
        </w:rPr>
        <w:t>Contracted workers</w:t>
      </w:r>
      <w:r w:rsidRPr="002B3F36">
        <w:rPr>
          <w:rFonts w:ascii="Arial" w:hAnsi="Arial" w:cs="Arial"/>
        </w:rPr>
        <w:t>: Employees of contractors and subcontractors, including skilled operators, drivers, and general construction labor.</w:t>
      </w:r>
    </w:p>
    <w:p w14:paraId="41926B14" w14:textId="1A42A5BD" w:rsidR="00931608" w:rsidRPr="002B3F36" w:rsidRDefault="00931608" w:rsidP="009B4CDB">
      <w:pPr>
        <w:pStyle w:val="aff9"/>
        <w:numPr>
          <w:ilvl w:val="0"/>
          <w:numId w:val="126"/>
        </w:numPr>
        <w:spacing w:before="0" w:beforeAutospacing="0" w:after="0" w:afterAutospacing="0"/>
        <w:rPr>
          <w:rFonts w:ascii="Arial" w:hAnsi="Arial" w:cs="Arial"/>
        </w:rPr>
      </w:pPr>
      <w:r w:rsidRPr="002B3F36">
        <w:rPr>
          <w:rStyle w:val="affffb"/>
        </w:rPr>
        <w:t>Primary supplier workers</w:t>
      </w:r>
      <w:r w:rsidRPr="002B3F36">
        <w:rPr>
          <w:rFonts w:ascii="Arial" w:hAnsi="Arial" w:cs="Arial"/>
        </w:rPr>
        <w:t>: Individuals employed by suppliers of aggregates, steel, cement, equipment, and security services.</w:t>
      </w:r>
    </w:p>
    <w:p w14:paraId="09DD05C0" w14:textId="77777777" w:rsidR="00136493" w:rsidRPr="002B3F36" w:rsidRDefault="00136493" w:rsidP="00136493">
      <w:pPr>
        <w:pStyle w:val="ReportBodyPar"/>
      </w:pPr>
    </w:p>
    <w:p w14:paraId="2922B1D0" w14:textId="77777777" w:rsidR="00931608" w:rsidRPr="002B3F36" w:rsidRDefault="00931608" w:rsidP="005255A2">
      <w:pPr>
        <w:pStyle w:val="DiaList12"/>
        <w:rPr>
          <w:rFonts w:eastAsia="SimSun"/>
          <w:lang w:val="en-PH"/>
        </w:rPr>
      </w:pPr>
      <w:r w:rsidRPr="002B3F36">
        <w:rPr>
          <w:rFonts w:eastAsia="SimSun"/>
          <w:lang w:val="en-PH"/>
        </w:rPr>
        <w:t>Origin of Impacts</w:t>
      </w:r>
    </w:p>
    <w:p w14:paraId="330C4058" w14:textId="77777777" w:rsidR="00931608" w:rsidRPr="002B3F36" w:rsidRDefault="00931608" w:rsidP="00136493">
      <w:pPr>
        <w:pStyle w:val="ReportBodyTextNogap"/>
      </w:pPr>
      <w:r w:rsidRPr="002B3F36">
        <w:t>Key risks and impacts related to labor and working conditions include:</w:t>
      </w:r>
    </w:p>
    <w:p w14:paraId="780D4A41" w14:textId="6B124294" w:rsidR="00931608" w:rsidRPr="002B3F36" w:rsidRDefault="00931608" w:rsidP="009B4CDB">
      <w:pPr>
        <w:pStyle w:val="aff9"/>
        <w:numPr>
          <w:ilvl w:val="0"/>
          <w:numId w:val="127"/>
        </w:numPr>
        <w:spacing w:before="0" w:beforeAutospacing="0" w:after="0" w:afterAutospacing="0"/>
        <w:rPr>
          <w:rFonts w:ascii="Arial" w:hAnsi="Arial" w:cs="Arial"/>
        </w:rPr>
      </w:pPr>
      <w:r w:rsidRPr="002B3F36">
        <w:rPr>
          <w:rStyle w:val="affffb"/>
        </w:rPr>
        <w:t>Labor influx pressures</w:t>
      </w:r>
      <w:r w:rsidRPr="002B3F36">
        <w:rPr>
          <w:rFonts w:ascii="Arial" w:hAnsi="Arial" w:cs="Arial"/>
        </w:rPr>
        <w:t xml:space="preserve"> on water supply, health care, and other essential services, potentially leading to social tensions.</w:t>
      </w:r>
    </w:p>
    <w:p w14:paraId="30E69B19" w14:textId="77777777" w:rsidR="00931608" w:rsidRPr="002B3F36" w:rsidRDefault="00931608" w:rsidP="009B4CDB">
      <w:pPr>
        <w:pStyle w:val="aff9"/>
        <w:numPr>
          <w:ilvl w:val="0"/>
          <w:numId w:val="127"/>
        </w:numPr>
        <w:spacing w:before="0" w:beforeAutospacing="0" w:after="0" w:afterAutospacing="0"/>
        <w:rPr>
          <w:rFonts w:ascii="Arial" w:hAnsi="Arial" w:cs="Arial"/>
        </w:rPr>
      </w:pPr>
      <w:r w:rsidRPr="002B3F36">
        <w:rPr>
          <w:rStyle w:val="affffb"/>
        </w:rPr>
        <w:t>Risks of gender-based violence (GBV)</w:t>
      </w:r>
      <w:r w:rsidRPr="002B3F36">
        <w:rPr>
          <w:rFonts w:ascii="Arial" w:hAnsi="Arial" w:cs="Arial"/>
        </w:rPr>
        <w:t>, sexual exploitation and abuse (SEA), and harassment within and around workers’ camps and host communities.</w:t>
      </w:r>
    </w:p>
    <w:p w14:paraId="19D8CEBF" w14:textId="77777777" w:rsidR="00931608" w:rsidRPr="002B3F36" w:rsidRDefault="00931608" w:rsidP="009B4CDB">
      <w:pPr>
        <w:pStyle w:val="aff9"/>
        <w:numPr>
          <w:ilvl w:val="0"/>
          <w:numId w:val="127"/>
        </w:numPr>
        <w:spacing w:before="0" w:beforeAutospacing="0" w:after="0" w:afterAutospacing="0"/>
        <w:rPr>
          <w:rFonts w:ascii="Arial" w:hAnsi="Arial" w:cs="Arial"/>
        </w:rPr>
      </w:pPr>
      <w:r w:rsidRPr="002B3F36">
        <w:rPr>
          <w:rStyle w:val="affffb"/>
        </w:rPr>
        <w:lastRenderedPageBreak/>
        <w:t>Potential violations of fair labor practices</w:t>
      </w:r>
      <w:r w:rsidRPr="002B3F36">
        <w:rPr>
          <w:rFonts w:ascii="Arial" w:hAnsi="Arial" w:cs="Arial"/>
        </w:rPr>
        <w:t>, such as unpaid overtime, lack of formal contracts, or wage delays, contrary to Kazakhstan’s Labour Code.</w:t>
      </w:r>
    </w:p>
    <w:p w14:paraId="2D8045DC" w14:textId="342EDA06" w:rsidR="00931608" w:rsidRPr="002B3F36" w:rsidRDefault="00931608" w:rsidP="009B4CDB">
      <w:pPr>
        <w:pStyle w:val="aff9"/>
        <w:numPr>
          <w:ilvl w:val="0"/>
          <w:numId w:val="127"/>
        </w:numPr>
        <w:spacing w:before="0" w:beforeAutospacing="0" w:after="0" w:afterAutospacing="0"/>
        <w:rPr>
          <w:rFonts w:ascii="Arial" w:hAnsi="Arial" w:cs="Arial"/>
        </w:rPr>
      </w:pPr>
      <w:r w:rsidRPr="002B3F36">
        <w:rPr>
          <w:rStyle w:val="affffb"/>
        </w:rPr>
        <w:t>Health risks</w:t>
      </w:r>
      <w:r w:rsidRPr="002B3F36">
        <w:rPr>
          <w:rFonts w:ascii="Arial" w:hAnsi="Arial" w:cs="Arial"/>
        </w:rPr>
        <w:t xml:space="preserve"> from communicable diseases, including sexually transmitted infections (STIs), COVID-19</w:t>
      </w:r>
      <w:r w:rsidR="00CD5B2B" w:rsidRPr="002B3F36">
        <w:rPr>
          <w:rFonts w:ascii="Arial" w:hAnsi="Arial" w:cs="Arial"/>
        </w:rPr>
        <w:t xml:space="preserve"> or any future pandemics</w:t>
      </w:r>
      <w:r w:rsidRPr="002B3F36">
        <w:rPr>
          <w:rFonts w:ascii="Arial" w:hAnsi="Arial" w:cs="Arial"/>
        </w:rPr>
        <w:t>, and other transmissible illnesses associated with worker mobility.</w:t>
      </w:r>
    </w:p>
    <w:p w14:paraId="2D04E5E9" w14:textId="347CC47F" w:rsidR="00931608" w:rsidRPr="002B3F36" w:rsidRDefault="00931608" w:rsidP="009B4CDB">
      <w:pPr>
        <w:pStyle w:val="aff9"/>
        <w:numPr>
          <w:ilvl w:val="0"/>
          <w:numId w:val="127"/>
        </w:numPr>
        <w:spacing w:before="0" w:beforeAutospacing="0" w:after="0" w:afterAutospacing="0"/>
        <w:rPr>
          <w:rFonts w:ascii="Arial" w:hAnsi="Arial" w:cs="Arial"/>
        </w:rPr>
      </w:pPr>
      <w:r w:rsidRPr="002B3F36">
        <w:rPr>
          <w:rStyle w:val="affffb"/>
        </w:rPr>
        <w:t>Occupational health and safety (OHS) hazards</w:t>
      </w:r>
      <w:r w:rsidRPr="002B3F36">
        <w:rPr>
          <w:rFonts w:ascii="Arial" w:hAnsi="Arial" w:cs="Arial"/>
        </w:rPr>
        <w:t>, such as exposure to machinery, blasting activities, rail-bed works, and extreme weather conditions typical of the steppe environment.</w:t>
      </w:r>
    </w:p>
    <w:p w14:paraId="318B0D49" w14:textId="77777777" w:rsidR="00136493" w:rsidRPr="002B3F36" w:rsidRDefault="00136493" w:rsidP="00136493">
      <w:pPr>
        <w:pStyle w:val="ReportParagraph"/>
      </w:pPr>
    </w:p>
    <w:p w14:paraId="2FF4DF15" w14:textId="77777777" w:rsidR="00931608" w:rsidRPr="002B3F36" w:rsidRDefault="00931608" w:rsidP="00136493">
      <w:pPr>
        <w:pStyle w:val="DiaList12"/>
        <w:rPr>
          <w:rFonts w:eastAsia="SimSun"/>
          <w:lang w:val="en-PH"/>
        </w:rPr>
      </w:pPr>
      <w:r w:rsidRPr="002B3F36">
        <w:rPr>
          <w:rFonts w:eastAsia="SimSun"/>
          <w:lang w:val="en-PH"/>
        </w:rPr>
        <w:t>Impact Assessment and Mitigation Measures</w:t>
      </w:r>
    </w:p>
    <w:p w14:paraId="601EEE63" w14:textId="256E08A2" w:rsidR="00931608" w:rsidRPr="002B3F36" w:rsidRDefault="00931608" w:rsidP="00136493">
      <w:pPr>
        <w:pStyle w:val="ReportBodyTextNogap"/>
      </w:pPr>
      <w:r w:rsidRPr="002B3F36">
        <w:t xml:space="preserve">While risks are significant, they are </w:t>
      </w:r>
      <w:r w:rsidRPr="002B3F36">
        <w:rPr>
          <w:rStyle w:val="affffb"/>
        </w:rPr>
        <w:t>manageable with appropriate safeguards</w:t>
      </w:r>
      <w:r w:rsidRPr="002B3F36">
        <w:t>. Mitigation will follow PS2 requirements and international good practice, including:</w:t>
      </w:r>
    </w:p>
    <w:p w14:paraId="1DAC29ED" w14:textId="1CFBA3CB"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Implementation of a </w:t>
      </w:r>
      <w:r w:rsidRPr="002B3F36">
        <w:rPr>
          <w:rStyle w:val="affffb"/>
        </w:rPr>
        <w:t>Labor Management Plan (LMP)</w:t>
      </w:r>
      <w:r w:rsidRPr="002B3F36">
        <w:rPr>
          <w:rFonts w:ascii="Arial" w:hAnsi="Arial" w:cs="Arial"/>
        </w:rPr>
        <w:t xml:space="preserve">, ensuring compliance with Kazakhstan’s Labour Code and </w:t>
      </w:r>
      <w:r w:rsidR="00163238" w:rsidRPr="002B3F36">
        <w:rPr>
          <w:rFonts w:ascii="Arial" w:hAnsi="Arial" w:cs="Arial"/>
        </w:rPr>
        <w:t>WB PS</w:t>
      </w:r>
      <w:r w:rsidRPr="002B3F36">
        <w:rPr>
          <w:rFonts w:ascii="Arial" w:hAnsi="Arial" w:cs="Arial"/>
        </w:rPr>
        <w:t>2.</w:t>
      </w:r>
    </w:p>
    <w:p w14:paraId="70D13A64" w14:textId="36911E14"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Provision of </w:t>
      </w:r>
      <w:r w:rsidRPr="002B3F36">
        <w:rPr>
          <w:rStyle w:val="affffb"/>
        </w:rPr>
        <w:t>worker accommodation and welfare facilities</w:t>
      </w:r>
      <w:r w:rsidRPr="002B3F36">
        <w:rPr>
          <w:rFonts w:ascii="Arial" w:hAnsi="Arial" w:cs="Arial"/>
        </w:rPr>
        <w:t xml:space="preserve"> in line with the </w:t>
      </w:r>
      <w:r w:rsidR="00F95BD8" w:rsidRPr="002B3F36">
        <w:rPr>
          <w:rStyle w:val="affffb"/>
        </w:rPr>
        <w:t>WB</w:t>
      </w:r>
      <w:r w:rsidRPr="002B3F36">
        <w:rPr>
          <w:rStyle w:val="affffb"/>
        </w:rPr>
        <w:t>/EBRD Guidance Note on Worker Accommodation (2009)</w:t>
      </w:r>
      <w:r w:rsidRPr="002B3F36">
        <w:rPr>
          <w:rFonts w:ascii="Arial" w:hAnsi="Arial" w:cs="Arial"/>
        </w:rPr>
        <w:t>.</w:t>
      </w:r>
    </w:p>
    <w:p w14:paraId="25BA119B" w14:textId="77777777"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Enforcement of </w:t>
      </w:r>
      <w:r w:rsidRPr="002B3F36">
        <w:rPr>
          <w:rStyle w:val="affffb"/>
        </w:rPr>
        <w:t>OHS standards</w:t>
      </w:r>
      <w:r w:rsidRPr="002B3F36">
        <w:rPr>
          <w:rFonts w:ascii="Arial" w:hAnsi="Arial" w:cs="Arial"/>
        </w:rPr>
        <w:t>, including provision of personal protective equipment (PPE), safety training, hazard communication, and emergency preparedness.</w:t>
      </w:r>
    </w:p>
    <w:p w14:paraId="6E4223C6" w14:textId="77777777"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Establishment of a </w:t>
      </w:r>
      <w:r w:rsidRPr="002B3F36">
        <w:rPr>
          <w:rStyle w:val="affffb"/>
        </w:rPr>
        <w:t>Workers’ Grievance Mechanism</w:t>
      </w:r>
      <w:r w:rsidRPr="002B3F36">
        <w:rPr>
          <w:rFonts w:ascii="Arial" w:hAnsi="Arial" w:cs="Arial"/>
        </w:rPr>
        <w:t>, accessible to direct, contracted, and supplier workers.</w:t>
      </w:r>
    </w:p>
    <w:p w14:paraId="7A63532B" w14:textId="77777777"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Introduction of a </w:t>
      </w:r>
      <w:r w:rsidRPr="002B3F36">
        <w:rPr>
          <w:rStyle w:val="affffb"/>
        </w:rPr>
        <w:t>mandatory Code of Conduct</w:t>
      </w:r>
      <w:r w:rsidRPr="002B3F36">
        <w:rPr>
          <w:rFonts w:ascii="Arial" w:hAnsi="Arial" w:cs="Arial"/>
        </w:rPr>
        <w:t xml:space="preserve"> addressing GBV and SEA prevention, signed and enforced for all workers.</w:t>
      </w:r>
    </w:p>
    <w:p w14:paraId="4F7A9CB8" w14:textId="77777777"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Implementation of </w:t>
      </w:r>
      <w:r w:rsidRPr="002B3F36">
        <w:rPr>
          <w:rStyle w:val="affffb"/>
        </w:rPr>
        <w:t>health screening, awareness programs, and partnerships with local health services</w:t>
      </w:r>
      <w:r w:rsidRPr="002B3F36">
        <w:rPr>
          <w:rFonts w:ascii="Arial" w:hAnsi="Arial" w:cs="Arial"/>
        </w:rPr>
        <w:t xml:space="preserve"> to prevent and manage communicable diseases.</w:t>
      </w:r>
    </w:p>
    <w:p w14:paraId="2DDB21AD" w14:textId="30F1EB5B" w:rsidR="00931608" w:rsidRPr="002B3F36" w:rsidRDefault="00931608" w:rsidP="009B4CDB">
      <w:pPr>
        <w:pStyle w:val="aff9"/>
        <w:numPr>
          <w:ilvl w:val="0"/>
          <w:numId w:val="128"/>
        </w:numPr>
        <w:spacing w:before="0" w:beforeAutospacing="0" w:after="0" w:afterAutospacing="0"/>
        <w:rPr>
          <w:rFonts w:ascii="Arial" w:hAnsi="Arial" w:cs="Arial"/>
        </w:rPr>
      </w:pPr>
      <w:r w:rsidRPr="002B3F36">
        <w:rPr>
          <w:rFonts w:ascii="Arial" w:hAnsi="Arial" w:cs="Arial"/>
        </w:rPr>
        <w:t xml:space="preserve">Regular </w:t>
      </w:r>
      <w:r w:rsidRPr="002B3F36">
        <w:rPr>
          <w:rStyle w:val="affffb"/>
        </w:rPr>
        <w:t>monitoring of contractors and suppliers</w:t>
      </w:r>
      <w:r w:rsidRPr="002B3F36">
        <w:rPr>
          <w:rFonts w:ascii="Arial" w:hAnsi="Arial" w:cs="Arial"/>
        </w:rPr>
        <w:t xml:space="preserve"> to verify compliance with labor and OHS requirements, with corrective actions applied where non-compliance is identified.</w:t>
      </w:r>
    </w:p>
    <w:p w14:paraId="2C7ED026" w14:textId="4BD91F4F" w:rsidR="00136493" w:rsidRPr="002B3F36" w:rsidRDefault="00660F8A" w:rsidP="009B4CDB">
      <w:pPr>
        <w:pStyle w:val="aff9"/>
        <w:numPr>
          <w:ilvl w:val="0"/>
          <w:numId w:val="128"/>
        </w:numPr>
        <w:spacing w:before="0" w:beforeAutospacing="0" w:after="0" w:afterAutospacing="0"/>
        <w:rPr>
          <w:rFonts w:ascii="Arial" w:hAnsi="Arial" w:cs="Arial"/>
        </w:rPr>
      </w:pPr>
      <w:r w:rsidRPr="002B3F36">
        <w:rPr>
          <w:rFonts w:ascii="Arial" w:hAnsi="Arial" w:cs="Arial"/>
        </w:rPr>
        <w:t>In the event of a pandemic outbreak, all workers shall comply with established occupational health and safety (OHS) and infection prevention protocols in accordance with national regulations and international best practice standards</w:t>
      </w:r>
    </w:p>
    <w:p w14:paraId="6C851E1E" w14:textId="77777777" w:rsidR="002B774D" w:rsidRPr="002B3F36" w:rsidRDefault="002B774D" w:rsidP="00CE7B42">
      <w:pPr>
        <w:pStyle w:val="ReportParagraph"/>
      </w:pPr>
    </w:p>
    <w:p w14:paraId="4AA7B3BA" w14:textId="13E25289" w:rsidR="00931608" w:rsidRPr="002B3F36" w:rsidRDefault="00931608" w:rsidP="00CE7B42">
      <w:pPr>
        <w:pStyle w:val="ReportParagraph"/>
      </w:pPr>
      <w:r w:rsidRPr="002B3F36">
        <w:t xml:space="preserve">By embedding these measures, the Project will safeguard worker rights, protect community well-being, and create a </w:t>
      </w:r>
      <w:r w:rsidRPr="002B3F36">
        <w:rPr>
          <w:rStyle w:val="affffb"/>
        </w:rPr>
        <w:t>safe, fair, and equitable working environment</w:t>
      </w:r>
      <w:r w:rsidRPr="002B3F36">
        <w:t xml:space="preserve"> consistent with PS2.</w:t>
      </w:r>
    </w:p>
    <w:p w14:paraId="33C32676" w14:textId="77777777" w:rsidR="00F61F8E" w:rsidRPr="002B3F36" w:rsidRDefault="00F61F8E" w:rsidP="00CE7B42">
      <w:pPr>
        <w:pStyle w:val="ReportParagraph"/>
      </w:pPr>
    </w:p>
    <w:p w14:paraId="7347E873" w14:textId="5DB7698E" w:rsidR="00300ED9" w:rsidRPr="002B3F36" w:rsidRDefault="00290873" w:rsidP="006501B7">
      <w:pPr>
        <w:pStyle w:val="CaptionTable"/>
      </w:pPr>
      <w:bookmarkStart w:id="2258" w:name="_Toc169094904"/>
      <w:bookmarkStart w:id="2259" w:name="_Toc210589576"/>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32</w:t>
      </w:r>
      <w:r w:rsidR="00CF113E" w:rsidRPr="002B3F36">
        <w:fldChar w:fldCharType="end"/>
      </w:r>
      <w:r w:rsidR="00DE0226" w:rsidRPr="002B3F36">
        <w:t>: Labor Impacts and Risks</w:t>
      </w:r>
      <w:bookmarkEnd w:id="2258"/>
      <w:r w:rsidR="00300ED9" w:rsidRPr="002B3F36">
        <w:t xml:space="preserve"> (Pre-Construction and Construction Phase)</w:t>
      </w:r>
      <w:bookmarkEnd w:id="2259"/>
    </w:p>
    <w:tbl>
      <w:tblPr>
        <w:tblStyle w:val="TableGrid2"/>
        <w:tblW w:w="0" w:type="auto"/>
        <w:tblLook w:val="04A0" w:firstRow="1" w:lastRow="0" w:firstColumn="1" w:lastColumn="0" w:noHBand="0" w:noVBand="1"/>
      </w:tblPr>
      <w:tblGrid>
        <w:gridCol w:w="2023"/>
        <w:gridCol w:w="2062"/>
        <w:gridCol w:w="2282"/>
        <w:gridCol w:w="3343"/>
      </w:tblGrid>
      <w:tr w:rsidR="00300ED9" w:rsidRPr="002B3F36" w14:paraId="2FAF5469" w14:textId="77777777" w:rsidTr="00836C3B">
        <w:trPr>
          <w:tblHeader/>
        </w:trPr>
        <w:tc>
          <w:tcPr>
            <w:tcW w:w="0" w:type="auto"/>
            <w:shd w:val="clear" w:color="auto" w:fill="F2F2F2" w:themeFill="background1" w:themeFillShade="F2"/>
            <w:hideMark/>
          </w:tcPr>
          <w:p w14:paraId="6CB76F72" w14:textId="77777777" w:rsidR="00300ED9" w:rsidRPr="002B3F36" w:rsidRDefault="00300ED9" w:rsidP="00300ED9">
            <w:pPr>
              <w:jc w:val="center"/>
              <w:rPr>
                <w:rFonts w:ascii="Arial" w:eastAsia="Times New Roman" w:hAnsi="Arial" w:cs="Arial"/>
                <w:b/>
                <w:bCs/>
                <w:sz w:val="20"/>
                <w:szCs w:val="20"/>
              </w:rPr>
            </w:pPr>
            <w:r w:rsidRPr="002B3F36">
              <w:rPr>
                <w:rFonts w:ascii="Arial" w:eastAsia="Times New Roman" w:hAnsi="Arial" w:cs="Arial"/>
                <w:b/>
                <w:bCs/>
                <w:sz w:val="20"/>
                <w:szCs w:val="20"/>
              </w:rPr>
              <w:t>Sub-Category</w:t>
            </w:r>
          </w:p>
        </w:tc>
        <w:tc>
          <w:tcPr>
            <w:tcW w:w="0" w:type="auto"/>
            <w:shd w:val="clear" w:color="auto" w:fill="F2F2F2" w:themeFill="background1" w:themeFillShade="F2"/>
            <w:hideMark/>
          </w:tcPr>
          <w:p w14:paraId="543B641F" w14:textId="77777777" w:rsidR="00300ED9" w:rsidRPr="002B3F36" w:rsidRDefault="00300ED9" w:rsidP="00300ED9">
            <w:pPr>
              <w:jc w:val="center"/>
              <w:rPr>
                <w:rFonts w:ascii="Arial" w:eastAsia="Times New Roman" w:hAnsi="Arial" w:cs="Arial"/>
                <w:b/>
                <w:bCs/>
                <w:sz w:val="20"/>
                <w:szCs w:val="20"/>
              </w:rPr>
            </w:pPr>
            <w:r w:rsidRPr="002B3F36">
              <w:rPr>
                <w:rFonts w:ascii="Arial" w:eastAsia="Times New Roman" w:hAnsi="Arial" w:cs="Arial"/>
                <w:b/>
                <w:bCs/>
                <w:sz w:val="20"/>
                <w:szCs w:val="20"/>
              </w:rPr>
              <w:t>Worker Impacts / Risks</w:t>
            </w:r>
          </w:p>
        </w:tc>
        <w:tc>
          <w:tcPr>
            <w:tcW w:w="0" w:type="auto"/>
            <w:shd w:val="clear" w:color="auto" w:fill="F2F2F2" w:themeFill="background1" w:themeFillShade="F2"/>
            <w:hideMark/>
          </w:tcPr>
          <w:p w14:paraId="057CCEE9" w14:textId="77777777" w:rsidR="00300ED9" w:rsidRPr="002B3F36" w:rsidRDefault="00300ED9" w:rsidP="00300ED9">
            <w:pPr>
              <w:jc w:val="center"/>
              <w:rPr>
                <w:rFonts w:ascii="Arial" w:eastAsia="Times New Roman" w:hAnsi="Arial" w:cs="Arial"/>
                <w:b/>
                <w:bCs/>
                <w:sz w:val="20"/>
                <w:szCs w:val="20"/>
              </w:rPr>
            </w:pPr>
            <w:r w:rsidRPr="002B3F36">
              <w:rPr>
                <w:rFonts w:ascii="Arial" w:eastAsia="Times New Roman" w:hAnsi="Arial" w:cs="Arial"/>
                <w:b/>
                <w:bCs/>
                <w:sz w:val="20"/>
                <w:szCs w:val="20"/>
              </w:rPr>
              <w:t>Project Impacts / Risks</w:t>
            </w:r>
          </w:p>
        </w:tc>
        <w:tc>
          <w:tcPr>
            <w:tcW w:w="0" w:type="auto"/>
            <w:shd w:val="clear" w:color="auto" w:fill="F2F2F2" w:themeFill="background1" w:themeFillShade="F2"/>
            <w:hideMark/>
          </w:tcPr>
          <w:p w14:paraId="201A655D" w14:textId="77777777" w:rsidR="00300ED9" w:rsidRPr="002B3F36" w:rsidRDefault="00300ED9" w:rsidP="00300ED9">
            <w:pPr>
              <w:jc w:val="center"/>
              <w:rPr>
                <w:rFonts w:ascii="Arial" w:eastAsia="Times New Roman" w:hAnsi="Arial" w:cs="Arial"/>
                <w:b/>
                <w:bCs/>
                <w:sz w:val="20"/>
                <w:szCs w:val="20"/>
              </w:rPr>
            </w:pPr>
            <w:r w:rsidRPr="002B3F36">
              <w:rPr>
                <w:rFonts w:ascii="Arial" w:eastAsia="Times New Roman" w:hAnsi="Arial" w:cs="Arial"/>
                <w:b/>
                <w:bCs/>
                <w:sz w:val="20"/>
                <w:szCs w:val="20"/>
              </w:rPr>
              <w:t>Mitigation Measures (aligned with PS2, PS4)</w:t>
            </w:r>
          </w:p>
        </w:tc>
      </w:tr>
      <w:tr w:rsidR="00300ED9" w:rsidRPr="002B3F36" w14:paraId="0C2B1ABD" w14:textId="77777777" w:rsidTr="00836C3B">
        <w:tc>
          <w:tcPr>
            <w:tcW w:w="0" w:type="auto"/>
            <w:hideMark/>
          </w:tcPr>
          <w:p w14:paraId="74461FC0"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Direct Workers – Recruitment &amp; Selection</w:t>
            </w:r>
          </w:p>
        </w:tc>
        <w:tc>
          <w:tcPr>
            <w:tcW w:w="0" w:type="auto"/>
            <w:hideMark/>
          </w:tcPr>
          <w:p w14:paraId="413D0043"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Perceptions of unfair recruitment and favoritism; risk of child labor if not screened.</w:t>
            </w:r>
          </w:p>
        </w:tc>
        <w:tc>
          <w:tcPr>
            <w:tcW w:w="0" w:type="auto"/>
            <w:hideMark/>
          </w:tcPr>
          <w:p w14:paraId="5C3FD963"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Community tensions, work stoppages, reputational risks.</w:t>
            </w:r>
          </w:p>
        </w:tc>
        <w:tc>
          <w:tcPr>
            <w:tcW w:w="0" w:type="auto"/>
            <w:hideMark/>
          </w:tcPr>
          <w:p w14:paraId="18839D02"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Develop and apply a transparent </w:t>
            </w:r>
            <w:r w:rsidRPr="002B3F36">
              <w:rPr>
                <w:rFonts w:ascii="Arial" w:eastAsia="Times New Roman" w:hAnsi="Arial" w:cs="Arial"/>
                <w:b/>
                <w:bCs/>
                <w:sz w:val="20"/>
                <w:szCs w:val="20"/>
              </w:rPr>
              <w:t>HR and recruitment policy</w:t>
            </w:r>
            <w:r w:rsidRPr="002B3F36">
              <w:rPr>
                <w:rFonts w:ascii="Arial" w:eastAsia="Times New Roman" w:hAnsi="Arial" w:cs="Arial"/>
                <w:sz w:val="20"/>
                <w:szCs w:val="20"/>
              </w:rPr>
              <w:t>, including: selection criteria, recruitment methods and locations, transparency clauses, compliance with Kazakhstan Labor Code, and prohibition of child/forced labor. Prioritize local hiring where feasible.</w:t>
            </w:r>
          </w:p>
        </w:tc>
      </w:tr>
      <w:tr w:rsidR="00300ED9" w:rsidRPr="002B3F36" w14:paraId="4D0D3C25" w14:textId="77777777" w:rsidTr="00836C3B">
        <w:tc>
          <w:tcPr>
            <w:tcW w:w="0" w:type="auto"/>
            <w:hideMark/>
          </w:tcPr>
          <w:p w14:paraId="6CAD834C"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Conditions of Employment</w:t>
            </w:r>
          </w:p>
        </w:tc>
        <w:tc>
          <w:tcPr>
            <w:tcW w:w="0" w:type="auto"/>
            <w:hideMark/>
          </w:tcPr>
          <w:p w14:paraId="5792F51E"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Perceptions that foreigners are paid more; dissatisfaction with contracts and benefits.</w:t>
            </w:r>
          </w:p>
        </w:tc>
        <w:tc>
          <w:tcPr>
            <w:tcW w:w="0" w:type="auto"/>
            <w:hideMark/>
          </w:tcPr>
          <w:p w14:paraId="3BD25923"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Industrial action (strikes, absenteeism, sabotage); loss of productivity.</w:t>
            </w:r>
          </w:p>
        </w:tc>
        <w:tc>
          <w:tcPr>
            <w:tcW w:w="0" w:type="auto"/>
            <w:hideMark/>
          </w:tcPr>
          <w:p w14:paraId="0FB27A5F"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Ensure </w:t>
            </w:r>
            <w:r w:rsidRPr="002B3F36">
              <w:rPr>
                <w:rFonts w:ascii="Arial" w:eastAsia="Times New Roman" w:hAnsi="Arial" w:cs="Arial"/>
                <w:b/>
                <w:bCs/>
                <w:sz w:val="20"/>
                <w:szCs w:val="20"/>
              </w:rPr>
              <w:t>equal pay for equal work</w:t>
            </w:r>
            <w:r w:rsidRPr="002B3F36">
              <w:rPr>
                <w:rFonts w:ascii="Arial" w:eastAsia="Times New Roman" w:hAnsi="Arial" w:cs="Arial"/>
                <w:sz w:val="20"/>
                <w:szCs w:val="20"/>
              </w:rPr>
              <w:t xml:space="preserve">; written contracts for all workers; wage surveys benchmarked against industry standards; clear pay review system. Implement a </w:t>
            </w:r>
            <w:r w:rsidRPr="002B3F36">
              <w:rPr>
                <w:rFonts w:ascii="Arial" w:eastAsia="Times New Roman" w:hAnsi="Arial" w:cs="Arial"/>
                <w:b/>
                <w:bCs/>
                <w:sz w:val="20"/>
                <w:szCs w:val="20"/>
              </w:rPr>
              <w:t>worker grievance mechanism</w:t>
            </w:r>
            <w:r w:rsidRPr="002B3F36">
              <w:rPr>
                <w:rFonts w:ascii="Arial" w:eastAsia="Times New Roman" w:hAnsi="Arial" w:cs="Arial"/>
                <w:sz w:val="20"/>
                <w:szCs w:val="20"/>
              </w:rPr>
              <w:t>.</w:t>
            </w:r>
          </w:p>
        </w:tc>
      </w:tr>
      <w:tr w:rsidR="00300ED9" w:rsidRPr="002B3F36" w14:paraId="76E57599" w14:textId="77777777" w:rsidTr="00836C3B">
        <w:tc>
          <w:tcPr>
            <w:tcW w:w="0" w:type="auto"/>
            <w:hideMark/>
          </w:tcPr>
          <w:p w14:paraId="0FC922AC"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lastRenderedPageBreak/>
              <w:t>Labor Relations – Cultural Diversity</w:t>
            </w:r>
          </w:p>
        </w:tc>
        <w:tc>
          <w:tcPr>
            <w:tcW w:w="0" w:type="auto"/>
            <w:hideMark/>
          </w:tcPr>
          <w:p w14:paraId="3243E20C"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Distrust or discrimination between ethnic/national groups; harassment risks.</w:t>
            </w:r>
          </w:p>
        </w:tc>
        <w:tc>
          <w:tcPr>
            <w:tcW w:w="0" w:type="auto"/>
            <w:hideMark/>
          </w:tcPr>
          <w:p w14:paraId="7143BDB9"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Conflict between groups; violence or work stoppages; foreign workers leaving.</w:t>
            </w:r>
          </w:p>
        </w:tc>
        <w:tc>
          <w:tcPr>
            <w:tcW w:w="0" w:type="auto"/>
            <w:hideMark/>
          </w:tcPr>
          <w:p w14:paraId="4ED25A77"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Induction and ongoing </w:t>
            </w:r>
            <w:r w:rsidRPr="002B3F36">
              <w:rPr>
                <w:rFonts w:ascii="Arial" w:eastAsia="Times New Roman" w:hAnsi="Arial" w:cs="Arial"/>
                <w:b/>
                <w:bCs/>
                <w:sz w:val="20"/>
                <w:szCs w:val="20"/>
              </w:rPr>
              <w:t>cultural awareness training</w:t>
            </w:r>
            <w:r w:rsidRPr="002B3F36">
              <w:rPr>
                <w:rFonts w:ascii="Arial" w:eastAsia="Times New Roman" w:hAnsi="Arial" w:cs="Arial"/>
                <w:sz w:val="20"/>
                <w:szCs w:val="20"/>
              </w:rPr>
              <w:t xml:space="preserve">; enforce a </w:t>
            </w:r>
            <w:r w:rsidRPr="002B3F36">
              <w:rPr>
                <w:rFonts w:ascii="Arial" w:eastAsia="Times New Roman" w:hAnsi="Arial" w:cs="Arial"/>
                <w:b/>
                <w:bCs/>
                <w:sz w:val="20"/>
                <w:szCs w:val="20"/>
              </w:rPr>
              <w:t>Code of Conduct</w:t>
            </w:r>
            <w:r w:rsidRPr="002B3F36">
              <w:rPr>
                <w:rFonts w:ascii="Arial" w:eastAsia="Times New Roman" w:hAnsi="Arial" w:cs="Arial"/>
                <w:sz w:val="20"/>
                <w:szCs w:val="20"/>
              </w:rPr>
              <w:t xml:space="preserve"> (non-discrimination, harassment prevention, respect for cultural/religious practices); compulsory training for supervisors.</w:t>
            </w:r>
          </w:p>
        </w:tc>
      </w:tr>
      <w:tr w:rsidR="00300ED9" w:rsidRPr="002B3F36" w14:paraId="6CAFA708" w14:textId="77777777" w:rsidTr="00836C3B">
        <w:tc>
          <w:tcPr>
            <w:tcW w:w="0" w:type="auto"/>
            <w:hideMark/>
          </w:tcPr>
          <w:p w14:paraId="5BDD5DC6"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Labor Relations – Conflict Handling</w:t>
            </w:r>
          </w:p>
        </w:tc>
        <w:tc>
          <w:tcPr>
            <w:tcW w:w="0" w:type="auto"/>
            <w:hideMark/>
          </w:tcPr>
          <w:p w14:paraId="5663640C"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Workers unaware of rules, grievance options, or disciplinary procedures.</w:t>
            </w:r>
          </w:p>
        </w:tc>
        <w:tc>
          <w:tcPr>
            <w:tcW w:w="0" w:type="auto"/>
            <w:hideMark/>
          </w:tcPr>
          <w:p w14:paraId="3E020883"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Industrial action; escalation to violence; disruption of project schedule.</w:t>
            </w:r>
          </w:p>
        </w:tc>
        <w:tc>
          <w:tcPr>
            <w:tcW w:w="0" w:type="auto"/>
            <w:hideMark/>
          </w:tcPr>
          <w:p w14:paraId="6F0D4F7F"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Establish and communicate </w:t>
            </w:r>
            <w:r w:rsidRPr="002B3F36">
              <w:rPr>
                <w:rFonts w:ascii="Arial" w:eastAsia="Times New Roman" w:hAnsi="Arial" w:cs="Arial"/>
                <w:b/>
                <w:bCs/>
                <w:sz w:val="20"/>
                <w:szCs w:val="20"/>
              </w:rPr>
              <w:t>worker grievance mechanism</w:t>
            </w:r>
            <w:r w:rsidRPr="002B3F36">
              <w:rPr>
                <w:rFonts w:ascii="Arial" w:eastAsia="Times New Roman" w:hAnsi="Arial" w:cs="Arial"/>
                <w:sz w:val="20"/>
                <w:szCs w:val="20"/>
              </w:rPr>
              <w:t>, disciplinary procedures, and industrial action handling protocols. Provide induction training; appoint female grievance focal points; track indicators for conflict management.</w:t>
            </w:r>
          </w:p>
        </w:tc>
      </w:tr>
      <w:tr w:rsidR="00300ED9" w:rsidRPr="002B3F36" w14:paraId="54CDC51B" w14:textId="77777777" w:rsidTr="00836C3B">
        <w:tc>
          <w:tcPr>
            <w:tcW w:w="0" w:type="auto"/>
            <w:hideMark/>
          </w:tcPr>
          <w:p w14:paraId="29A7CD54"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Labor Relations – Worker Engagement</w:t>
            </w:r>
          </w:p>
        </w:tc>
        <w:tc>
          <w:tcPr>
            <w:tcW w:w="0" w:type="auto"/>
            <w:hideMark/>
          </w:tcPr>
          <w:p w14:paraId="257CC6E4"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Lack of communication about project issues; misinformation spreads.</w:t>
            </w:r>
          </w:p>
        </w:tc>
        <w:tc>
          <w:tcPr>
            <w:tcW w:w="0" w:type="auto"/>
            <w:hideMark/>
          </w:tcPr>
          <w:p w14:paraId="3EE6D539"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Rumors and low morale; reduced productivity; potential strikes.</w:t>
            </w:r>
          </w:p>
        </w:tc>
        <w:tc>
          <w:tcPr>
            <w:tcW w:w="0" w:type="auto"/>
            <w:hideMark/>
          </w:tcPr>
          <w:p w14:paraId="388EAE9E"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Establish </w:t>
            </w:r>
            <w:r w:rsidRPr="002B3F36">
              <w:rPr>
                <w:rFonts w:ascii="Arial" w:eastAsia="Times New Roman" w:hAnsi="Arial" w:cs="Arial"/>
                <w:b/>
                <w:bCs/>
                <w:sz w:val="20"/>
                <w:szCs w:val="20"/>
              </w:rPr>
              <w:t>worker engagement mechanisms</w:t>
            </w:r>
            <w:r w:rsidRPr="002B3F36">
              <w:rPr>
                <w:rFonts w:ascii="Arial" w:eastAsia="Times New Roman" w:hAnsi="Arial" w:cs="Arial"/>
                <w:sz w:val="20"/>
                <w:szCs w:val="20"/>
              </w:rPr>
              <w:t>: worker committees, notice boards, toolbox talks, regular briefings. Guarantee workers’ right to unionize or join representative bodies.</w:t>
            </w:r>
          </w:p>
        </w:tc>
      </w:tr>
      <w:tr w:rsidR="00300ED9" w:rsidRPr="002B3F36" w14:paraId="21C4174F" w14:textId="77777777" w:rsidTr="00836C3B">
        <w:tc>
          <w:tcPr>
            <w:tcW w:w="0" w:type="auto"/>
            <w:hideMark/>
          </w:tcPr>
          <w:p w14:paraId="750F7140"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Retrenchment</w:t>
            </w:r>
          </w:p>
        </w:tc>
        <w:tc>
          <w:tcPr>
            <w:tcW w:w="0" w:type="auto"/>
            <w:hideMark/>
          </w:tcPr>
          <w:p w14:paraId="6C789949"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Loss of jobs; household income shocks; reduced welfare.</w:t>
            </w:r>
          </w:p>
        </w:tc>
        <w:tc>
          <w:tcPr>
            <w:tcW w:w="0" w:type="auto"/>
            <w:hideMark/>
          </w:tcPr>
          <w:p w14:paraId="699D7B3B"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Social unrest, security risks, sabotage, disruption to operations.</w:t>
            </w:r>
          </w:p>
        </w:tc>
        <w:tc>
          <w:tcPr>
            <w:tcW w:w="0" w:type="auto"/>
            <w:hideMark/>
          </w:tcPr>
          <w:p w14:paraId="598D6E0F"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Develop a </w:t>
            </w:r>
            <w:r w:rsidRPr="002B3F36">
              <w:rPr>
                <w:rFonts w:ascii="Arial" w:eastAsia="Times New Roman" w:hAnsi="Arial" w:cs="Arial"/>
                <w:b/>
                <w:bCs/>
                <w:sz w:val="20"/>
                <w:szCs w:val="20"/>
              </w:rPr>
              <w:t>Retrenchment Plan</w:t>
            </w:r>
            <w:r w:rsidRPr="002B3F36">
              <w:rPr>
                <w:rFonts w:ascii="Arial" w:eastAsia="Times New Roman" w:hAnsi="Arial" w:cs="Arial"/>
                <w:sz w:val="20"/>
                <w:szCs w:val="20"/>
              </w:rPr>
              <w:t>: staggered approach, transparent communication, retraining/skills support, grievance channels, consultation with families and communities. Apply consistent retrenchment packages.</w:t>
            </w:r>
          </w:p>
        </w:tc>
      </w:tr>
      <w:tr w:rsidR="00300ED9" w:rsidRPr="002B3F36" w14:paraId="0C226B81" w14:textId="77777777" w:rsidTr="00836C3B">
        <w:tc>
          <w:tcPr>
            <w:tcW w:w="0" w:type="auto"/>
            <w:hideMark/>
          </w:tcPr>
          <w:p w14:paraId="7ABEEDB7"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Current RMD Workers (40–50 staff)</w:t>
            </w:r>
          </w:p>
        </w:tc>
        <w:tc>
          <w:tcPr>
            <w:tcW w:w="0" w:type="auto"/>
            <w:hideMark/>
          </w:tcPr>
          <w:p w14:paraId="09B27248"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Loss of employment for existing maintenance workers.</w:t>
            </w:r>
          </w:p>
        </w:tc>
        <w:tc>
          <w:tcPr>
            <w:tcW w:w="0" w:type="auto"/>
            <w:hideMark/>
          </w:tcPr>
          <w:p w14:paraId="1DD6DDBE"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Strikes, sabotage, reputational risk.</w:t>
            </w:r>
          </w:p>
        </w:tc>
        <w:tc>
          <w:tcPr>
            <w:tcW w:w="0" w:type="auto"/>
            <w:hideMark/>
          </w:tcPr>
          <w:p w14:paraId="57059498"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Temporarily redeploy existing RMD staff to other rail sections (e.g., RMD-42 Topar, RMD-44 Zhezkazgan, RMD-43 Zhana-Arka). Ensure retraining and fair treatment.</w:t>
            </w:r>
          </w:p>
        </w:tc>
      </w:tr>
      <w:tr w:rsidR="00300ED9" w:rsidRPr="002B3F36" w14:paraId="2CFCC197" w14:textId="77777777" w:rsidTr="00836C3B">
        <w:tc>
          <w:tcPr>
            <w:tcW w:w="0" w:type="auto"/>
            <w:hideMark/>
          </w:tcPr>
          <w:p w14:paraId="1F82F700"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Contract Workers (including subcontractors)</w:t>
            </w:r>
          </w:p>
        </w:tc>
        <w:tc>
          <w:tcPr>
            <w:tcW w:w="0" w:type="auto"/>
            <w:hideMark/>
          </w:tcPr>
          <w:p w14:paraId="7E4A8B3F"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Perceived unfair hiring; lack of direct contracts; poor working conditions.</w:t>
            </w:r>
          </w:p>
        </w:tc>
        <w:tc>
          <w:tcPr>
            <w:tcW w:w="0" w:type="auto"/>
            <w:hideMark/>
          </w:tcPr>
          <w:p w14:paraId="0CCCDE56"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Worker unrest; low productivity; reputational damage.</w:t>
            </w:r>
          </w:p>
        </w:tc>
        <w:tc>
          <w:tcPr>
            <w:tcW w:w="0" w:type="auto"/>
            <w:hideMark/>
          </w:tcPr>
          <w:p w14:paraId="2A7A32D4"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Contractors must use </w:t>
            </w:r>
            <w:r w:rsidRPr="002B3F36">
              <w:rPr>
                <w:rFonts w:ascii="Arial" w:eastAsia="Times New Roman" w:hAnsi="Arial" w:cs="Arial"/>
                <w:b/>
                <w:bCs/>
                <w:sz w:val="20"/>
                <w:szCs w:val="20"/>
              </w:rPr>
              <w:t>reputable recruitment agencies</w:t>
            </w:r>
            <w:r w:rsidRPr="002B3F36">
              <w:rPr>
                <w:rFonts w:ascii="Arial" w:eastAsia="Times New Roman" w:hAnsi="Arial" w:cs="Arial"/>
                <w:sz w:val="20"/>
                <w:szCs w:val="20"/>
              </w:rPr>
              <w:t xml:space="preserve"> or direct hire; ensure </w:t>
            </w:r>
            <w:r w:rsidRPr="002B3F36">
              <w:rPr>
                <w:rFonts w:ascii="Arial" w:eastAsia="Times New Roman" w:hAnsi="Arial" w:cs="Arial"/>
                <w:b/>
                <w:bCs/>
                <w:sz w:val="20"/>
                <w:szCs w:val="20"/>
              </w:rPr>
              <w:t>written contracts</w:t>
            </w:r>
            <w:r w:rsidRPr="002B3F36">
              <w:rPr>
                <w:rFonts w:ascii="Arial" w:eastAsia="Times New Roman" w:hAnsi="Arial" w:cs="Arial"/>
                <w:sz w:val="20"/>
                <w:szCs w:val="20"/>
              </w:rPr>
              <w:t xml:space="preserve"> in worker’s language; pay directly to workers, not intermediaries; monitor subcontractor compliance.</w:t>
            </w:r>
          </w:p>
        </w:tc>
      </w:tr>
      <w:tr w:rsidR="00300ED9" w:rsidRPr="002B3F36" w14:paraId="57FD61D3" w14:textId="77777777" w:rsidTr="00836C3B">
        <w:tc>
          <w:tcPr>
            <w:tcW w:w="0" w:type="auto"/>
            <w:hideMark/>
          </w:tcPr>
          <w:p w14:paraId="779B77C6"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Foreign Workers</w:t>
            </w:r>
          </w:p>
        </w:tc>
        <w:tc>
          <w:tcPr>
            <w:tcW w:w="0" w:type="auto"/>
            <w:hideMark/>
          </w:tcPr>
          <w:p w14:paraId="224ED06E"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Language and cultural barriers; unfamiliarity with safety laws; risk of isolation.</w:t>
            </w:r>
          </w:p>
        </w:tc>
        <w:tc>
          <w:tcPr>
            <w:tcW w:w="0" w:type="auto"/>
            <w:hideMark/>
          </w:tcPr>
          <w:p w14:paraId="449EDC36"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Miscommunication, safety incidents, or integration issues.</w:t>
            </w:r>
          </w:p>
        </w:tc>
        <w:tc>
          <w:tcPr>
            <w:tcW w:w="0" w:type="auto"/>
            <w:hideMark/>
          </w:tcPr>
          <w:p w14:paraId="1D72CBB3"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Provide </w:t>
            </w:r>
            <w:r w:rsidRPr="002B3F36">
              <w:rPr>
                <w:rFonts w:ascii="Arial" w:eastAsia="Times New Roman" w:hAnsi="Arial" w:cs="Arial"/>
                <w:b/>
                <w:bCs/>
                <w:sz w:val="20"/>
                <w:szCs w:val="20"/>
              </w:rPr>
              <w:t>language support and interpreters</w:t>
            </w:r>
            <w:r w:rsidRPr="002B3F36">
              <w:rPr>
                <w:rFonts w:ascii="Arial" w:eastAsia="Times New Roman" w:hAnsi="Arial" w:cs="Arial"/>
                <w:sz w:val="20"/>
                <w:szCs w:val="20"/>
              </w:rPr>
              <w:t xml:space="preserve">; adapt training materials; conduct </w:t>
            </w:r>
            <w:r w:rsidRPr="002B3F36">
              <w:rPr>
                <w:rFonts w:ascii="Arial" w:eastAsia="Times New Roman" w:hAnsi="Arial" w:cs="Arial"/>
                <w:b/>
                <w:bCs/>
                <w:sz w:val="20"/>
                <w:szCs w:val="20"/>
              </w:rPr>
              <w:t>cultural sensitivity training</w:t>
            </w:r>
            <w:r w:rsidRPr="002B3F36">
              <w:rPr>
                <w:rFonts w:ascii="Arial" w:eastAsia="Times New Roman" w:hAnsi="Arial" w:cs="Arial"/>
                <w:sz w:val="20"/>
                <w:szCs w:val="20"/>
              </w:rPr>
              <w:t>; provide orientation on Kazakhstan OHS and labor laws; assign dedicated safety officers.</w:t>
            </w:r>
          </w:p>
        </w:tc>
      </w:tr>
      <w:tr w:rsidR="00300ED9" w:rsidRPr="002B3F36" w14:paraId="378CD411" w14:textId="77777777" w:rsidTr="00836C3B">
        <w:tc>
          <w:tcPr>
            <w:tcW w:w="0" w:type="auto"/>
            <w:hideMark/>
          </w:tcPr>
          <w:p w14:paraId="2E9EC6A7"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Accommodation &amp; Camps</w:t>
            </w:r>
          </w:p>
        </w:tc>
        <w:tc>
          <w:tcPr>
            <w:tcW w:w="0" w:type="auto"/>
            <w:hideMark/>
          </w:tcPr>
          <w:p w14:paraId="1C37B6D5"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Sub-standard housing; poor camp management; lack of recreation; food not culturally appropriate.</w:t>
            </w:r>
          </w:p>
        </w:tc>
        <w:tc>
          <w:tcPr>
            <w:tcW w:w="0" w:type="auto"/>
            <w:hideMark/>
          </w:tcPr>
          <w:p w14:paraId="206DCBC5"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Low morale, conflict, industrial action; health and safety risks.</w:t>
            </w:r>
          </w:p>
        </w:tc>
        <w:tc>
          <w:tcPr>
            <w:tcW w:w="0" w:type="auto"/>
            <w:hideMark/>
          </w:tcPr>
          <w:p w14:paraId="2F2EF57F" w14:textId="783BB7E9"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Camps built to RoK Order #KP ДСМ-67 (26 July 2022) and </w:t>
            </w:r>
            <w:r w:rsidR="00F95BD8" w:rsidRPr="002B3F36">
              <w:rPr>
                <w:rFonts w:ascii="Arial" w:eastAsia="Times New Roman" w:hAnsi="Arial" w:cs="Arial"/>
                <w:sz w:val="20"/>
                <w:szCs w:val="20"/>
              </w:rPr>
              <w:t>WB</w:t>
            </w:r>
            <w:r w:rsidRPr="002B3F36">
              <w:rPr>
                <w:rFonts w:ascii="Arial" w:eastAsia="Times New Roman" w:hAnsi="Arial" w:cs="Arial"/>
                <w:sz w:val="20"/>
                <w:szCs w:val="20"/>
              </w:rPr>
              <w:t>/EBRD Worker Accommodation Guidelines. Provide adequate sanitation, potable water, culturally appropriate food, recreation, and separate male/female accommodation. Establish camp grievance system and camp committees.</w:t>
            </w:r>
          </w:p>
        </w:tc>
      </w:tr>
      <w:tr w:rsidR="00300ED9" w:rsidRPr="002B3F36" w14:paraId="39EA8BF1" w14:textId="77777777" w:rsidTr="00836C3B">
        <w:tc>
          <w:tcPr>
            <w:tcW w:w="0" w:type="auto"/>
            <w:hideMark/>
          </w:tcPr>
          <w:p w14:paraId="30B05C3B"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lastRenderedPageBreak/>
              <w:t>Camp Security</w:t>
            </w:r>
          </w:p>
        </w:tc>
        <w:tc>
          <w:tcPr>
            <w:tcW w:w="0" w:type="auto"/>
            <w:hideMark/>
          </w:tcPr>
          <w:p w14:paraId="78CF04EB"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Harassment or abuse by security personnel; human rights concerns.</w:t>
            </w:r>
          </w:p>
        </w:tc>
        <w:tc>
          <w:tcPr>
            <w:tcW w:w="0" w:type="auto"/>
            <w:hideMark/>
          </w:tcPr>
          <w:p w14:paraId="38FCA222"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Tensions with workers and local communities; human rights claims.</w:t>
            </w:r>
          </w:p>
        </w:tc>
        <w:tc>
          <w:tcPr>
            <w:tcW w:w="0" w:type="auto"/>
            <w:hideMark/>
          </w:tcPr>
          <w:p w14:paraId="4EE4C872"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Train security staff in </w:t>
            </w:r>
            <w:r w:rsidRPr="002B3F36">
              <w:rPr>
                <w:rFonts w:ascii="Arial" w:eastAsia="Times New Roman" w:hAnsi="Arial" w:cs="Arial"/>
                <w:b/>
                <w:bCs/>
                <w:sz w:val="20"/>
                <w:szCs w:val="20"/>
              </w:rPr>
              <w:t>Voluntary Principles on Security and Human Rights</w:t>
            </w:r>
            <w:r w:rsidRPr="002B3F36">
              <w:rPr>
                <w:rFonts w:ascii="Arial" w:eastAsia="Times New Roman" w:hAnsi="Arial" w:cs="Arial"/>
                <w:sz w:val="20"/>
                <w:szCs w:val="20"/>
              </w:rPr>
              <w:t>; prohibit past offenders; enforce non-violent conduct. Monitor interactions with workers and communities.</w:t>
            </w:r>
          </w:p>
        </w:tc>
      </w:tr>
      <w:tr w:rsidR="00300ED9" w:rsidRPr="002B3F36" w14:paraId="3A071518" w14:textId="77777777" w:rsidTr="00836C3B">
        <w:tc>
          <w:tcPr>
            <w:tcW w:w="0" w:type="auto"/>
            <w:hideMark/>
          </w:tcPr>
          <w:p w14:paraId="76075DCF"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b/>
                <w:bCs/>
                <w:sz w:val="20"/>
                <w:szCs w:val="20"/>
              </w:rPr>
              <w:t>Community Relations (due to camps and labor influx)</w:t>
            </w:r>
          </w:p>
        </w:tc>
        <w:tc>
          <w:tcPr>
            <w:tcW w:w="0" w:type="auto"/>
            <w:hideMark/>
          </w:tcPr>
          <w:p w14:paraId="13A6D66C"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Worker-community conflicts; pressure on local services; GBV/SEA risks.</w:t>
            </w:r>
          </w:p>
        </w:tc>
        <w:tc>
          <w:tcPr>
            <w:tcW w:w="0" w:type="auto"/>
            <w:hideMark/>
          </w:tcPr>
          <w:p w14:paraId="027CA968"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Blockades, reputational damage, social unrest.</w:t>
            </w:r>
          </w:p>
        </w:tc>
        <w:tc>
          <w:tcPr>
            <w:tcW w:w="0" w:type="auto"/>
            <w:hideMark/>
          </w:tcPr>
          <w:p w14:paraId="037BA8CB" w14:textId="77777777" w:rsidR="00300ED9" w:rsidRPr="002B3F36" w:rsidRDefault="00300ED9" w:rsidP="00300ED9">
            <w:pPr>
              <w:rPr>
                <w:rFonts w:ascii="Arial" w:eastAsia="Times New Roman" w:hAnsi="Arial" w:cs="Arial"/>
                <w:sz w:val="20"/>
                <w:szCs w:val="20"/>
              </w:rPr>
            </w:pPr>
            <w:r w:rsidRPr="002B3F36">
              <w:rPr>
                <w:rFonts w:ascii="Arial" w:eastAsia="Times New Roman" w:hAnsi="Arial" w:cs="Arial"/>
                <w:sz w:val="20"/>
                <w:szCs w:val="20"/>
              </w:rPr>
              <w:t xml:space="preserve">Limit unnecessary worker-community interactions; provide </w:t>
            </w:r>
            <w:r w:rsidRPr="002B3F36">
              <w:rPr>
                <w:rFonts w:ascii="Arial" w:eastAsia="Times New Roman" w:hAnsi="Arial" w:cs="Arial"/>
                <w:b/>
                <w:bCs/>
                <w:sz w:val="20"/>
                <w:szCs w:val="20"/>
              </w:rPr>
              <w:t>GBV/SEA Action Plan</w:t>
            </w:r>
            <w:r w:rsidRPr="002B3F36">
              <w:rPr>
                <w:rFonts w:ascii="Arial" w:eastAsia="Times New Roman" w:hAnsi="Arial" w:cs="Arial"/>
                <w:sz w:val="20"/>
                <w:szCs w:val="20"/>
              </w:rPr>
              <w:t xml:space="preserve">; implement cultural awareness programs; maintain strict camp management; establish </w:t>
            </w:r>
            <w:r w:rsidRPr="002B3F36">
              <w:rPr>
                <w:rFonts w:ascii="Arial" w:eastAsia="Times New Roman" w:hAnsi="Arial" w:cs="Arial"/>
                <w:b/>
                <w:bCs/>
                <w:sz w:val="20"/>
                <w:szCs w:val="20"/>
              </w:rPr>
              <w:t>community grievance mechanism</w:t>
            </w:r>
            <w:r w:rsidRPr="002B3F36">
              <w:rPr>
                <w:rFonts w:ascii="Arial" w:eastAsia="Times New Roman" w:hAnsi="Arial" w:cs="Arial"/>
                <w:sz w:val="20"/>
                <w:szCs w:val="20"/>
              </w:rPr>
              <w:t>.</w:t>
            </w:r>
          </w:p>
        </w:tc>
      </w:tr>
    </w:tbl>
    <w:p w14:paraId="40C14530" w14:textId="77777777" w:rsidR="00F61F8E" w:rsidRPr="002B3F36" w:rsidRDefault="00F61F8E" w:rsidP="002F16EB">
      <w:pPr>
        <w:pStyle w:val="ReportBodyPar"/>
      </w:pPr>
    </w:p>
    <w:p w14:paraId="51881C33" w14:textId="7CC756F8" w:rsidR="00F61F8E" w:rsidRPr="002B3F36" w:rsidRDefault="000F264B">
      <w:pPr>
        <w:pStyle w:val="ReportBodyPar"/>
      </w:pPr>
      <w:bookmarkStart w:id="2260" w:name="_Hlk210157395"/>
      <w:r w:rsidRPr="002B3F36">
        <w:t>Since workers can be provided some briefings prior to commencement of work to avoid, eliminate or resolve conflicts, the impacts (in terms of the “Labor Influx and Labor Conditions”) may be “moderate</w:t>
      </w:r>
      <w:r w:rsidR="00B17ADB" w:rsidRPr="002B3F36">
        <w:t>”</w:t>
      </w:r>
      <w:r w:rsidRPr="002B3F36">
        <w:t xml:space="preserve"> </w:t>
      </w:r>
      <w:r w:rsidR="00837535" w:rsidRPr="002B3F36">
        <w:t xml:space="preserve">in significance. </w:t>
      </w:r>
      <w:r w:rsidR="00837535" w:rsidRPr="002B3F36">
        <w:rPr>
          <w:rStyle w:val="affffb"/>
          <w:b w:val="0"/>
        </w:rPr>
        <w:t>(i.e., within applicable standards but nearing thresholds where additional controls are prudent)</w:t>
      </w:r>
      <w:r w:rsidR="00837535" w:rsidRPr="002B3F36">
        <w:t xml:space="preserve">. </w:t>
      </w:r>
      <w:r w:rsidR="00A1447A" w:rsidRPr="002B3F36">
        <w:t>However, the risk can be substantial if unmanaged, as weak HR practices, poor camp discipline, or lack of supervision could escalate impacts toward major significance. To keep impacts as low as reasonably practicable (ALARP), the contractor should apply strong preventive measures—clear Codes of Conduct, fair recruitment, robust worker GRM, and effective camp management—so that residual effects remain closer to minor or negligible significance</w:t>
      </w:r>
    </w:p>
    <w:bookmarkEnd w:id="2260"/>
    <w:p w14:paraId="6DAEC197" w14:textId="77777777" w:rsidR="00F61F8E" w:rsidRPr="002B3F36" w:rsidRDefault="00F61F8E" w:rsidP="002F16EB">
      <w:pPr>
        <w:pStyle w:val="ReportBodyPar"/>
        <w:rPr>
          <w:lang w:val="en-PH"/>
        </w:rPr>
      </w:pPr>
    </w:p>
    <w:p w14:paraId="6445C1BA" w14:textId="485D0B14" w:rsidR="00F61F8E" w:rsidRPr="002B3F36" w:rsidRDefault="000F264B" w:rsidP="00701F4F">
      <w:pPr>
        <w:pStyle w:val="41"/>
      </w:pPr>
      <w:bookmarkStart w:id="2261" w:name="_Toc168413556"/>
      <w:bookmarkStart w:id="2262" w:name="_Toc168414896"/>
      <w:bookmarkStart w:id="2263" w:name="_Toc168494518"/>
      <w:bookmarkStart w:id="2264" w:name="_Toc168538031"/>
      <w:bookmarkStart w:id="2265" w:name="_Toc168548372"/>
      <w:bookmarkStart w:id="2266" w:name="_Toc168413557"/>
      <w:bookmarkStart w:id="2267" w:name="_Toc168414897"/>
      <w:bookmarkStart w:id="2268" w:name="_Toc168494519"/>
      <w:bookmarkStart w:id="2269" w:name="_Toc168538032"/>
      <w:bookmarkStart w:id="2270" w:name="_Toc168548373"/>
      <w:bookmarkStart w:id="2271" w:name="_Toc168413558"/>
      <w:bookmarkStart w:id="2272" w:name="_Toc168414898"/>
      <w:bookmarkStart w:id="2273" w:name="_Toc168494520"/>
      <w:bookmarkStart w:id="2274" w:name="_Toc168538033"/>
      <w:bookmarkStart w:id="2275" w:name="_Toc168548374"/>
      <w:bookmarkStart w:id="2276" w:name="_Toc168413559"/>
      <w:bookmarkStart w:id="2277" w:name="_Toc168414899"/>
      <w:bookmarkStart w:id="2278" w:name="_Toc168494521"/>
      <w:bookmarkStart w:id="2279" w:name="_Toc168538034"/>
      <w:bookmarkStart w:id="2280" w:name="_Toc168548375"/>
      <w:bookmarkStart w:id="2281" w:name="_Toc168413560"/>
      <w:bookmarkStart w:id="2282" w:name="_Toc168414900"/>
      <w:bookmarkStart w:id="2283" w:name="_Toc168494522"/>
      <w:bookmarkStart w:id="2284" w:name="_Toc168538035"/>
      <w:bookmarkStart w:id="2285" w:name="_Toc168548376"/>
      <w:bookmarkStart w:id="2286" w:name="_Toc168413561"/>
      <w:bookmarkStart w:id="2287" w:name="_Toc168414901"/>
      <w:bookmarkStart w:id="2288" w:name="_Toc168494523"/>
      <w:bookmarkStart w:id="2289" w:name="_Toc168538036"/>
      <w:bookmarkStart w:id="2290" w:name="_Toc168548377"/>
      <w:bookmarkStart w:id="2291" w:name="_Toc168413562"/>
      <w:bookmarkStart w:id="2292" w:name="_Toc168414902"/>
      <w:bookmarkStart w:id="2293" w:name="_Toc168494524"/>
      <w:bookmarkStart w:id="2294" w:name="_Toc168538037"/>
      <w:bookmarkStart w:id="2295" w:name="_Toc168548378"/>
      <w:bookmarkStart w:id="2296" w:name="_Toc168413563"/>
      <w:bookmarkStart w:id="2297" w:name="_Toc168414903"/>
      <w:bookmarkStart w:id="2298" w:name="_Toc168494525"/>
      <w:bookmarkStart w:id="2299" w:name="_Toc168538038"/>
      <w:bookmarkStart w:id="2300" w:name="_Toc168548379"/>
      <w:bookmarkStart w:id="2301" w:name="_Hlk168213039"/>
      <w:bookmarkStart w:id="2302" w:name="_Toc169094777"/>
      <w:bookmarkStart w:id="2303" w:name="_Toc208973860"/>
      <w:bookmarkStart w:id="2304" w:name="_Toc208974060"/>
      <w:bookmarkStart w:id="2305" w:name="_Toc208974260"/>
      <w:bookmarkStart w:id="2306" w:name="_Toc208974462"/>
      <w:bookmarkStart w:id="2307" w:name="_Toc208974668"/>
      <w:bookmarkStart w:id="2308" w:name="_Toc210589503"/>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r w:rsidRPr="002B3F36">
        <w:t>Occupational Health and Safety Hazard</w:t>
      </w:r>
      <w:bookmarkEnd w:id="2301"/>
      <w:bookmarkEnd w:id="2302"/>
      <w:bookmarkEnd w:id="2303"/>
      <w:bookmarkEnd w:id="2304"/>
      <w:bookmarkEnd w:id="2305"/>
      <w:bookmarkEnd w:id="2306"/>
      <w:bookmarkEnd w:id="2307"/>
      <w:bookmarkEnd w:id="2308"/>
    </w:p>
    <w:p w14:paraId="577FCCB5" w14:textId="51F71B13" w:rsidR="00E6148A" w:rsidRPr="002B3F36" w:rsidRDefault="00E6148A" w:rsidP="00CE7B42">
      <w:pPr>
        <w:pStyle w:val="ReportParagraph"/>
      </w:pPr>
      <w:r w:rsidRPr="002B3F36">
        <w:t xml:space="preserve">For the </w:t>
      </w:r>
      <w:r w:rsidRPr="002B3F36">
        <w:rPr>
          <w:rStyle w:val="affffb"/>
        </w:rPr>
        <w:t>Mointy–Kyzylzhar Railway Project</w:t>
      </w:r>
      <w:r w:rsidRPr="002B3F36">
        <w:t>, Occupational Health and Safety (OHS) risks are significant due to the scale and complexity of works. Activities such as large-scale earthworks, bridge and culvert construction, operation of heavy mobile plant, hot works, electrical installation, working at height, handling of hazardous materials, and exposure to extreme weather conditions present critical safety challenges.</w:t>
      </w:r>
    </w:p>
    <w:p w14:paraId="0FD69287" w14:textId="77777777" w:rsidR="00CE7B42" w:rsidRPr="002B3F36" w:rsidRDefault="00CE7B42" w:rsidP="00CE7B42">
      <w:pPr>
        <w:pStyle w:val="ReportParagraph"/>
      </w:pPr>
    </w:p>
    <w:p w14:paraId="5CDD2D6B" w14:textId="1A91D2B9" w:rsidR="00E6148A" w:rsidRPr="002B3F36" w:rsidRDefault="00E6148A" w:rsidP="00CE7B42">
      <w:pPr>
        <w:pStyle w:val="ReportParagraph"/>
      </w:pPr>
      <w:r w:rsidRPr="002B3F36">
        <w:t xml:space="preserve">Consistent with </w:t>
      </w:r>
      <w:r w:rsidR="00F95BD8" w:rsidRPr="002B3F36">
        <w:rPr>
          <w:rStyle w:val="affffb"/>
        </w:rPr>
        <w:t>WB</w:t>
      </w:r>
      <w:r w:rsidRPr="002B3F36">
        <w:rPr>
          <w:rStyle w:val="affffb"/>
        </w:rPr>
        <w:t xml:space="preserve"> Performance Standard 2 (Labor and Working Conditions)</w:t>
      </w:r>
      <w:r w:rsidRPr="002B3F36">
        <w:t xml:space="preserve">, the Contractor will be required to establish and implement a proportionate </w:t>
      </w:r>
      <w:r w:rsidRPr="002B3F36">
        <w:rPr>
          <w:rStyle w:val="affffb"/>
        </w:rPr>
        <w:t>Occupational Health and Safety Management System (OHSMS)</w:t>
      </w:r>
      <w:r w:rsidRPr="002B3F36">
        <w:t xml:space="preserve">. This system must be fully compliant with the </w:t>
      </w:r>
      <w:r w:rsidRPr="002B3F36">
        <w:rPr>
          <w:rStyle w:val="affffb"/>
        </w:rPr>
        <w:t>Republic of Kazakhstan (RoK) Labor Code</w:t>
      </w:r>
      <w:r w:rsidRPr="002B3F36">
        <w:t xml:space="preserve"> and aligned with </w:t>
      </w:r>
      <w:r w:rsidRPr="002B3F36">
        <w:rPr>
          <w:rStyle w:val="affffb"/>
        </w:rPr>
        <w:t>Good International Industry Practice (GIIP)</w:t>
      </w:r>
      <w:r w:rsidRPr="002B3F36">
        <w:t xml:space="preserve">, including the </w:t>
      </w:r>
      <w:r w:rsidRPr="002B3F36">
        <w:rPr>
          <w:rStyle w:val="affffb"/>
        </w:rPr>
        <w:t>WB General EHS Guidelines (2007)</w:t>
      </w:r>
      <w:r w:rsidRPr="002B3F36">
        <w:t xml:space="preserve"> and the </w:t>
      </w:r>
      <w:r w:rsidRPr="002B3F36">
        <w:rPr>
          <w:rStyle w:val="affffb"/>
        </w:rPr>
        <w:t>EHS Guidelines for Railways (2007)</w:t>
      </w:r>
      <w:r w:rsidRPr="002B3F36">
        <w:t>.</w:t>
      </w:r>
    </w:p>
    <w:p w14:paraId="10241F79" w14:textId="77777777" w:rsidR="00CE7B42" w:rsidRPr="002B3F36" w:rsidRDefault="00CE7B42" w:rsidP="00CE7B42">
      <w:pPr>
        <w:pStyle w:val="ReportParagraph"/>
      </w:pPr>
    </w:p>
    <w:p w14:paraId="2C2450C4" w14:textId="77777777" w:rsidR="00E6148A" w:rsidRPr="002B3F36" w:rsidRDefault="00E6148A" w:rsidP="00CE7B42">
      <w:pPr>
        <w:pStyle w:val="ReportParagraph"/>
      </w:pPr>
      <w:r w:rsidRPr="002B3F36">
        <w:t xml:space="preserve">All workers must be employed under </w:t>
      </w:r>
      <w:r w:rsidRPr="002B3F36">
        <w:rPr>
          <w:rStyle w:val="affffb"/>
        </w:rPr>
        <w:t>written contracts</w:t>
      </w:r>
      <w:r w:rsidRPr="002B3F36">
        <w:t xml:space="preserve"> consistent with RoK law and PS2, with explicit provisions covering:</w:t>
      </w:r>
    </w:p>
    <w:p w14:paraId="083B4274" w14:textId="77777777" w:rsidR="00E6148A" w:rsidRPr="002B3F36" w:rsidRDefault="00E6148A" w:rsidP="009B4CDB">
      <w:pPr>
        <w:pStyle w:val="aff9"/>
        <w:numPr>
          <w:ilvl w:val="0"/>
          <w:numId w:val="129"/>
        </w:numPr>
        <w:spacing w:before="0" w:beforeAutospacing="0" w:after="0" w:afterAutospacing="0"/>
        <w:rPr>
          <w:rFonts w:ascii="Arial" w:hAnsi="Arial" w:cs="Arial"/>
        </w:rPr>
      </w:pPr>
      <w:r w:rsidRPr="002B3F36">
        <w:rPr>
          <w:rFonts w:ascii="Arial" w:hAnsi="Arial" w:cs="Arial"/>
        </w:rPr>
        <w:t>Safe working conditions and OHS protections;</w:t>
      </w:r>
    </w:p>
    <w:p w14:paraId="6471080C" w14:textId="77777777" w:rsidR="00E6148A" w:rsidRPr="002B3F36" w:rsidRDefault="00E6148A" w:rsidP="009B4CDB">
      <w:pPr>
        <w:pStyle w:val="aff9"/>
        <w:numPr>
          <w:ilvl w:val="0"/>
          <w:numId w:val="129"/>
        </w:numPr>
        <w:spacing w:before="0" w:beforeAutospacing="0" w:after="0" w:afterAutospacing="0"/>
        <w:rPr>
          <w:rFonts w:ascii="Arial" w:hAnsi="Arial" w:cs="Arial"/>
        </w:rPr>
      </w:pPr>
      <w:r w:rsidRPr="002B3F36">
        <w:rPr>
          <w:rFonts w:ascii="Arial" w:hAnsi="Arial" w:cs="Arial"/>
        </w:rPr>
        <w:t xml:space="preserve">Provision and mandatory use of </w:t>
      </w:r>
      <w:r w:rsidRPr="002B3F36">
        <w:rPr>
          <w:rStyle w:val="affffb"/>
        </w:rPr>
        <w:t>personal protective equipment (PPE)</w:t>
      </w:r>
      <w:r w:rsidRPr="002B3F36">
        <w:rPr>
          <w:rFonts w:ascii="Arial" w:hAnsi="Arial" w:cs="Arial"/>
        </w:rPr>
        <w:t>;</w:t>
      </w:r>
    </w:p>
    <w:p w14:paraId="5F4E9F21" w14:textId="77777777" w:rsidR="00E6148A" w:rsidRPr="002B3F36" w:rsidRDefault="00E6148A" w:rsidP="009B4CDB">
      <w:pPr>
        <w:pStyle w:val="aff9"/>
        <w:numPr>
          <w:ilvl w:val="0"/>
          <w:numId w:val="129"/>
        </w:numPr>
        <w:spacing w:before="0" w:beforeAutospacing="0" w:after="0" w:afterAutospacing="0"/>
        <w:rPr>
          <w:rFonts w:ascii="Arial" w:hAnsi="Arial" w:cs="Arial"/>
        </w:rPr>
      </w:pPr>
      <w:r w:rsidRPr="002B3F36">
        <w:rPr>
          <w:rFonts w:ascii="Arial" w:hAnsi="Arial" w:cs="Arial"/>
        </w:rPr>
        <w:t>Defined rest periods and fair compensation;</w:t>
      </w:r>
    </w:p>
    <w:p w14:paraId="663BAEF8" w14:textId="77777777" w:rsidR="00E6148A" w:rsidRPr="002B3F36" w:rsidRDefault="00E6148A" w:rsidP="009B4CDB">
      <w:pPr>
        <w:pStyle w:val="aff9"/>
        <w:numPr>
          <w:ilvl w:val="0"/>
          <w:numId w:val="129"/>
        </w:numPr>
        <w:spacing w:before="0" w:beforeAutospacing="0" w:after="0" w:afterAutospacing="0"/>
        <w:rPr>
          <w:rFonts w:ascii="Arial" w:hAnsi="Arial" w:cs="Arial"/>
        </w:rPr>
      </w:pPr>
      <w:r w:rsidRPr="002B3F36">
        <w:rPr>
          <w:rFonts w:ascii="Arial" w:hAnsi="Arial" w:cs="Arial"/>
        </w:rPr>
        <w:t>Access to medical support and first-aid facilities;</w:t>
      </w:r>
    </w:p>
    <w:p w14:paraId="1AB45536" w14:textId="5D825750" w:rsidR="00E6148A" w:rsidRPr="002B3F36" w:rsidRDefault="00E6148A" w:rsidP="009B4CDB">
      <w:pPr>
        <w:pStyle w:val="aff9"/>
        <w:numPr>
          <w:ilvl w:val="0"/>
          <w:numId w:val="129"/>
        </w:numPr>
        <w:spacing w:before="0" w:beforeAutospacing="0" w:after="0" w:afterAutospacing="0"/>
        <w:rPr>
          <w:rFonts w:ascii="Arial" w:hAnsi="Arial" w:cs="Arial"/>
        </w:rPr>
      </w:pPr>
      <w:r w:rsidRPr="002B3F36">
        <w:rPr>
          <w:rFonts w:ascii="Arial" w:hAnsi="Arial" w:cs="Arial"/>
        </w:rPr>
        <w:t xml:space="preserve">Access to a </w:t>
      </w:r>
      <w:r w:rsidRPr="002B3F36">
        <w:rPr>
          <w:rStyle w:val="affffb"/>
        </w:rPr>
        <w:t>workers’ grievance mechanism</w:t>
      </w:r>
      <w:r w:rsidRPr="002B3F36">
        <w:rPr>
          <w:rFonts w:ascii="Arial" w:hAnsi="Arial" w:cs="Arial"/>
        </w:rPr>
        <w:t xml:space="preserve"> without fear of retaliation.</w:t>
      </w:r>
    </w:p>
    <w:p w14:paraId="6C5C7858" w14:textId="77777777" w:rsidR="00CE7B42" w:rsidRPr="002B3F36" w:rsidRDefault="00CE7B42" w:rsidP="00CE7B42">
      <w:pPr>
        <w:pStyle w:val="ReportParagraph"/>
      </w:pPr>
    </w:p>
    <w:p w14:paraId="1335A86D" w14:textId="77777777" w:rsidR="00E6148A" w:rsidRPr="002B3F36" w:rsidRDefault="00E6148A" w:rsidP="00CE7B42">
      <w:pPr>
        <w:pStyle w:val="DiaList12"/>
        <w:rPr>
          <w:rFonts w:eastAsia="SimSun"/>
          <w:lang w:val="en-PH"/>
        </w:rPr>
      </w:pPr>
      <w:r w:rsidRPr="002B3F36">
        <w:rPr>
          <w:rFonts w:eastAsia="SimSun"/>
          <w:lang w:val="en-PH"/>
        </w:rPr>
        <w:t>Origin of Impacts / Risk Assessment Approach</w:t>
      </w:r>
    </w:p>
    <w:p w14:paraId="0C8B0CBB" w14:textId="25FF367E" w:rsidR="00E6148A" w:rsidRPr="002B3F36" w:rsidRDefault="00E6148A" w:rsidP="00CE7B42">
      <w:pPr>
        <w:pStyle w:val="ReportParagraph"/>
      </w:pPr>
      <w:r w:rsidRPr="002B3F36">
        <w:t xml:space="preserve">OHS risks are anticipated along the </w:t>
      </w:r>
      <w:r w:rsidRPr="002B3F36">
        <w:rPr>
          <w:rStyle w:val="affffb"/>
        </w:rPr>
        <w:t>linear corridor</w:t>
      </w:r>
      <w:r w:rsidRPr="002B3F36">
        <w:t xml:space="preserve"> and at associated facilities such as quarries, borrow pits, batching and crushing plants, workers’ camps, and access roads. To manage these risks, the Contractor will conduct </w:t>
      </w:r>
      <w:r w:rsidRPr="002B3F36">
        <w:rPr>
          <w:rStyle w:val="affffb"/>
        </w:rPr>
        <w:t xml:space="preserve">task-specific Hazard Identification and </w:t>
      </w:r>
      <w:r w:rsidRPr="002B3F36">
        <w:rPr>
          <w:rStyle w:val="affffb"/>
        </w:rPr>
        <w:lastRenderedPageBreak/>
        <w:t>Risk Assessments (HIRA)</w:t>
      </w:r>
      <w:r w:rsidRPr="002B3F36">
        <w:t xml:space="preserve"> and apply a </w:t>
      </w:r>
      <w:r w:rsidRPr="002B3F36">
        <w:rPr>
          <w:rStyle w:val="affffb"/>
        </w:rPr>
        <w:t>permit-to-work system</w:t>
      </w:r>
      <w:r w:rsidRPr="002B3F36">
        <w:t xml:space="preserve"> for high-risk activities including hot works, confined space entry, lifting operations, energized works, and working at height. The results of these assessments will inform </w:t>
      </w:r>
      <w:r w:rsidRPr="002B3F36">
        <w:rPr>
          <w:rStyle w:val="affffb"/>
        </w:rPr>
        <w:t>method statements, toolbox talks, and daily briefings</w:t>
      </w:r>
      <w:r w:rsidRPr="002B3F36">
        <w:t>, ensuring that hazards are clearly communicated to the workforce.</w:t>
      </w:r>
    </w:p>
    <w:p w14:paraId="4ADA593D" w14:textId="77777777" w:rsidR="00CE7B42" w:rsidRPr="002B3F36" w:rsidRDefault="00CE7B42" w:rsidP="00CE7B42">
      <w:pPr>
        <w:pStyle w:val="ReportParagraph"/>
      </w:pPr>
    </w:p>
    <w:p w14:paraId="4D741F13" w14:textId="77777777" w:rsidR="00E6148A" w:rsidRPr="002B3F36" w:rsidRDefault="00E6148A" w:rsidP="00CE7B42">
      <w:pPr>
        <w:pStyle w:val="DiaList12"/>
        <w:rPr>
          <w:rFonts w:eastAsia="SimSun"/>
          <w:lang w:val="en-PH"/>
        </w:rPr>
      </w:pPr>
      <w:r w:rsidRPr="002B3F36">
        <w:rPr>
          <w:rFonts w:eastAsia="SimSun"/>
          <w:lang w:val="en-PH"/>
        </w:rPr>
        <w:t>Implementation and Oversight</w:t>
      </w:r>
    </w:p>
    <w:p w14:paraId="7AD8FE21" w14:textId="708A8A90" w:rsidR="00E6148A" w:rsidRPr="002B3F36" w:rsidRDefault="00E6148A" w:rsidP="00CE7B42">
      <w:pPr>
        <w:pStyle w:val="ReportParagraph"/>
      </w:pPr>
      <w:r w:rsidRPr="002B3F36">
        <w:t xml:space="preserve">The Contractor will prepare a dedicated </w:t>
      </w:r>
      <w:r w:rsidRPr="002B3F36">
        <w:rPr>
          <w:rStyle w:val="affffb"/>
        </w:rPr>
        <w:t>Occupational Health and Safety Plan (OHSP)</w:t>
      </w:r>
      <w:r w:rsidRPr="002B3F36">
        <w:t xml:space="preserve"> as part of the </w:t>
      </w:r>
      <w:r w:rsidRPr="002B3F36">
        <w:rPr>
          <w:rStyle w:val="affffb"/>
        </w:rPr>
        <w:t>Contractor’s Environmental and Social Management Plan (C-ESMP)</w:t>
      </w:r>
      <w:r w:rsidRPr="002B3F36">
        <w:t xml:space="preserve">. This OHSP will be subject to review and approval by the Engineer and continuous monitoring by the </w:t>
      </w:r>
      <w:r w:rsidR="00BD3FAA" w:rsidRPr="002B3F36">
        <w:t>Client</w:t>
      </w:r>
      <w:r w:rsidRPr="002B3F36">
        <w:t>’s E&amp;S/OHS staff. Compliance will be enforced through:</w:t>
      </w:r>
    </w:p>
    <w:p w14:paraId="719A3D35" w14:textId="77777777" w:rsidR="00E6148A" w:rsidRPr="002B3F36" w:rsidRDefault="00E6148A" w:rsidP="009B4CDB">
      <w:pPr>
        <w:pStyle w:val="aff9"/>
        <w:numPr>
          <w:ilvl w:val="0"/>
          <w:numId w:val="130"/>
        </w:numPr>
        <w:spacing w:before="0" w:beforeAutospacing="0"/>
        <w:rPr>
          <w:rFonts w:ascii="Arial" w:hAnsi="Arial" w:cs="Arial"/>
        </w:rPr>
      </w:pPr>
      <w:r w:rsidRPr="002B3F36">
        <w:rPr>
          <w:rFonts w:ascii="Arial" w:hAnsi="Arial" w:cs="Arial"/>
        </w:rPr>
        <w:t>Regular inspections and site audits;</w:t>
      </w:r>
    </w:p>
    <w:p w14:paraId="452B18F5" w14:textId="77777777" w:rsidR="00E6148A" w:rsidRPr="002B3F36" w:rsidRDefault="00E6148A" w:rsidP="009B4CDB">
      <w:pPr>
        <w:pStyle w:val="aff9"/>
        <w:numPr>
          <w:ilvl w:val="0"/>
          <w:numId w:val="130"/>
        </w:numPr>
        <w:rPr>
          <w:rFonts w:ascii="Arial" w:hAnsi="Arial" w:cs="Arial"/>
        </w:rPr>
      </w:pPr>
      <w:r w:rsidRPr="002B3F36">
        <w:rPr>
          <w:rFonts w:ascii="Arial" w:hAnsi="Arial" w:cs="Arial"/>
        </w:rPr>
        <w:t>Mandatory incident and near-miss reporting;</w:t>
      </w:r>
    </w:p>
    <w:p w14:paraId="21694ED7" w14:textId="77777777" w:rsidR="00E6148A" w:rsidRPr="002B3F36" w:rsidRDefault="00E6148A" w:rsidP="009B4CDB">
      <w:pPr>
        <w:pStyle w:val="aff9"/>
        <w:numPr>
          <w:ilvl w:val="0"/>
          <w:numId w:val="130"/>
        </w:numPr>
        <w:rPr>
          <w:rFonts w:ascii="Arial" w:hAnsi="Arial" w:cs="Arial"/>
        </w:rPr>
      </w:pPr>
      <w:r w:rsidRPr="002B3F36">
        <w:rPr>
          <w:rFonts w:ascii="Arial" w:hAnsi="Arial" w:cs="Arial"/>
        </w:rPr>
        <w:t>Corrective and preventive actions (CAPA) for identified non-conformances;</w:t>
      </w:r>
    </w:p>
    <w:p w14:paraId="60024DCB" w14:textId="3F02D936" w:rsidR="00E6148A" w:rsidRPr="002B3F36" w:rsidRDefault="00E6148A" w:rsidP="009B4CDB">
      <w:pPr>
        <w:pStyle w:val="aff9"/>
        <w:numPr>
          <w:ilvl w:val="0"/>
          <w:numId w:val="130"/>
        </w:numPr>
        <w:rPr>
          <w:rFonts w:ascii="Arial" w:hAnsi="Arial" w:cs="Arial"/>
        </w:rPr>
      </w:pPr>
      <w:r w:rsidRPr="002B3F36">
        <w:rPr>
          <w:rFonts w:ascii="Arial" w:hAnsi="Arial" w:cs="Arial"/>
        </w:rPr>
        <w:t>Periodic management reviews to ensure continuous improvement.</w:t>
      </w:r>
    </w:p>
    <w:p w14:paraId="4244BB4F" w14:textId="0A37DE57" w:rsidR="00F61F8E" w:rsidRPr="002B3F36" w:rsidRDefault="00E6148A" w:rsidP="00CE7B42">
      <w:pPr>
        <w:pStyle w:val="ReportParagraph"/>
      </w:pPr>
      <w:r w:rsidRPr="002B3F36">
        <w:rPr>
          <w:rStyle w:val="ReportBodyTextNogapChar"/>
        </w:rPr>
        <w:t>Through this structured approach, the Project will ensure that OHS risks are systematically identified, controlled, and monitored, thereby safeguarding the workforce and ensuring</w:t>
      </w:r>
      <w:r w:rsidRPr="002B3F36">
        <w:t xml:space="preserve"> compliance with national legislation and international standards.</w:t>
      </w:r>
      <w:r w:rsidR="00264F8C" w:rsidRPr="002B3F36">
        <w:t xml:space="preserve"> The Pre-construction &amp; Construction OHS Impacts/Risks and Mitigation Measures are summarized in the table below.</w:t>
      </w:r>
    </w:p>
    <w:p w14:paraId="77B207DF" w14:textId="77777777" w:rsidR="00CE7B42" w:rsidRPr="002B3F36" w:rsidRDefault="00CE7B42" w:rsidP="00CE7B42">
      <w:pPr>
        <w:pStyle w:val="ReportParagraph"/>
      </w:pPr>
    </w:p>
    <w:p w14:paraId="61D28F48" w14:textId="3C58866A" w:rsidR="00F61F8E" w:rsidRPr="002B3F36" w:rsidRDefault="00290873" w:rsidP="00047090">
      <w:pPr>
        <w:pStyle w:val="CaptionTable"/>
      </w:pPr>
      <w:bookmarkStart w:id="2309" w:name="_Toc169094905"/>
      <w:bookmarkStart w:id="2310" w:name="_Toc210589577"/>
      <w:r w:rsidRPr="002B3F36">
        <w:t xml:space="preserve">Table </w:t>
      </w:r>
      <w:r w:rsidR="00CF113E" w:rsidRPr="002B3F36">
        <w:fldChar w:fldCharType="begin"/>
      </w:r>
      <w:r w:rsidR="00CF113E" w:rsidRPr="002B3F36">
        <w:rPr>
          <w:noProof/>
        </w:rPr>
        <w:instrText xml:space="preserve"> SEQ Table \* ARABIC </w:instrText>
      </w:r>
      <w:r w:rsidR="00CF113E" w:rsidRPr="002B3F36">
        <w:fldChar w:fldCharType="separate"/>
      </w:r>
      <w:r w:rsidR="00A023DA">
        <w:rPr>
          <w:noProof/>
        </w:rPr>
        <w:t>33</w:t>
      </w:r>
      <w:r w:rsidR="00CF113E" w:rsidRPr="002B3F36">
        <w:fldChar w:fldCharType="end"/>
      </w:r>
      <w:r w:rsidR="00DE0226" w:rsidRPr="002B3F36">
        <w:t>: OHS Impacts/Risks and Mitigation Measures</w:t>
      </w:r>
      <w:bookmarkEnd w:id="2309"/>
      <w:bookmarkEnd w:id="2310"/>
      <w:r w:rsidR="00300ED9" w:rsidRPr="002B3F36">
        <w:t xml:space="preserve"> </w:t>
      </w:r>
    </w:p>
    <w:tbl>
      <w:tblPr>
        <w:tblStyle w:val="TableGrid2"/>
        <w:tblW w:w="9799" w:type="dxa"/>
        <w:tblLayout w:type="fixed"/>
        <w:tblLook w:val="0000" w:firstRow="0" w:lastRow="0" w:firstColumn="0" w:lastColumn="0" w:noHBand="0" w:noVBand="0"/>
      </w:tblPr>
      <w:tblGrid>
        <w:gridCol w:w="1705"/>
        <w:gridCol w:w="1440"/>
        <w:gridCol w:w="1890"/>
        <w:gridCol w:w="4764"/>
      </w:tblGrid>
      <w:tr w:rsidR="00300ED9" w:rsidRPr="002B3F36" w14:paraId="780EE82C" w14:textId="77777777" w:rsidTr="00B22CB4">
        <w:trPr>
          <w:trHeight w:val="34"/>
          <w:tblHeader/>
        </w:trPr>
        <w:tc>
          <w:tcPr>
            <w:tcW w:w="1705" w:type="dxa"/>
            <w:shd w:val="clear" w:color="auto" w:fill="F2F2F2" w:themeFill="background1" w:themeFillShade="F2"/>
          </w:tcPr>
          <w:p w14:paraId="5E76773B" w14:textId="77777777" w:rsidR="00300ED9" w:rsidRPr="002B3F36" w:rsidRDefault="00300ED9" w:rsidP="00047090">
            <w:pPr>
              <w:pStyle w:val="ReportBodyTextNogap"/>
              <w:jc w:val="center"/>
              <w:rPr>
                <w:rFonts w:eastAsia="SimSun"/>
                <w:b/>
                <w:sz w:val="20"/>
                <w:szCs w:val="20"/>
              </w:rPr>
            </w:pPr>
            <w:r w:rsidRPr="002B3F36">
              <w:rPr>
                <w:rFonts w:eastAsia="SimSun"/>
                <w:b/>
                <w:sz w:val="20"/>
                <w:szCs w:val="20"/>
              </w:rPr>
              <w:t>Activity</w:t>
            </w:r>
          </w:p>
        </w:tc>
        <w:tc>
          <w:tcPr>
            <w:tcW w:w="1440" w:type="dxa"/>
            <w:shd w:val="clear" w:color="auto" w:fill="F2F2F2" w:themeFill="background1" w:themeFillShade="F2"/>
          </w:tcPr>
          <w:p w14:paraId="01C90CDF" w14:textId="77777777" w:rsidR="00300ED9" w:rsidRPr="002B3F36" w:rsidRDefault="00300ED9" w:rsidP="00047090">
            <w:pPr>
              <w:pStyle w:val="ReportBodyTextNogap"/>
              <w:jc w:val="center"/>
              <w:rPr>
                <w:rFonts w:eastAsia="SimSun"/>
                <w:b/>
                <w:sz w:val="20"/>
                <w:szCs w:val="20"/>
              </w:rPr>
            </w:pPr>
            <w:r w:rsidRPr="002B3F36">
              <w:rPr>
                <w:rFonts w:eastAsia="SimSun"/>
                <w:b/>
                <w:sz w:val="20"/>
                <w:szCs w:val="20"/>
              </w:rPr>
              <w:t>Hazard</w:t>
            </w:r>
          </w:p>
        </w:tc>
        <w:tc>
          <w:tcPr>
            <w:tcW w:w="1890" w:type="dxa"/>
            <w:shd w:val="clear" w:color="auto" w:fill="F2F2F2" w:themeFill="background1" w:themeFillShade="F2"/>
          </w:tcPr>
          <w:p w14:paraId="18FF72D9" w14:textId="77777777" w:rsidR="00300ED9" w:rsidRPr="002B3F36" w:rsidRDefault="00300ED9" w:rsidP="00047090">
            <w:pPr>
              <w:pStyle w:val="ReportBodyTextNogap"/>
              <w:jc w:val="center"/>
              <w:rPr>
                <w:rFonts w:eastAsia="SimSun"/>
                <w:b/>
                <w:sz w:val="20"/>
                <w:szCs w:val="20"/>
              </w:rPr>
            </w:pPr>
            <w:r w:rsidRPr="002B3F36">
              <w:rPr>
                <w:rFonts w:eastAsia="SimSun"/>
                <w:b/>
                <w:sz w:val="20"/>
                <w:szCs w:val="20"/>
              </w:rPr>
              <w:t>Risk</w:t>
            </w:r>
          </w:p>
        </w:tc>
        <w:tc>
          <w:tcPr>
            <w:tcW w:w="4764" w:type="dxa"/>
            <w:shd w:val="clear" w:color="auto" w:fill="F2F2F2" w:themeFill="background1" w:themeFillShade="F2"/>
          </w:tcPr>
          <w:p w14:paraId="1AE5AC47" w14:textId="77777777" w:rsidR="00300ED9" w:rsidRPr="002B3F36" w:rsidRDefault="00300ED9" w:rsidP="00047090">
            <w:pPr>
              <w:pStyle w:val="ReportBodyTextNogap"/>
              <w:jc w:val="center"/>
              <w:rPr>
                <w:rFonts w:eastAsia="SimSun"/>
                <w:b/>
                <w:sz w:val="20"/>
                <w:szCs w:val="20"/>
              </w:rPr>
            </w:pPr>
            <w:r w:rsidRPr="002B3F36">
              <w:rPr>
                <w:rFonts w:eastAsia="SimSun"/>
                <w:b/>
                <w:sz w:val="20"/>
                <w:szCs w:val="20"/>
              </w:rPr>
              <w:t>Mitigation Measures (illustrative, to be detailed in OHSP/C-ESMP)</w:t>
            </w:r>
          </w:p>
        </w:tc>
      </w:tr>
      <w:tr w:rsidR="00300ED9" w:rsidRPr="002B3F36" w14:paraId="5D27DCDF" w14:textId="77777777" w:rsidTr="00CF2CE2">
        <w:trPr>
          <w:trHeight w:val="34"/>
        </w:trPr>
        <w:tc>
          <w:tcPr>
            <w:tcW w:w="1705" w:type="dxa"/>
          </w:tcPr>
          <w:p w14:paraId="6EEDCBA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Railway construction zones / traffic interfaces</w:t>
            </w:r>
          </w:p>
        </w:tc>
        <w:tc>
          <w:tcPr>
            <w:tcW w:w="1440" w:type="dxa"/>
          </w:tcPr>
          <w:p w14:paraId="33AAC69F"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Vehicle/train interactions; public interface</w:t>
            </w:r>
          </w:p>
        </w:tc>
        <w:tc>
          <w:tcPr>
            <w:tcW w:w="1890" w:type="dxa"/>
          </w:tcPr>
          <w:p w14:paraId="39928C7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property loss</w:t>
            </w:r>
          </w:p>
        </w:tc>
        <w:tc>
          <w:tcPr>
            <w:tcW w:w="4764" w:type="dxa"/>
          </w:tcPr>
          <w:p w14:paraId="46238EBE"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 xml:space="preserve">Delineate works with barriers and signage; regulate access points; enforce site speed </w:t>
            </w:r>
            <w:r w:rsidRPr="002B3F36">
              <w:rPr>
                <w:rFonts w:eastAsia="SimSun" w:hint="eastAsia"/>
                <w:sz w:val="20"/>
                <w:szCs w:val="20"/>
              </w:rPr>
              <w:t>≤</w:t>
            </w:r>
            <w:r w:rsidRPr="002B3F36">
              <w:rPr>
                <w:rFonts w:eastAsia="SimSun"/>
                <w:sz w:val="20"/>
                <w:szCs w:val="20"/>
              </w:rPr>
              <w:t xml:space="preserve"> 20 km/h; install speed bumps where needed; prohibit driving under influence; deploy flaggers where public routes cross; implement Traffic Management Plan (TMP).</w:t>
            </w:r>
          </w:p>
        </w:tc>
      </w:tr>
      <w:tr w:rsidR="00300ED9" w:rsidRPr="002B3F36" w14:paraId="0D9D0493" w14:textId="77777777" w:rsidTr="00CF2CE2">
        <w:trPr>
          <w:trHeight w:val="34"/>
        </w:trPr>
        <w:tc>
          <w:tcPr>
            <w:tcW w:w="1705" w:type="dxa"/>
          </w:tcPr>
          <w:p w14:paraId="5D514CA6"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Livestock interface near pastures/settlements</w:t>
            </w:r>
          </w:p>
        </w:tc>
        <w:tc>
          <w:tcPr>
            <w:tcW w:w="1440" w:type="dxa"/>
          </w:tcPr>
          <w:p w14:paraId="12F65CE4" w14:textId="6ADE9BA5" w:rsidR="00300ED9" w:rsidRPr="002B3F36" w:rsidRDefault="00300ED9" w:rsidP="00047090">
            <w:pPr>
              <w:pStyle w:val="ReportBodyTextNogap"/>
              <w:jc w:val="left"/>
              <w:rPr>
                <w:rFonts w:eastAsia="SimSun"/>
                <w:sz w:val="20"/>
                <w:szCs w:val="20"/>
              </w:rPr>
            </w:pPr>
            <w:r w:rsidRPr="002B3F36">
              <w:rPr>
                <w:rFonts w:eastAsia="SimSun"/>
                <w:sz w:val="20"/>
                <w:szCs w:val="20"/>
              </w:rPr>
              <w:t>Traffic</w:t>
            </w:r>
            <w:r w:rsidR="002B774D" w:rsidRPr="002B3F36">
              <w:rPr>
                <w:rFonts w:eastAsia="SimSun"/>
                <w:sz w:val="20"/>
                <w:szCs w:val="20"/>
              </w:rPr>
              <w:t>/ Locomotive</w:t>
            </w:r>
            <w:r w:rsidRPr="002B3F36">
              <w:rPr>
                <w:rFonts w:eastAsia="SimSun"/>
                <w:sz w:val="20"/>
                <w:szCs w:val="20"/>
              </w:rPr>
              <w:t xml:space="preserve"> accidents with livestock</w:t>
            </w:r>
          </w:p>
        </w:tc>
        <w:tc>
          <w:tcPr>
            <w:tcW w:w="1890" w:type="dxa"/>
          </w:tcPr>
          <w:p w14:paraId="10564F7A"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property loss; community tension</w:t>
            </w:r>
          </w:p>
        </w:tc>
        <w:tc>
          <w:tcPr>
            <w:tcW w:w="4764" w:type="dxa"/>
          </w:tcPr>
          <w:p w14:paraId="5A33BB15" w14:textId="39BF9D41" w:rsidR="00300ED9" w:rsidRPr="002B3F36" w:rsidRDefault="00300ED9" w:rsidP="00047090">
            <w:pPr>
              <w:pStyle w:val="ReportBodyTextNogap"/>
              <w:jc w:val="left"/>
              <w:rPr>
                <w:rFonts w:eastAsia="SimSun"/>
                <w:sz w:val="20"/>
                <w:szCs w:val="20"/>
              </w:rPr>
            </w:pPr>
            <w:r w:rsidRPr="002B3F36">
              <w:rPr>
                <w:rFonts w:eastAsia="SimSun"/>
                <w:sz w:val="20"/>
                <w:szCs w:val="20"/>
              </w:rPr>
              <w:t>Pre-survey grazing routes; temporary fencing/cattle races; warning signs and beacons; coordinate with akimats/herders on timing and herding plans; driver briefings; emergency protocol for animal strikes (</w:t>
            </w:r>
            <w:r w:rsidR="00BD3FAA" w:rsidRPr="002B3F36">
              <w:rPr>
                <w:rFonts w:eastAsia="SimSun"/>
                <w:sz w:val="20"/>
                <w:szCs w:val="20"/>
              </w:rPr>
              <w:t>Client</w:t>
            </w:r>
            <w:r w:rsidRPr="002B3F36">
              <w:rPr>
                <w:rFonts w:eastAsia="SimSun"/>
                <w:sz w:val="20"/>
                <w:szCs w:val="20"/>
              </w:rPr>
              <w:t xml:space="preserve"> notification, vet support).</w:t>
            </w:r>
          </w:p>
        </w:tc>
      </w:tr>
      <w:tr w:rsidR="00300ED9" w:rsidRPr="002B3F36" w14:paraId="322BF380" w14:textId="77777777" w:rsidTr="00CF2CE2">
        <w:trPr>
          <w:trHeight w:val="34"/>
        </w:trPr>
        <w:tc>
          <w:tcPr>
            <w:tcW w:w="1705" w:type="dxa"/>
          </w:tcPr>
          <w:p w14:paraId="5BC53D1D"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Working Around Mobile Equipment (WAME)</w:t>
            </w:r>
          </w:p>
        </w:tc>
        <w:tc>
          <w:tcPr>
            <w:tcW w:w="1440" w:type="dxa"/>
          </w:tcPr>
          <w:p w14:paraId="38C666D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Struck-by, caught-between, roll-over, falling objects; visibility limits</w:t>
            </w:r>
          </w:p>
        </w:tc>
        <w:tc>
          <w:tcPr>
            <w:tcW w:w="1890" w:type="dxa"/>
          </w:tcPr>
          <w:p w14:paraId="2E640FC3"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fatality; asset damage</w:t>
            </w:r>
          </w:p>
        </w:tc>
        <w:tc>
          <w:tcPr>
            <w:tcW w:w="4764" w:type="dxa"/>
          </w:tcPr>
          <w:p w14:paraId="4FBD7485"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WAME Plan: segregated pedestrian routes; high-viz PPE; spotters; proximity alarms/reverse beepers; blind-spot mirrors/cameras; ROPS/seatbelts; daily equipment checks; load securement; debris nets/toe-boards for overhead works; regular WAME training and near-miss reporting.</w:t>
            </w:r>
          </w:p>
        </w:tc>
      </w:tr>
      <w:tr w:rsidR="00300ED9" w:rsidRPr="002B3F36" w14:paraId="73C892DD" w14:textId="77777777" w:rsidTr="00CF2CE2">
        <w:trPr>
          <w:trHeight w:val="34"/>
        </w:trPr>
        <w:tc>
          <w:tcPr>
            <w:tcW w:w="1705" w:type="dxa"/>
          </w:tcPr>
          <w:p w14:paraId="5B293F8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Inadequate illumination</w:t>
            </w:r>
          </w:p>
        </w:tc>
        <w:tc>
          <w:tcPr>
            <w:tcW w:w="1440" w:type="dxa"/>
          </w:tcPr>
          <w:p w14:paraId="5877099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Poor visibility for workers/drivers</w:t>
            </w:r>
          </w:p>
        </w:tc>
        <w:tc>
          <w:tcPr>
            <w:tcW w:w="1890" w:type="dxa"/>
          </w:tcPr>
          <w:p w14:paraId="69B6CC4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collisions</w:t>
            </w:r>
          </w:p>
        </w:tc>
        <w:tc>
          <w:tcPr>
            <w:tcW w:w="4764" w:type="dxa"/>
          </w:tcPr>
          <w:p w14:paraId="24C6A585"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Meet minimum lux levels (e.g., 10 lux emergency, 20 outdoor non-work, 50 storage/garages, 100 corridors/stairs, 200 medium-precision, 500 offices/reading, 1,000–3,000 high-precision); routine inspections and maintenance of lighting.</w:t>
            </w:r>
          </w:p>
        </w:tc>
      </w:tr>
      <w:tr w:rsidR="00300ED9" w:rsidRPr="002B3F36" w14:paraId="64CBEBF0" w14:textId="77777777" w:rsidTr="00CF2CE2">
        <w:trPr>
          <w:trHeight w:val="34"/>
        </w:trPr>
        <w:tc>
          <w:tcPr>
            <w:tcW w:w="1705" w:type="dxa"/>
          </w:tcPr>
          <w:p w14:paraId="70B72749"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Noise from plant and activities</w:t>
            </w:r>
          </w:p>
        </w:tc>
        <w:tc>
          <w:tcPr>
            <w:tcW w:w="1440" w:type="dxa"/>
          </w:tcPr>
          <w:p w14:paraId="3D6B173A"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Excessive noise exposure</w:t>
            </w:r>
          </w:p>
        </w:tc>
        <w:tc>
          <w:tcPr>
            <w:tcW w:w="1890" w:type="dxa"/>
          </w:tcPr>
          <w:p w14:paraId="5066E1B6"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Hearing loss; nuisance</w:t>
            </w:r>
          </w:p>
        </w:tc>
        <w:tc>
          <w:tcPr>
            <w:tcW w:w="4764" w:type="dxa"/>
          </w:tcPr>
          <w:p w14:paraId="15EDF49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 xml:space="preserve">Apply engineering controls (enclosures, isolators, quieter plant); plan noisy tasks; enforce hearing protection when LAeq,8h </w:t>
            </w:r>
            <w:r w:rsidRPr="002B3F36">
              <w:rPr>
                <w:rFonts w:eastAsia="SimSun" w:hint="eastAsia"/>
                <w:sz w:val="20"/>
                <w:szCs w:val="20"/>
              </w:rPr>
              <w:t>≥</w:t>
            </w:r>
            <w:r w:rsidRPr="002B3F36">
              <w:rPr>
                <w:rFonts w:eastAsia="SimSun"/>
                <w:sz w:val="20"/>
                <w:szCs w:val="20"/>
              </w:rPr>
              <w:t xml:space="preserve"> 85 dB(A) or Lpeak </w:t>
            </w:r>
            <w:r w:rsidRPr="002B3F36">
              <w:rPr>
                <w:rFonts w:eastAsia="SimSun" w:hint="eastAsia"/>
                <w:sz w:val="20"/>
                <w:szCs w:val="20"/>
              </w:rPr>
              <w:t>≥</w:t>
            </w:r>
            <w:r w:rsidRPr="002B3F36">
              <w:rPr>
                <w:rFonts w:eastAsia="SimSun"/>
                <w:sz w:val="20"/>
                <w:szCs w:val="20"/>
              </w:rPr>
              <w:t xml:space="preserve"> 140 dB(C); conduct audiometry for exposed workers; maintain equipment; install temporary barriers near receptors.</w:t>
            </w:r>
          </w:p>
        </w:tc>
      </w:tr>
      <w:tr w:rsidR="00300ED9" w:rsidRPr="002B3F36" w14:paraId="7BAC86DD" w14:textId="77777777" w:rsidTr="00CF2CE2">
        <w:trPr>
          <w:trHeight w:val="34"/>
        </w:trPr>
        <w:tc>
          <w:tcPr>
            <w:tcW w:w="1705" w:type="dxa"/>
          </w:tcPr>
          <w:p w14:paraId="7E2735CB"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Industrial vehicle driving &amp; site traffic</w:t>
            </w:r>
          </w:p>
        </w:tc>
        <w:tc>
          <w:tcPr>
            <w:tcW w:w="1440" w:type="dxa"/>
          </w:tcPr>
          <w:p w14:paraId="4147A442"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Speeding, poor layout, untrained drivers</w:t>
            </w:r>
          </w:p>
        </w:tc>
        <w:tc>
          <w:tcPr>
            <w:tcW w:w="1890" w:type="dxa"/>
          </w:tcPr>
          <w:p w14:paraId="74754706"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Collisions, pedestrian strikes</w:t>
            </w:r>
          </w:p>
        </w:tc>
        <w:tc>
          <w:tcPr>
            <w:tcW w:w="4764" w:type="dxa"/>
          </w:tcPr>
          <w:p w14:paraId="5232A338"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TMP with one-way routes where feasible; marked crossings; medical surveillance and licensing checks; pre-shift checks; back-up alarms; speed limits; specific SOPs (e.g., forks not carried low).</w:t>
            </w:r>
          </w:p>
        </w:tc>
      </w:tr>
      <w:tr w:rsidR="00300ED9" w:rsidRPr="002B3F36" w14:paraId="5BE343D7" w14:textId="77777777" w:rsidTr="00CF2CE2">
        <w:trPr>
          <w:trHeight w:val="34"/>
        </w:trPr>
        <w:tc>
          <w:tcPr>
            <w:tcW w:w="1705" w:type="dxa"/>
          </w:tcPr>
          <w:p w14:paraId="24BEBF3A"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lastRenderedPageBreak/>
              <w:t>Ergonomics &amp; repetitive motion</w:t>
            </w:r>
          </w:p>
        </w:tc>
        <w:tc>
          <w:tcPr>
            <w:tcW w:w="1440" w:type="dxa"/>
          </w:tcPr>
          <w:p w14:paraId="44BAE01F"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Manual handling, repetitive tasks</w:t>
            </w:r>
          </w:p>
        </w:tc>
        <w:tc>
          <w:tcPr>
            <w:tcW w:w="1890" w:type="dxa"/>
          </w:tcPr>
          <w:p w14:paraId="5034ED1D"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MSDs/RSIs; fatigue</w:t>
            </w:r>
          </w:p>
        </w:tc>
        <w:tc>
          <w:tcPr>
            <w:tcW w:w="4764" w:type="dxa"/>
          </w:tcPr>
          <w:p w14:paraId="197941F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Mechanical aids; team lifts for &gt; threshold weights; adjustable workstations/tools; rotate tasks; micro-breaks/stretching; train on posture/lifting; track discomfort reports and intervene early.</w:t>
            </w:r>
          </w:p>
        </w:tc>
      </w:tr>
      <w:tr w:rsidR="00300ED9" w:rsidRPr="002B3F36" w14:paraId="4A92D129" w14:textId="77777777" w:rsidTr="00CF2CE2">
        <w:trPr>
          <w:trHeight w:val="34"/>
        </w:trPr>
        <w:tc>
          <w:tcPr>
            <w:tcW w:w="1705" w:type="dxa"/>
          </w:tcPr>
          <w:p w14:paraId="38AE7D0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Work at height</w:t>
            </w:r>
          </w:p>
        </w:tc>
        <w:tc>
          <w:tcPr>
            <w:tcW w:w="1440" w:type="dxa"/>
          </w:tcPr>
          <w:p w14:paraId="18FF3AEE"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Falls; dropped objects; fragile surfaces</w:t>
            </w:r>
          </w:p>
        </w:tc>
        <w:tc>
          <w:tcPr>
            <w:tcW w:w="1890" w:type="dxa"/>
          </w:tcPr>
          <w:p w14:paraId="12847795"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Serious injury/fatality</w:t>
            </w:r>
          </w:p>
        </w:tc>
        <w:tc>
          <w:tcPr>
            <w:tcW w:w="4764" w:type="dxa"/>
          </w:tcPr>
          <w:p w14:paraId="7EEC4EAA"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Fall protection for exposures &gt; 1.3 m; certified scaffolds/MEWPs; edge protection/guardrails; 100% tie-off with inspected harnesses; tool lanyards; exclusion zones; rescue plans; supervisor sign-off.</w:t>
            </w:r>
          </w:p>
        </w:tc>
      </w:tr>
      <w:tr w:rsidR="00300ED9" w:rsidRPr="002B3F36" w14:paraId="70C4FD66" w14:textId="77777777" w:rsidTr="00CF2CE2">
        <w:trPr>
          <w:trHeight w:val="34"/>
        </w:trPr>
        <w:tc>
          <w:tcPr>
            <w:tcW w:w="1705" w:type="dxa"/>
          </w:tcPr>
          <w:p w14:paraId="7D6EE00B"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Electrical works</w:t>
            </w:r>
          </w:p>
        </w:tc>
        <w:tc>
          <w:tcPr>
            <w:tcW w:w="1440" w:type="dxa"/>
          </w:tcPr>
          <w:p w14:paraId="2195F125"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Shock, arc flash, fire</w:t>
            </w:r>
          </w:p>
        </w:tc>
        <w:tc>
          <w:tcPr>
            <w:tcW w:w="1890" w:type="dxa"/>
          </w:tcPr>
          <w:p w14:paraId="1050E8B1"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Burns, fatality, asset loss</w:t>
            </w:r>
          </w:p>
        </w:tc>
        <w:tc>
          <w:tcPr>
            <w:tcW w:w="4764" w:type="dxa"/>
          </w:tcPr>
          <w:p w14:paraId="0AFB9663"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Lock-out/Tag-out (LOTO); only authorized electricians; rated protective devices/relays; insulated tools; segregation/guards; housekeeping; fire detection/suppression; compliant design/installation; clear signage.</w:t>
            </w:r>
          </w:p>
        </w:tc>
      </w:tr>
      <w:tr w:rsidR="00300ED9" w:rsidRPr="002B3F36" w14:paraId="4F81CF27" w14:textId="77777777" w:rsidTr="00CF2CE2">
        <w:trPr>
          <w:trHeight w:val="34"/>
        </w:trPr>
        <w:tc>
          <w:tcPr>
            <w:tcW w:w="1705" w:type="dxa"/>
          </w:tcPr>
          <w:p w14:paraId="503A1D0D"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High-risk activities (lifting, confined space, excavation, energized systems)</w:t>
            </w:r>
          </w:p>
        </w:tc>
        <w:tc>
          <w:tcPr>
            <w:tcW w:w="1440" w:type="dxa"/>
          </w:tcPr>
          <w:p w14:paraId="6079643F"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Multi-hazard</w:t>
            </w:r>
          </w:p>
        </w:tc>
        <w:tc>
          <w:tcPr>
            <w:tcW w:w="1890" w:type="dxa"/>
          </w:tcPr>
          <w:p w14:paraId="2C07ADA3"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Serious injury/fatality</w:t>
            </w:r>
          </w:p>
        </w:tc>
        <w:tc>
          <w:tcPr>
            <w:tcW w:w="4764" w:type="dxa"/>
          </w:tcPr>
          <w:p w14:paraId="3D9D1D82"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Permit-to-Work (PTW); method statements/JHAs; competency of operators/riggers; ground stability checks/shoring; gas testing/ventilation for confined space; continuous supervision; emergency/rescue equipment.</w:t>
            </w:r>
          </w:p>
        </w:tc>
      </w:tr>
      <w:tr w:rsidR="00300ED9" w:rsidRPr="002B3F36" w14:paraId="50BDE43B" w14:textId="77777777" w:rsidTr="00CF2CE2">
        <w:trPr>
          <w:trHeight w:val="34"/>
        </w:trPr>
        <w:tc>
          <w:tcPr>
            <w:tcW w:w="1705" w:type="dxa"/>
          </w:tcPr>
          <w:p w14:paraId="41F4FD95"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Hot works (welding/cutting/grinding)</w:t>
            </w:r>
          </w:p>
        </w:tc>
        <w:tc>
          <w:tcPr>
            <w:tcW w:w="1440" w:type="dxa"/>
          </w:tcPr>
          <w:p w14:paraId="6EB124FA"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Fire; fumes/gases; burns</w:t>
            </w:r>
          </w:p>
        </w:tc>
        <w:tc>
          <w:tcPr>
            <w:tcW w:w="1890" w:type="dxa"/>
          </w:tcPr>
          <w:p w14:paraId="1CE48196"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fire/explosion</w:t>
            </w:r>
          </w:p>
        </w:tc>
        <w:tc>
          <w:tcPr>
            <w:tcW w:w="4764" w:type="dxa"/>
          </w:tcPr>
          <w:p w14:paraId="054C073A"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Hot Work Permit; clear combustibles; fire blankets/screens; ventilation or LEV; class-rated extinguishers on hand; FR clothing, gloves, helmets; post-work fire watch.</w:t>
            </w:r>
          </w:p>
        </w:tc>
      </w:tr>
      <w:tr w:rsidR="00300ED9" w:rsidRPr="002B3F36" w14:paraId="41F412BE" w14:textId="77777777" w:rsidTr="00CF2CE2">
        <w:trPr>
          <w:trHeight w:val="34"/>
        </w:trPr>
        <w:tc>
          <w:tcPr>
            <w:tcW w:w="1705" w:type="dxa"/>
          </w:tcPr>
          <w:p w14:paraId="1FE9931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Extreme weather (rain/flood, snow/ice, high winds, heat/cold)</w:t>
            </w:r>
          </w:p>
        </w:tc>
        <w:tc>
          <w:tcPr>
            <w:tcW w:w="1440" w:type="dxa"/>
          </w:tcPr>
          <w:p w14:paraId="5EBB884E"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Slips, collapse, overturn; heat stress/hypothermia</w:t>
            </w:r>
          </w:p>
        </w:tc>
        <w:tc>
          <w:tcPr>
            <w:tcW w:w="1890" w:type="dxa"/>
          </w:tcPr>
          <w:p w14:paraId="5B68FAB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schedule disruption</w:t>
            </w:r>
          </w:p>
        </w:tc>
        <w:tc>
          <w:tcPr>
            <w:tcW w:w="4764" w:type="dxa"/>
          </w:tcPr>
          <w:p w14:paraId="65672B46"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Weather monitoring; suspend high-risk tasks during events; stormwater/erosion controls; snow/ice clearing and de-icing; wind thresholds for cranes/elevated work; hydration/shade/heat-stress protocol; cold-weather PPE and warm-up breaks; shift adjustments.</w:t>
            </w:r>
          </w:p>
        </w:tc>
      </w:tr>
      <w:tr w:rsidR="00300ED9" w:rsidRPr="002B3F36" w14:paraId="74C30655" w14:textId="77777777" w:rsidTr="00CF2CE2">
        <w:trPr>
          <w:trHeight w:val="34"/>
        </w:trPr>
        <w:tc>
          <w:tcPr>
            <w:tcW w:w="1705" w:type="dxa"/>
          </w:tcPr>
          <w:p w14:paraId="4B7FD598" w14:textId="6730F364" w:rsidR="00300ED9" w:rsidRPr="002B3F36" w:rsidRDefault="00300ED9" w:rsidP="00047090">
            <w:pPr>
              <w:pStyle w:val="ReportBodyTextNogap"/>
              <w:jc w:val="left"/>
              <w:rPr>
                <w:rFonts w:eastAsia="SimSun"/>
                <w:sz w:val="20"/>
                <w:szCs w:val="20"/>
              </w:rPr>
            </w:pPr>
            <w:r w:rsidRPr="002B3F36">
              <w:rPr>
                <w:rFonts w:eastAsia="SimSun"/>
                <w:sz w:val="20"/>
                <w:szCs w:val="20"/>
              </w:rPr>
              <w:t xml:space="preserve">Hazardous materials (fuels, oils, solvents, </w:t>
            </w:r>
            <w:r w:rsidR="00DE341F" w:rsidRPr="002B3F36">
              <w:rPr>
                <w:rFonts w:eastAsia="SimSun"/>
                <w:sz w:val="20"/>
                <w:szCs w:val="20"/>
              </w:rPr>
              <w:t>cement</w:t>
            </w:r>
            <w:r w:rsidRPr="002B3F36">
              <w:rPr>
                <w:rFonts w:eastAsia="SimSun"/>
                <w:sz w:val="20"/>
                <w:szCs w:val="20"/>
              </w:rPr>
              <w:t>, chemicals)</w:t>
            </w:r>
          </w:p>
        </w:tc>
        <w:tc>
          <w:tcPr>
            <w:tcW w:w="1440" w:type="dxa"/>
          </w:tcPr>
          <w:p w14:paraId="02320881"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Spills, ignition, exposure</w:t>
            </w:r>
          </w:p>
        </w:tc>
        <w:tc>
          <w:tcPr>
            <w:tcW w:w="1890" w:type="dxa"/>
          </w:tcPr>
          <w:p w14:paraId="547D000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Intoxication; soil/water contamination; fire</w:t>
            </w:r>
          </w:p>
        </w:tc>
        <w:tc>
          <w:tcPr>
            <w:tcW w:w="4764" w:type="dxa"/>
          </w:tcPr>
          <w:p w14:paraId="5A75D040"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Chemical inventory &amp; SDS; segregation of incompatibles; bunded storage; labeling; SOPs for handling/transfer; spill kits &amp; trained responders; ventilation; appropriate PPE/respirators; licensed waste disposal; emergency spill plan and drills.</w:t>
            </w:r>
          </w:p>
        </w:tc>
      </w:tr>
      <w:tr w:rsidR="00300ED9" w:rsidRPr="002B3F36" w14:paraId="798F90A3" w14:textId="77777777" w:rsidTr="00CF2CE2">
        <w:trPr>
          <w:trHeight w:val="34"/>
        </w:trPr>
        <w:tc>
          <w:tcPr>
            <w:tcW w:w="1705" w:type="dxa"/>
          </w:tcPr>
          <w:p w14:paraId="78D6D7F9"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Fire and explosion</w:t>
            </w:r>
          </w:p>
        </w:tc>
        <w:tc>
          <w:tcPr>
            <w:tcW w:w="1440" w:type="dxa"/>
          </w:tcPr>
          <w:p w14:paraId="6528574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Flammables, ignition sources</w:t>
            </w:r>
          </w:p>
        </w:tc>
        <w:tc>
          <w:tcPr>
            <w:tcW w:w="1890" w:type="dxa"/>
          </w:tcPr>
          <w:p w14:paraId="57A92751"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Injury, fatality, property loss</w:t>
            </w:r>
          </w:p>
        </w:tc>
        <w:tc>
          <w:tcPr>
            <w:tcW w:w="4764" w:type="dxa"/>
          </w:tcPr>
          <w:p w14:paraId="0F56372E"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Separation of flammables from ignition; housekeeping; bonding/grounding; no-smoking zones; ventilation; maintained extinguishers/hydrants; evacuation plan and drills; hot-work controls; regular inspections; compliance with RoK high-risk activity rules.</w:t>
            </w:r>
          </w:p>
        </w:tc>
      </w:tr>
      <w:tr w:rsidR="00300ED9" w:rsidRPr="002B3F36" w14:paraId="7469959F" w14:textId="77777777" w:rsidTr="00CF2CE2">
        <w:trPr>
          <w:trHeight w:val="34"/>
        </w:trPr>
        <w:tc>
          <w:tcPr>
            <w:tcW w:w="1705" w:type="dxa"/>
          </w:tcPr>
          <w:p w14:paraId="13ACAE82"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Camps &amp; sanitation (health interface)</w:t>
            </w:r>
          </w:p>
        </w:tc>
        <w:tc>
          <w:tcPr>
            <w:tcW w:w="1440" w:type="dxa"/>
          </w:tcPr>
          <w:p w14:paraId="62AF7D47"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Communicable diseases; poor hygiene</w:t>
            </w:r>
          </w:p>
        </w:tc>
        <w:tc>
          <w:tcPr>
            <w:tcW w:w="1890" w:type="dxa"/>
          </w:tcPr>
          <w:p w14:paraId="0165F4A6" w14:textId="77777777" w:rsidR="00300ED9" w:rsidRPr="002B3F36" w:rsidRDefault="00300ED9" w:rsidP="00047090">
            <w:pPr>
              <w:pStyle w:val="ReportBodyTextNogap"/>
              <w:jc w:val="left"/>
              <w:rPr>
                <w:rFonts w:eastAsia="SimSun"/>
                <w:sz w:val="20"/>
                <w:szCs w:val="20"/>
              </w:rPr>
            </w:pPr>
            <w:r w:rsidRPr="002B3F36">
              <w:rPr>
                <w:rFonts w:eastAsia="SimSun"/>
                <w:sz w:val="20"/>
                <w:szCs w:val="20"/>
              </w:rPr>
              <w:t>Outbreaks; absenteeism</w:t>
            </w:r>
          </w:p>
        </w:tc>
        <w:tc>
          <w:tcPr>
            <w:tcW w:w="4764" w:type="dxa"/>
          </w:tcPr>
          <w:p w14:paraId="3F672E57" w14:textId="674DBB67" w:rsidR="00300ED9" w:rsidRPr="002B3F36" w:rsidRDefault="00300ED9" w:rsidP="00047090">
            <w:pPr>
              <w:pStyle w:val="ReportBodyTextNogap"/>
              <w:jc w:val="left"/>
              <w:rPr>
                <w:rFonts w:eastAsia="SimSun"/>
                <w:sz w:val="20"/>
                <w:szCs w:val="20"/>
              </w:rPr>
            </w:pPr>
            <w:r w:rsidRPr="002B3F36">
              <w:rPr>
                <w:rFonts w:eastAsia="SimSun"/>
                <w:sz w:val="20"/>
                <w:szCs w:val="20"/>
              </w:rPr>
              <w:t xml:space="preserve">Camp design to RoK Order № KP ДСМ-67 (26-Jul-2022) and </w:t>
            </w:r>
            <w:r w:rsidR="00F95BD8" w:rsidRPr="002B3F36">
              <w:rPr>
                <w:rFonts w:eastAsia="SimSun"/>
                <w:sz w:val="20"/>
                <w:szCs w:val="20"/>
              </w:rPr>
              <w:t>WB</w:t>
            </w:r>
            <w:r w:rsidRPr="002B3F36">
              <w:rPr>
                <w:rFonts w:eastAsia="SimSun"/>
                <w:sz w:val="20"/>
                <w:szCs w:val="20"/>
              </w:rPr>
              <w:t>/EBRD worker accommodation guidance; potable water; adequate sanitation; vector control; medical screening; health promotion (STIs, respiratory diseases); clinic/first aid on site.</w:t>
            </w:r>
          </w:p>
        </w:tc>
      </w:tr>
    </w:tbl>
    <w:p w14:paraId="1FA41969" w14:textId="77777777" w:rsidR="00F61F8E" w:rsidRPr="002B3F36" w:rsidRDefault="00F61F8E">
      <w:pPr>
        <w:pStyle w:val="ReportBodyTextNogap"/>
        <w:rPr>
          <w:rFonts w:eastAsia="SimSun"/>
          <w:lang w:val="en-PH"/>
        </w:rPr>
      </w:pPr>
    </w:p>
    <w:p w14:paraId="26204904" w14:textId="3395B499" w:rsidR="00062C86" w:rsidRPr="002B3F36" w:rsidRDefault="00062C86">
      <w:pPr>
        <w:pStyle w:val="ReportBodyTextNogap"/>
        <w:rPr>
          <w:rFonts w:eastAsia="SimSun"/>
          <w:lang w:val="en-PH"/>
        </w:rPr>
      </w:pPr>
      <w:r w:rsidRPr="002B3F36">
        <w:t xml:space="preserve">Monitoring &amp; Reporting. The Contractor shall maintain: (i) leading/lagging OHS KPIs (training hours, inspections, near-misses, LTIFR/TRIFR), (ii) incident investigation with root-cause analysis, and (iii) monthly OHS reports to the Engineer with corrective/preventive actions (CAPAs). Independent audits may be commissioned by the </w:t>
      </w:r>
      <w:r w:rsidR="00464922" w:rsidRPr="002B3F36">
        <w:t>KTZ</w:t>
      </w:r>
      <w:r w:rsidRPr="002B3F36">
        <w:t>.</w:t>
      </w:r>
    </w:p>
    <w:p w14:paraId="33AEDF91" w14:textId="54059850" w:rsidR="00062C86" w:rsidRPr="002B3F36" w:rsidRDefault="00062C86" w:rsidP="00CA4936">
      <w:pPr>
        <w:pStyle w:val="ReportBodyPar"/>
      </w:pPr>
      <w:bookmarkStart w:id="2311" w:name="_Toc168413565"/>
      <w:bookmarkStart w:id="2312" w:name="_Toc168414905"/>
      <w:bookmarkStart w:id="2313" w:name="_Toc168494527"/>
      <w:bookmarkStart w:id="2314" w:name="_Toc168538040"/>
      <w:bookmarkStart w:id="2315" w:name="_Toc168548381"/>
      <w:bookmarkStart w:id="2316" w:name="_Toc168413566"/>
      <w:bookmarkStart w:id="2317" w:name="_Toc168414906"/>
      <w:bookmarkStart w:id="2318" w:name="_Toc168494528"/>
      <w:bookmarkStart w:id="2319" w:name="_Toc168538041"/>
      <w:bookmarkStart w:id="2320" w:name="_Toc168548382"/>
      <w:bookmarkStart w:id="2321" w:name="_Toc168413567"/>
      <w:bookmarkStart w:id="2322" w:name="_Toc168414907"/>
      <w:bookmarkStart w:id="2323" w:name="_Toc168494529"/>
      <w:bookmarkStart w:id="2324" w:name="_Toc168538042"/>
      <w:bookmarkStart w:id="2325" w:name="_Toc168548383"/>
      <w:bookmarkStart w:id="2326" w:name="_Toc168413568"/>
      <w:bookmarkStart w:id="2327" w:name="_Toc168414908"/>
      <w:bookmarkStart w:id="2328" w:name="_Toc168494530"/>
      <w:bookmarkStart w:id="2329" w:name="_Toc168538043"/>
      <w:bookmarkStart w:id="2330" w:name="_Toc168548384"/>
      <w:bookmarkStart w:id="2331" w:name="_Toc168413569"/>
      <w:bookmarkStart w:id="2332" w:name="_Toc168414909"/>
      <w:bookmarkStart w:id="2333" w:name="_Toc168494531"/>
      <w:bookmarkStart w:id="2334" w:name="_Toc168538044"/>
      <w:bookmarkStart w:id="2335" w:name="_Toc168548385"/>
      <w:bookmarkStart w:id="2336" w:name="_Toc168413570"/>
      <w:bookmarkStart w:id="2337" w:name="_Toc168414910"/>
      <w:bookmarkStart w:id="2338" w:name="_Toc168494532"/>
      <w:bookmarkStart w:id="2339" w:name="_Toc168538045"/>
      <w:bookmarkStart w:id="2340" w:name="_Toc168548386"/>
      <w:bookmarkStart w:id="2341" w:name="_Toc168413571"/>
      <w:bookmarkStart w:id="2342" w:name="_Toc168414911"/>
      <w:bookmarkStart w:id="2343" w:name="_Toc168494533"/>
      <w:bookmarkStart w:id="2344" w:name="_Toc168538046"/>
      <w:bookmarkStart w:id="2345" w:name="_Toc168548387"/>
      <w:bookmarkStart w:id="2346" w:name="_Toc168413572"/>
      <w:bookmarkStart w:id="2347" w:name="_Toc168414912"/>
      <w:bookmarkStart w:id="2348" w:name="_Toc168494534"/>
      <w:bookmarkStart w:id="2349" w:name="_Toc168538047"/>
      <w:bookmarkStart w:id="2350" w:name="_Toc168548388"/>
      <w:bookmarkStart w:id="2351" w:name="_Toc168413573"/>
      <w:bookmarkStart w:id="2352" w:name="_Toc168414913"/>
      <w:bookmarkStart w:id="2353" w:name="_Toc168494535"/>
      <w:bookmarkStart w:id="2354" w:name="_Toc168538048"/>
      <w:bookmarkStart w:id="2355" w:name="_Toc168548389"/>
      <w:bookmarkStart w:id="2356" w:name="_Toc168413574"/>
      <w:bookmarkStart w:id="2357" w:name="_Toc168414914"/>
      <w:bookmarkStart w:id="2358" w:name="_Toc168494536"/>
      <w:bookmarkStart w:id="2359" w:name="_Toc168538049"/>
      <w:bookmarkStart w:id="2360" w:name="_Toc168548390"/>
      <w:bookmarkStart w:id="2361" w:name="_Toc168413575"/>
      <w:bookmarkStart w:id="2362" w:name="_Toc168414915"/>
      <w:bookmarkStart w:id="2363" w:name="_Toc168494537"/>
      <w:bookmarkStart w:id="2364" w:name="_Toc168538050"/>
      <w:bookmarkStart w:id="2365" w:name="_Toc168548391"/>
      <w:bookmarkStart w:id="2366" w:name="_Toc168413576"/>
      <w:bookmarkStart w:id="2367" w:name="_Toc168414916"/>
      <w:bookmarkStart w:id="2368" w:name="_Toc168494538"/>
      <w:bookmarkStart w:id="2369" w:name="_Toc168538051"/>
      <w:bookmarkStart w:id="2370" w:name="_Toc168548392"/>
      <w:bookmarkStart w:id="2371" w:name="_Toc168413577"/>
      <w:bookmarkStart w:id="2372" w:name="_Toc168414917"/>
      <w:bookmarkStart w:id="2373" w:name="_Toc168494539"/>
      <w:bookmarkStart w:id="2374" w:name="_Toc168538052"/>
      <w:bookmarkStart w:id="2375" w:name="_Toc168548393"/>
      <w:bookmarkStart w:id="2376" w:name="_Toc168413578"/>
      <w:bookmarkStart w:id="2377" w:name="_Toc168414918"/>
      <w:bookmarkStart w:id="2378" w:name="_Toc168494540"/>
      <w:bookmarkStart w:id="2379" w:name="_Toc168538053"/>
      <w:bookmarkStart w:id="2380" w:name="_Toc168548394"/>
      <w:bookmarkStart w:id="2381" w:name="_Toc168413579"/>
      <w:bookmarkStart w:id="2382" w:name="_Toc168414919"/>
      <w:bookmarkStart w:id="2383" w:name="_Toc168494541"/>
      <w:bookmarkStart w:id="2384" w:name="_Toc168538054"/>
      <w:bookmarkStart w:id="2385" w:name="_Toc168548395"/>
      <w:bookmarkStart w:id="2386" w:name="_Toc168413580"/>
      <w:bookmarkStart w:id="2387" w:name="_Toc168414920"/>
      <w:bookmarkStart w:id="2388" w:name="_Toc168494542"/>
      <w:bookmarkStart w:id="2389" w:name="_Toc168538055"/>
      <w:bookmarkStart w:id="2390" w:name="_Toc168548396"/>
      <w:bookmarkStart w:id="2391" w:name="_Toc168413581"/>
      <w:bookmarkStart w:id="2392" w:name="_Toc168414921"/>
      <w:bookmarkStart w:id="2393" w:name="_Toc168494543"/>
      <w:bookmarkStart w:id="2394" w:name="_Toc168538056"/>
      <w:bookmarkStart w:id="2395" w:name="_Toc168548397"/>
      <w:bookmarkStart w:id="2396" w:name="_Toc169094778"/>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47A88896" w14:textId="5430F693" w:rsidR="00981150" w:rsidRPr="002B3F36" w:rsidRDefault="00981150" w:rsidP="00981150">
      <w:pPr>
        <w:pStyle w:val="ReportBodyTextNogap"/>
      </w:pPr>
      <w:r w:rsidRPr="00A846C7">
        <w:t>In terms of</w:t>
      </w:r>
      <w:r w:rsidRPr="002B3F36">
        <w:t xml:space="preserve"> Occupational Health and Safety Hazard</w:t>
      </w:r>
      <w:r w:rsidRPr="00A846C7">
        <w:t xml:space="preserve"> and risks, the Project will introduce “direct” impact to workers at the construction sites</w:t>
      </w:r>
      <w:r w:rsidR="002632A5">
        <w:t>,</w:t>
      </w:r>
      <w:r w:rsidRPr="00A846C7">
        <w:t xml:space="preserve"> as they are fully exposed to the work environment. In terms of duration, since the </w:t>
      </w:r>
      <w:r w:rsidR="009D0CE5" w:rsidRPr="00A846C7">
        <w:t>workers’</w:t>
      </w:r>
      <w:r w:rsidRPr="00A846C7">
        <w:t xml:space="preserve"> exposure is limited </w:t>
      </w:r>
      <w:r w:rsidR="009D0CE5" w:rsidRPr="00A846C7">
        <w:t>within</w:t>
      </w:r>
      <w:r w:rsidRPr="00A846C7">
        <w:t xml:space="preserve"> the construction period, this can be considered as “short term”, </w:t>
      </w:r>
      <w:r w:rsidR="002632A5">
        <w:t>and</w:t>
      </w:r>
      <w:r w:rsidRPr="00A846C7">
        <w:t xml:space="preserve"> “limited in scale”</w:t>
      </w:r>
      <w:r w:rsidR="002632A5">
        <w:t>,</w:t>
      </w:r>
      <w:r w:rsidRPr="00A846C7">
        <w:t xml:space="preserve"> since it affects only the workers o</w:t>
      </w:r>
      <w:r w:rsidR="005A552C" w:rsidRPr="00A846C7">
        <w:t>f</w:t>
      </w:r>
      <w:r w:rsidRPr="00A846C7">
        <w:t xml:space="preserve"> the project</w:t>
      </w:r>
      <w:r w:rsidR="002632A5">
        <w:t>.</w:t>
      </w:r>
      <w:r w:rsidRPr="00A846C7">
        <w:t xml:space="preserve"> </w:t>
      </w:r>
      <w:r w:rsidR="002632A5">
        <w:t>H</w:t>
      </w:r>
      <w:r w:rsidRPr="00A846C7">
        <w:t xml:space="preserve">owever, the “frequency of impact” can be constant </w:t>
      </w:r>
      <w:r w:rsidRPr="00A846C7">
        <w:lastRenderedPageBreak/>
        <w:t>due to the daily or continuous work up to completion of the project. Applying the “Significance of Impact Matrix”, it can be considered that the workers may have receptor “medium sensitivity” as they are deemed fit to work, while the impact magnitude level is moderate. This yields a significance impact of “</w:t>
      </w:r>
      <w:r w:rsidRPr="00A846C7">
        <w:rPr>
          <w:b/>
        </w:rPr>
        <w:t>Moderate</w:t>
      </w:r>
      <w:r w:rsidRPr="00A846C7">
        <w:t>”.</w:t>
      </w:r>
    </w:p>
    <w:p w14:paraId="7B9969A4" w14:textId="77777777" w:rsidR="00981150" w:rsidRPr="002B3F36" w:rsidRDefault="00981150" w:rsidP="00CA4936">
      <w:pPr>
        <w:pStyle w:val="ReportBodyPar"/>
      </w:pPr>
    </w:p>
    <w:p w14:paraId="48CD80B0" w14:textId="6DA45F0A" w:rsidR="00062C86" w:rsidRPr="002B3F36" w:rsidRDefault="00062C86" w:rsidP="00701F4F">
      <w:pPr>
        <w:pStyle w:val="41"/>
      </w:pPr>
      <w:bookmarkStart w:id="2397" w:name="_Toc208973861"/>
      <w:bookmarkStart w:id="2398" w:name="_Toc208974061"/>
      <w:bookmarkStart w:id="2399" w:name="_Toc208974261"/>
      <w:bookmarkStart w:id="2400" w:name="_Toc208974463"/>
      <w:bookmarkStart w:id="2401" w:name="_Toc208974669"/>
      <w:bookmarkStart w:id="2402" w:name="_Toc210589504"/>
      <w:r w:rsidRPr="002B3F36">
        <w:t>Gender-Based Violence (GBV)</w:t>
      </w:r>
      <w:bookmarkEnd w:id="2397"/>
      <w:bookmarkEnd w:id="2398"/>
      <w:bookmarkEnd w:id="2399"/>
      <w:bookmarkEnd w:id="2400"/>
      <w:bookmarkEnd w:id="2401"/>
      <w:bookmarkEnd w:id="2402"/>
    </w:p>
    <w:p w14:paraId="4D9F6A7C" w14:textId="2C1B411A" w:rsidR="0035166D" w:rsidRPr="002B3F36" w:rsidRDefault="0035166D" w:rsidP="0037712E">
      <w:pPr>
        <w:pStyle w:val="ReportBodyPar"/>
      </w:pPr>
      <w:bookmarkStart w:id="2403" w:name="_Toc208973862"/>
      <w:bookmarkStart w:id="2404" w:name="_Toc208974062"/>
      <w:bookmarkStart w:id="2405" w:name="_Toc208974262"/>
      <w:bookmarkStart w:id="2406" w:name="_Toc208974464"/>
      <w:bookmarkStart w:id="2407" w:name="_Toc208974670"/>
      <w:bookmarkStart w:id="2408" w:name="_Toc169094779"/>
      <w:bookmarkEnd w:id="2396"/>
      <w:r w:rsidRPr="002B3F36">
        <w:t xml:space="preserve">In accordance </w:t>
      </w:r>
      <w:r w:rsidRPr="002B3F36">
        <w:rPr>
          <w:rStyle w:val="ReportBodyParChar"/>
        </w:rPr>
        <w:t xml:space="preserve">with </w:t>
      </w:r>
      <w:r w:rsidR="00F95BD8" w:rsidRPr="002B3F36">
        <w:rPr>
          <w:rStyle w:val="ReportBodyParChar"/>
        </w:rPr>
        <w:t>WB</w:t>
      </w:r>
      <w:r w:rsidRPr="002B3F36">
        <w:rPr>
          <w:rStyle w:val="ReportBodyParChar"/>
        </w:rPr>
        <w:t xml:space="preserve"> Performance Standard 2 (PS2) on Labor and Working Conditions and Performance Standard 4 (PS4) on Community Health, Safety, and Security, the </w:t>
      </w:r>
      <w:r w:rsidR="003650DB" w:rsidRPr="002B3F36">
        <w:rPr>
          <w:rStyle w:val="ReportBodyParChar"/>
        </w:rPr>
        <w:t xml:space="preserve">Mointy – Kyzylzhar </w:t>
      </w:r>
      <w:r w:rsidRPr="002B3F36">
        <w:rPr>
          <w:rStyle w:val="ReportBodyParChar"/>
        </w:rPr>
        <w:t>Railway Construction Project acknowledges that a male-dominated workforce and associated labor influx can heighten risks of Gender-Based Violence (GBV), including Sexual Exploitation and Abuse (SEA) and Sexual Harassment (SH), if not proactively managed. To mitigate these risks, the Project will integrate comprehensive measures such as enforceable Codes of Conduct (CoC), survivor-centered GBV/SEA/SH Action Plans, safe and segregated facilities, confidential grievance mechanisms with female focal points, and culturally appropriate community engagement. These measures aim to safeguard women and vulnerable groups while fostering a safe, equitable, and respectful</w:t>
      </w:r>
      <w:r w:rsidRPr="002B3F36">
        <w:t xml:space="preserve"> working and community environment.</w:t>
      </w:r>
    </w:p>
    <w:p w14:paraId="74346841" w14:textId="77777777" w:rsidR="00CF128E" w:rsidRPr="002B3F36" w:rsidRDefault="00CF128E" w:rsidP="0037712E">
      <w:pPr>
        <w:pStyle w:val="ReportBodyPar"/>
      </w:pPr>
    </w:p>
    <w:p w14:paraId="77C4F5D4" w14:textId="77777777" w:rsidR="0035166D" w:rsidRPr="002B3F36" w:rsidRDefault="0035166D" w:rsidP="0051430B">
      <w:pPr>
        <w:pStyle w:val="DiaList12"/>
        <w:rPr>
          <w:rFonts w:eastAsia="SimSun"/>
          <w:lang w:val="en-PH"/>
        </w:rPr>
      </w:pPr>
      <w:r w:rsidRPr="002B3F36">
        <w:rPr>
          <w:rFonts w:eastAsia="SimSun"/>
          <w:lang w:val="en-PH"/>
        </w:rPr>
        <w:t>Origin of Impact</w:t>
      </w:r>
    </w:p>
    <w:p w14:paraId="5A17BD9A" w14:textId="77777777" w:rsidR="0035166D" w:rsidRPr="002B3F36" w:rsidRDefault="0035166D" w:rsidP="00CF128E">
      <w:pPr>
        <w:pStyle w:val="ReportBodyPar"/>
      </w:pPr>
      <w:r w:rsidRPr="002B3F36">
        <w:t>If human resource management and camp administration are weak, the following risks may arise on worksites and in host communities:</w:t>
      </w:r>
    </w:p>
    <w:p w14:paraId="5BD192E3" w14:textId="77777777" w:rsidR="0035166D" w:rsidRPr="002B3F36" w:rsidRDefault="0035166D" w:rsidP="009B4CDB">
      <w:pPr>
        <w:pStyle w:val="aff9"/>
        <w:numPr>
          <w:ilvl w:val="0"/>
          <w:numId w:val="131"/>
        </w:numPr>
        <w:spacing w:before="0" w:beforeAutospacing="0"/>
        <w:rPr>
          <w:rFonts w:ascii="Arial" w:hAnsi="Arial" w:cs="Arial"/>
        </w:rPr>
      </w:pPr>
      <w:r w:rsidRPr="002B3F36">
        <w:rPr>
          <w:rFonts w:ascii="Arial" w:hAnsi="Arial" w:cs="Arial"/>
        </w:rPr>
        <w:t>Unequal pay or discriminatory practices against women.</w:t>
      </w:r>
    </w:p>
    <w:p w14:paraId="11FCF56B" w14:textId="77777777" w:rsidR="0035166D" w:rsidRPr="002B3F36" w:rsidRDefault="0035166D" w:rsidP="009B4CDB">
      <w:pPr>
        <w:pStyle w:val="aff9"/>
        <w:numPr>
          <w:ilvl w:val="0"/>
          <w:numId w:val="131"/>
        </w:numPr>
        <w:rPr>
          <w:rFonts w:ascii="Arial" w:hAnsi="Arial" w:cs="Arial"/>
        </w:rPr>
      </w:pPr>
      <w:r w:rsidRPr="002B3F36">
        <w:rPr>
          <w:rFonts w:ascii="Arial" w:hAnsi="Arial" w:cs="Arial"/>
        </w:rPr>
        <w:t>Inadequate, non-segregated, or unsafe facilities (toilets, washing, drinking water, rest areas).</w:t>
      </w:r>
    </w:p>
    <w:p w14:paraId="305FD361" w14:textId="77777777" w:rsidR="0035166D" w:rsidRPr="002B3F36" w:rsidRDefault="0035166D" w:rsidP="009B4CDB">
      <w:pPr>
        <w:pStyle w:val="aff9"/>
        <w:numPr>
          <w:ilvl w:val="0"/>
          <w:numId w:val="131"/>
        </w:numPr>
        <w:rPr>
          <w:rFonts w:ascii="Arial" w:hAnsi="Arial" w:cs="Arial"/>
        </w:rPr>
      </w:pPr>
      <w:r w:rsidRPr="002B3F36">
        <w:rPr>
          <w:rFonts w:ascii="Arial" w:hAnsi="Arial" w:cs="Arial"/>
        </w:rPr>
        <w:t>Sexual harassment, coercion, “eve-teasing,” or exploitation around camps and worksites.</w:t>
      </w:r>
    </w:p>
    <w:p w14:paraId="673CEAFB" w14:textId="77777777" w:rsidR="0035166D" w:rsidRPr="002B3F36" w:rsidRDefault="0035166D" w:rsidP="009B4CDB">
      <w:pPr>
        <w:pStyle w:val="aff9"/>
        <w:numPr>
          <w:ilvl w:val="0"/>
          <w:numId w:val="131"/>
        </w:numPr>
        <w:rPr>
          <w:rFonts w:ascii="Arial" w:hAnsi="Arial" w:cs="Arial"/>
        </w:rPr>
      </w:pPr>
      <w:r w:rsidRPr="002B3F36">
        <w:rPr>
          <w:rFonts w:ascii="Arial" w:hAnsi="Arial" w:cs="Arial"/>
        </w:rPr>
        <w:t>Women and vulnerable groups feeling unable to raise concerns or access benefits.</w:t>
      </w:r>
    </w:p>
    <w:p w14:paraId="270F889C" w14:textId="77777777" w:rsidR="0035166D" w:rsidRPr="002B3F36" w:rsidRDefault="0035166D" w:rsidP="0051430B">
      <w:pPr>
        <w:pStyle w:val="DiaList12"/>
        <w:rPr>
          <w:rFonts w:eastAsia="SimSun"/>
          <w:lang w:val="en-PH"/>
        </w:rPr>
      </w:pPr>
      <w:r w:rsidRPr="002B3F36">
        <w:rPr>
          <w:rFonts w:eastAsia="SimSun"/>
          <w:lang w:val="en-PH"/>
        </w:rPr>
        <w:t>Impact Assessment</w:t>
      </w:r>
    </w:p>
    <w:p w14:paraId="19F891F4" w14:textId="470FC23F" w:rsidR="0035166D" w:rsidRPr="002B3F36" w:rsidRDefault="0035166D" w:rsidP="00CF128E">
      <w:pPr>
        <w:pStyle w:val="ReportBodyPar"/>
      </w:pPr>
      <w:r w:rsidRPr="002B3F36">
        <w:rPr>
          <w:rStyle w:val="ReportBodyParChar"/>
        </w:rPr>
        <w:t>Given the male-dominant construction workforce and labor influx, GBV/SEA/SH risks are assessed as substantial in the absence of prevention and accountability measures.</w:t>
      </w:r>
      <w:r w:rsidRPr="002B3F36">
        <w:t xml:space="preserve"> Risk levels increase in and around worker camps, local markets, alcohol outlets, and poorly lit areas, and where grievance mechanisms lack confidentiality or accessibility.</w:t>
      </w:r>
    </w:p>
    <w:p w14:paraId="59062506" w14:textId="77777777" w:rsidR="00F16A0A" w:rsidRPr="002B3F36" w:rsidRDefault="00F16A0A" w:rsidP="00F16A0A">
      <w:pPr>
        <w:pStyle w:val="ReportBodyPar"/>
      </w:pPr>
    </w:p>
    <w:p w14:paraId="32280F0C" w14:textId="1DB537A1" w:rsidR="00981150" w:rsidRPr="002B3F36" w:rsidRDefault="005B430B" w:rsidP="00CF128E">
      <w:pPr>
        <w:pStyle w:val="ReportBodyPar"/>
      </w:pPr>
      <w:r w:rsidRPr="002B3F36">
        <w:t>The Project presents a direct GBV risk to construction workers</w:t>
      </w:r>
      <w:r w:rsidR="0083448D" w:rsidRPr="002B3F36">
        <w:t xml:space="preserve"> particularly to women</w:t>
      </w:r>
      <w:r w:rsidRPr="002B3F36">
        <w:t xml:space="preserve">, who are fully exposed to the site environment. Given that exposure is confined to the construction phase, the duration is short-term. The scale is limited, </w:t>
      </w:r>
      <w:r w:rsidR="00F23D20" w:rsidRPr="002B3F36">
        <w:t>since the workforce will be predominantly men</w:t>
      </w:r>
      <w:r w:rsidRPr="002B3F36">
        <w:t xml:space="preserve">; however, the frequency may be continuous/daily throughout active works. Using the Significance of Impact Matrix, project </w:t>
      </w:r>
      <w:r w:rsidR="00F23D20" w:rsidRPr="002B3F36">
        <w:t xml:space="preserve">women </w:t>
      </w:r>
      <w:r w:rsidRPr="002B3F36">
        <w:t>workers are assessed as medium-sensitivity receptors, and the impact magnitude is moderate, resulting in an overall Moderate significance (pre-mitigation).</w:t>
      </w:r>
    </w:p>
    <w:p w14:paraId="5A9DEBB3" w14:textId="77777777" w:rsidR="00CF128E" w:rsidRPr="002B3F36" w:rsidRDefault="00CF128E" w:rsidP="00CF128E">
      <w:pPr>
        <w:pStyle w:val="ReportBodyPar"/>
      </w:pPr>
    </w:p>
    <w:p w14:paraId="700409D7" w14:textId="77777777" w:rsidR="0035166D" w:rsidRPr="002B3F36" w:rsidRDefault="0035166D" w:rsidP="0051430B">
      <w:pPr>
        <w:pStyle w:val="DiaList12"/>
        <w:rPr>
          <w:rFonts w:eastAsia="SimSun"/>
          <w:lang w:val="en-PH"/>
        </w:rPr>
      </w:pPr>
      <w:r w:rsidRPr="002B3F36">
        <w:rPr>
          <w:rFonts w:eastAsia="SimSun"/>
          <w:lang w:val="en-PH"/>
        </w:rPr>
        <w:t>Mitigation Measures</w:t>
      </w:r>
    </w:p>
    <w:p w14:paraId="65FA72E4" w14:textId="77777777" w:rsidR="0035166D" w:rsidRPr="002B3F36" w:rsidRDefault="0035166D" w:rsidP="00CF128E">
      <w:pPr>
        <w:pStyle w:val="ReportBodyPar"/>
      </w:pPr>
      <w:r w:rsidRPr="002B3F36">
        <w:t>To address these risks, the following measures will be applied:</w:t>
      </w:r>
    </w:p>
    <w:p w14:paraId="54168359" w14:textId="77777777" w:rsidR="0035166D" w:rsidRPr="002B3F36" w:rsidRDefault="0035166D" w:rsidP="009B4CDB">
      <w:pPr>
        <w:pStyle w:val="aff9"/>
        <w:numPr>
          <w:ilvl w:val="0"/>
          <w:numId w:val="132"/>
        </w:numPr>
        <w:spacing w:before="0" w:beforeAutospacing="0"/>
        <w:rPr>
          <w:rFonts w:ascii="Arial" w:hAnsi="Arial" w:cs="Arial"/>
        </w:rPr>
      </w:pPr>
      <w:r w:rsidRPr="002B3F36">
        <w:rPr>
          <w:rStyle w:val="affffb"/>
        </w:rPr>
        <w:t>Equal opportunity and pay</w:t>
      </w:r>
      <w:r w:rsidRPr="002B3F36">
        <w:rPr>
          <w:rFonts w:ascii="Arial" w:hAnsi="Arial" w:cs="Arial"/>
        </w:rPr>
        <w:t>: HR policies committing to equal pay for equal work, and prohibiting discrimination in hiring, promotion, or benefits.</w:t>
      </w:r>
    </w:p>
    <w:p w14:paraId="7EB9C418" w14:textId="77777777" w:rsidR="0035166D" w:rsidRPr="002B3F36" w:rsidRDefault="0035166D" w:rsidP="009B4CDB">
      <w:pPr>
        <w:pStyle w:val="aff9"/>
        <w:numPr>
          <w:ilvl w:val="0"/>
          <w:numId w:val="132"/>
        </w:numPr>
        <w:rPr>
          <w:rFonts w:ascii="Arial" w:hAnsi="Arial" w:cs="Arial"/>
        </w:rPr>
      </w:pPr>
      <w:r w:rsidRPr="002B3F36">
        <w:rPr>
          <w:rStyle w:val="affffb"/>
        </w:rPr>
        <w:t>Codes of Conduct (CoC)</w:t>
      </w:r>
      <w:r w:rsidRPr="002B3F36">
        <w:rPr>
          <w:rFonts w:ascii="Arial" w:hAnsi="Arial" w:cs="Arial"/>
        </w:rPr>
        <w:t>: Mandatory adoption by contractors and subcontractors; induction and quarterly refresher trainings; signed by all workers and supervisors.</w:t>
      </w:r>
    </w:p>
    <w:p w14:paraId="37A4D9F6" w14:textId="77777777" w:rsidR="0035166D" w:rsidRPr="002B3F36" w:rsidRDefault="0035166D" w:rsidP="009B4CDB">
      <w:pPr>
        <w:pStyle w:val="aff9"/>
        <w:numPr>
          <w:ilvl w:val="0"/>
          <w:numId w:val="132"/>
        </w:numPr>
        <w:rPr>
          <w:rFonts w:ascii="Arial" w:hAnsi="Arial" w:cs="Arial"/>
        </w:rPr>
      </w:pPr>
      <w:r w:rsidRPr="002B3F36">
        <w:rPr>
          <w:rStyle w:val="affffb"/>
        </w:rPr>
        <w:t>GBV/SEA/SH Action Plan</w:t>
      </w:r>
      <w:r w:rsidRPr="002B3F36">
        <w:rPr>
          <w:rFonts w:ascii="Arial" w:hAnsi="Arial" w:cs="Arial"/>
        </w:rPr>
        <w:t>: Survivor-centered protocols with confidential reporting pathways; MOUs with qualified service providers; clear referral timeframes.</w:t>
      </w:r>
    </w:p>
    <w:p w14:paraId="4A4A74FA" w14:textId="77777777" w:rsidR="0035166D" w:rsidRPr="002B3F36" w:rsidRDefault="0035166D" w:rsidP="009B4CDB">
      <w:pPr>
        <w:pStyle w:val="aff9"/>
        <w:numPr>
          <w:ilvl w:val="0"/>
          <w:numId w:val="132"/>
        </w:numPr>
        <w:rPr>
          <w:rFonts w:ascii="Arial" w:hAnsi="Arial" w:cs="Arial"/>
        </w:rPr>
      </w:pPr>
      <w:r w:rsidRPr="002B3F36">
        <w:rPr>
          <w:rStyle w:val="affffb"/>
        </w:rPr>
        <w:lastRenderedPageBreak/>
        <w:t>Safe facilities</w:t>
      </w:r>
      <w:r w:rsidRPr="002B3F36">
        <w:rPr>
          <w:rFonts w:ascii="Arial" w:hAnsi="Arial" w:cs="Arial"/>
        </w:rPr>
        <w:t>: Well-lit, lockable, segregated toilets and bathing areas with menstrual hygiene provisions; regular maintenance and proximity to work areas.</w:t>
      </w:r>
    </w:p>
    <w:p w14:paraId="25768705" w14:textId="77777777" w:rsidR="0035166D" w:rsidRPr="002B3F36" w:rsidRDefault="0035166D" w:rsidP="009B4CDB">
      <w:pPr>
        <w:pStyle w:val="aff9"/>
        <w:numPr>
          <w:ilvl w:val="0"/>
          <w:numId w:val="132"/>
        </w:numPr>
        <w:rPr>
          <w:rFonts w:ascii="Arial" w:hAnsi="Arial" w:cs="Arial"/>
        </w:rPr>
      </w:pPr>
      <w:r w:rsidRPr="002B3F36">
        <w:rPr>
          <w:rStyle w:val="affffb"/>
        </w:rPr>
        <w:t>Training and awareness</w:t>
      </w:r>
      <w:r w:rsidRPr="002B3F36">
        <w:rPr>
          <w:rFonts w:ascii="Arial" w:hAnsi="Arial" w:cs="Arial"/>
        </w:rPr>
        <w:t>: Toolbox talks and supervisor training on respectful behavior, consent, bystander intervention, and sanctions for misconduct.</w:t>
      </w:r>
    </w:p>
    <w:p w14:paraId="4F268962" w14:textId="77777777" w:rsidR="0035166D" w:rsidRPr="002B3F36" w:rsidRDefault="0035166D" w:rsidP="009B4CDB">
      <w:pPr>
        <w:pStyle w:val="aff9"/>
        <w:numPr>
          <w:ilvl w:val="0"/>
          <w:numId w:val="132"/>
        </w:numPr>
        <w:rPr>
          <w:rFonts w:ascii="Arial" w:hAnsi="Arial" w:cs="Arial"/>
        </w:rPr>
      </w:pPr>
      <w:r w:rsidRPr="002B3F36">
        <w:rPr>
          <w:rStyle w:val="affffb"/>
        </w:rPr>
        <w:t>Female grievance focal points</w:t>
      </w:r>
      <w:r w:rsidRPr="002B3F36">
        <w:rPr>
          <w:rFonts w:ascii="Arial" w:hAnsi="Arial" w:cs="Arial"/>
        </w:rPr>
        <w:t>: At least one trained female confidant per camp/shift, supported by anonymous channels (hotline, complaint boxes, or apps).</w:t>
      </w:r>
    </w:p>
    <w:p w14:paraId="147141C8" w14:textId="77777777" w:rsidR="0035166D" w:rsidRPr="002B3F36" w:rsidRDefault="0035166D" w:rsidP="009B4CDB">
      <w:pPr>
        <w:pStyle w:val="aff9"/>
        <w:numPr>
          <w:ilvl w:val="0"/>
          <w:numId w:val="132"/>
        </w:numPr>
        <w:rPr>
          <w:rFonts w:ascii="Arial" w:hAnsi="Arial" w:cs="Arial"/>
        </w:rPr>
      </w:pPr>
      <w:r w:rsidRPr="002B3F36">
        <w:rPr>
          <w:rStyle w:val="affffb"/>
        </w:rPr>
        <w:t>Security management</w:t>
      </w:r>
      <w:r w:rsidRPr="002B3F36">
        <w:rPr>
          <w:rFonts w:ascii="Arial" w:hAnsi="Arial" w:cs="Arial"/>
        </w:rPr>
        <w:t>: Vetting and training of guards in line with the Voluntary Principles on Security and Human Rights; zero tolerance for abuse; body-worn logs and incident escalation protocols.</w:t>
      </w:r>
    </w:p>
    <w:p w14:paraId="57F54C94" w14:textId="77777777" w:rsidR="0035166D" w:rsidRPr="002B3F36" w:rsidRDefault="0035166D" w:rsidP="009B4CDB">
      <w:pPr>
        <w:pStyle w:val="aff9"/>
        <w:numPr>
          <w:ilvl w:val="0"/>
          <w:numId w:val="132"/>
        </w:numPr>
        <w:rPr>
          <w:rFonts w:ascii="Arial" w:hAnsi="Arial" w:cs="Arial"/>
        </w:rPr>
      </w:pPr>
      <w:r w:rsidRPr="002B3F36">
        <w:rPr>
          <w:rStyle w:val="affffb"/>
        </w:rPr>
        <w:t>Community engagement</w:t>
      </w:r>
      <w:r w:rsidRPr="002B3F36">
        <w:rPr>
          <w:rFonts w:ascii="Arial" w:hAnsi="Arial" w:cs="Arial"/>
        </w:rPr>
        <w:t>: Information sessions with women’s groups, health providers, and local authorities; culturally sensitive outreach; publicized no-retaliation commitments.</w:t>
      </w:r>
    </w:p>
    <w:p w14:paraId="7887A912" w14:textId="77777777" w:rsidR="0035166D" w:rsidRPr="002B3F36" w:rsidRDefault="0035166D" w:rsidP="009B4CDB">
      <w:pPr>
        <w:pStyle w:val="aff9"/>
        <w:numPr>
          <w:ilvl w:val="0"/>
          <w:numId w:val="132"/>
        </w:numPr>
        <w:rPr>
          <w:rFonts w:ascii="Arial" w:hAnsi="Arial" w:cs="Arial"/>
        </w:rPr>
      </w:pPr>
      <w:r w:rsidRPr="002B3F36">
        <w:rPr>
          <w:rStyle w:val="affffb"/>
        </w:rPr>
        <w:t>Monitoring and enforcement</w:t>
      </w:r>
      <w:r w:rsidRPr="002B3F36">
        <w:rPr>
          <w:rFonts w:ascii="Arial" w:hAnsi="Arial" w:cs="Arial"/>
        </w:rPr>
        <w:t>: Contract clauses with penalties for non-compliance; monthly reporting of GBV KPIs (trainings held, complaints received/resolved, actions taken).</w:t>
      </w:r>
    </w:p>
    <w:p w14:paraId="076E198B" w14:textId="113E1BC4" w:rsidR="0035166D" w:rsidRPr="002B3F36" w:rsidRDefault="0035166D" w:rsidP="00F82096">
      <w:pPr>
        <w:pStyle w:val="ReportBodyPar"/>
      </w:pPr>
      <w:r w:rsidRPr="002B3F36">
        <w:t xml:space="preserve">Through these measures, the Project will strengthen protections for workers and communities, uphold </w:t>
      </w:r>
      <w:r w:rsidR="00163238" w:rsidRPr="002B3F36">
        <w:t>WB PS</w:t>
      </w:r>
      <w:r w:rsidRPr="002B3F36">
        <w:t>2 and PS4 requirements, and ensure that construction proceeds within a framework of dignity, equity, and accountability.</w:t>
      </w:r>
    </w:p>
    <w:p w14:paraId="5EDD0E80" w14:textId="20A8CDAA" w:rsidR="00062C86" w:rsidRPr="002B3F36" w:rsidRDefault="00062C86" w:rsidP="00701F4F">
      <w:pPr>
        <w:pStyle w:val="41"/>
      </w:pPr>
      <w:bookmarkStart w:id="2409" w:name="_Toc210589505"/>
      <w:r w:rsidRPr="002B3F36">
        <w:t>Social Conflict (Labor Influx)</w:t>
      </w:r>
      <w:bookmarkEnd w:id="2403"/>
      <w:bookmarkEnd w:id="2404"/>
      <w:bookmarkEnd w:id="2405"/>
      <w:bookmarkEnd w:id="2406"/>
      <w:bookmarkEnd w:id="2407"/>
      <w:bookmarkEnd w:id="2409"/>
    </w:p>
    <w:p w14:paraId="10159B02" w14:textId="15320781" w:rsidR="0035166D" w:rsidRPr="002B3F36" w:rsidRDefault="0035166D" w:rsidP="00CF128E">
      <w:pPr>
        <w:pStyle w:val="ReportBodyPar"/>
      </w:pPr>
      <w:bookmarkStart w:id="2410" w:name="_Toc208973864"/>
      <w:bookmarkStart w:id="2411" w:name="_Toc208974064"/>
      <w:bookmarkStart w:id="2412" w:name="_Toc208974264"/>
      <w:bookmarkStart w:id="2413" w:name="_Toc208974466"/>
      <w:bookmarkStart w:id="2414" w:name="_Toc208974672"/>
      <w:bookmarkEnd w:id="2408"/>
      <w:r w:rsidRPr="002B3F36">
        <w:t xml:space="preserve">The </w:t>
      </w:r>
      <w:r w:rsidR="003650DB" w:rsidRPr="002B3F36">
        <w:rPr>
          <w:rStyle w:val="affffb"/>
        </w:rPr>
        <w:t xml:space="preserve">Mointy – Kyzylzhar </w:t>
      </w:r>
      <w:r w:rsidRPr="002B3F36">
        <w:rPr>
          <w:rStyle w:val="affffb"/>
        </w:rPr>
        <w:t>Railway Construction Project</w:t>
      </w:r>
      <w:r w:rsidRPr="002B3F36">
        <w:t xml:space="preserve"> recognizes that the deployment of a peak workforce comprising both local and non-local labor can place significant pressure on </w:t>
      </w:r>
      <w:r w:rsidRPr="002B3F36">
        <w:rPr>
          <w:rStyle w:val="affffb"/>
        </w:rPr>
        <w:t>housing, health services, water supply, waste systems, and local markets</w:t>
      </w:r>
      <w:r w:rsidRPr="002B3F36">
        <w:t xml:space="preserve">, while also elevating risks of </w:t>
      </w:r>
      <w:r w:rsidRPr="002B3F36">
        <w:rPr>
          <w:rStyle w:val="affffb"/>
        </w:rPr>
        <w:t>communicable diseases, petty crime, nuisance behavior, and social tensions</w:t>
      </w:r>
      <w:r w:rsidRPr="002B3F36">
        <w:t xml:space="preserve">. Without proactive management, labor influx has the potential to generate </w:t>
      </w:r>
      <w:r w:rsidRPr="002B3F36">
        <w:rPr>
          <w:rStyle w:val="affffb"/>
        </w:rPr>
        <w:t>community conflict</w:t>
      </w:r>
      <w:r w:rsidRPr="002B3F36">
        <w:t>, particularly in rural areas with limited infrastructure and resources. To address these challenges, the Project integrates robust labor influx management measures to minimize workforce-related impacts, safeguard vulnerable groups, and maintain positive relations with host communities.</w:t>
      </w:r>
    </w:p>
    <w:p w14:paraId="3C41D5B4" w14:textId="77777777" w:rsidR="00CF128E" w:rsidRPr="002B3F36" w:rsidRDefault="00CF128E" w:rsidP="00CF128E">
      <w:pPr>
        <w:pStyle w:val="ReportBodyPar"/>
      </w:pPr>
    </w:p>
    <w:p w14:paraId="27E85EB7" w14:textId="77777777" w:rsidR="0035166D" w:rsidRPr="002B3F36" w:rsidRDefault="0035166D" w:rsidP="0051430B">
      <w:pPr>
        <w:pStyle w:val="DiaList12"/>
        <w:rPr>
          <w:rFonts w:eastAsia="SimSun"/>
          <w:lang w:val="en-PH"/>
        </w:rPr>
      </w:pPr>
      <w:r w:rsidRPr="002B3F36">
        <w:rPr>
          <w:rFonts w:eastAsia="SimSun"/>
          <w:lang w:val="en-PH"/>
        </w:rPr>
        <w:t>Origin of Impact</w:t>
      </w:r>
    </w:p>
    <w:p w14:paraId="188654CB" w14:textId="77777777" w:rsidR="0035166D" w:rsidRPr="002B3F36" w:rsidRDefault="0035166D" w:rsidP="00CF128E">
      <w:pPr>
        <w:pStyle w:val="ReportBodyPar"/>
      </w:pPr>
      <w:r w:rsidRPr="002B3F36">
        <w:t>The risks of social conflict arise when:</w:t>
      </w:r>
    </w:p>
    <w:p w14:paraId="746FC011" w14:textId="77777777" w:rsidR="0035166D" w:rsidRPr="002B3F36" w:rsidRDefault="0035166D" w:rsidP="009B4CDB">
      <w:pPr>
        <w:pStyle w:val="aff9"/>
        <w:numPr>
          <w:ilvl w:val="0"/>
          <w:numId w:val="133"/>
        </w:numPr>
        <w:spacing w:before="0" w:beforeAutospacing="0"/>
        <w:rPr>
          <w:rFonts w:ascii="Arial" w:hAnsi="Arial" w:cs="Arial"/>
        </w:rPr>
      </w:pPr>
      <w:r w:rsidRPr="002B3F36">
        <w:rPr>
          <w:rFonts w:ascii="Arial" w:hAnsi="Arial" w:cs="Arial"/>
        </w:rPr>
        <w:t>Large, mixed local/non-local workforces increase demand for housing, health care, and water.</w:t>
      </w:r>
    </w:p>
    <w:p w14:paraId="7E284196" w14:textId="77777777" w:rsidR="0035166D" w:rsidRPr="002B3F36" w:rsidRDefault="0035166D" w:rsidP="009B4CDB">
      <w:pPr>
        <w:pStyle w:val="aff9"/>
        <w:numPr>
          <w:ilvl w:val="0"/>
          <w:numId w:val="133"/>
        </w:numPr>
        <w:rPr>
          <w:rFonts w:ascii="Arial" w:hAnsi="Arial" w:cs="Arial"/>
        </w:rPr>
      </w:pPr>
      <w:r w:rsidRPr="002B3F36">
        <w:rPr>
          <w:rFonts w:ascii="Arial" w:hAnsi="Arial" w:cs="Arial"/>
        </w:rPr>
        <w:t>Waste generation and traffic from camps and access roads strain local systems.</w:t>
      </w:r>
    </w:p>
    <w:p w14:paraId="6969099B" w14:textId="77777777" w:rsidR="0035166D" w:rsidRPr="002B3F36" w:rsidRDefault="0035166D" w:rsidP="009B4CDB">
      <w:pPr>
        <w:pStyle w:val="aff9"/>
        <w:numPr>
          <w:ilvl w:val="0"/>
          <w:numId w:val="133"/>
        </w:numPr>
        <w:rPr>
          <w:rFonts w:ascii="Arial" w:hAnsi="Arial" w:cs="Arial"/>
        </w:rPr>
      </w:pPr>
      <w:r w:rsidRPr="002B3F36">
        <w:rPr>
          <w:rFonts w:ascii="Arial" w:hAnsi="Arial" w:cs="Arial"/>
        </w:rPr>
        <w:t>Worker presence contributes to petty crime, nuisance behavior (noise, littering), or rising commodity prices.</w:t>
      </w:r>
    </w:p>
    <w:p w14:paraId="7DA271B8" w14:textId="77777777" w:rsidR="0035166D" w:rsidRPr="002B3F36" w:rsidRDefault="0035166D" w:rsidP="009B4CDB">
      <w:pPr>
        <w:pStyle w:val="aff9"/>
        <w:numPr>
          <w:ilvl w:val="0"/>
          <w:numId w:val="133"/>
        </w:numPr>
        <w:rPr>
          <w:rFonts w:ascii="Arial" w:hAnsi="Arial" w:cs="Arial"/>
        </w:rPr>
      </w:pPr>
      <w:r w:rsidRPr="002B3F36">
        <w:rPr>
          <w:rFonts w:ascii="Arial" w:hAnsi="Arial" w:cs="Arial"/>
        </w:rPr>
        <w:t>Perceptions of unfair hiring or unequal treatment foster resentment and disputes with host communities.</w:t>
      </w:r>
    </w:p>
    <w:p w14:paraId="5BF1AE0E" w14:textId="77777777" w:rsidR="0035166D" w:rsidRPr="002B3F36" w:rsidRDefault="0035166D" w:rsidP="0051430B">
      <w:pPr>
        <w:pStyle w:val="DiaList12"/>
        <w:rPr>
          <w:rFonts w:eastAsia="SimSun"/>
          <w:lang w:val="en-PH"/>
        </w:rPr>
      </w:pPr>
      <w:r w:rsidRPr="002B3F36">
        <w:rPr>
          <w:rFonts w:eastAsia="SimSun"/>
          <w:lang w:val="en-PH"/>
        </w:rPr>
        <w:t>Impact Assessment</w:t>
      </w:r>
    </w:p>
    <w:p w14:paraId="61AF45FF" w14:textId="75704888" w:rsidR="0035166D" w:rsidRPr="002B3F36" w:rsidRDefault="0035166D" w:rsidP="00CF128E">
      <w:pPr>
        <w:pStyle w:val="ReportBodyPar"/>
      </w:pPr>
      <w:r w:rsidRPr="002B3F36">
        <w:t xml:space="preserve">The </w:t>
      </w:r>
      <w:r w:rsidRPr="002B3F36">
        <w:rPr>
          <w:rStyle w:val="affffb"/>
        </w:rPr>
        <w:t xml:space="preserve">magnitude of impacts is </w:t>
      </w:r>
      <w:r w:rsidR="0083448D" w:rsidRPr="002B3F36">
        <w:rPr>
          <w:rStyle w:val="affffb"/>
        </w:rPr>
        <w:t>Low</w:t>
      </w:r>
      <w:r w:rsidRPr="002B3F36">
        <w:t xml:space="preserve">, but the </w:t>
      </w:r>
      <w:r w:rsidRPr="002B3F36">
        <w:rPr>
          <w:rStyle w:val="affffb"/>
        </w:rPr>
        <w:t xml:space="preserve">overall risk is </w:t>
      </w:r>
      <w:r w:rsidR="0083448D" w:rsidRPr="002B3F36">
        <w:rPr>
          <w:rStyle w:val="affffb"/>
        </w:rPr>
        <w:t>Low</w:t>
      </w:r>
      <w:r w:rsidR="0083448D" w:rsidRPr="002B3F36">
        <w:t xml:space="preserve"> since workers will be mainly working for the railroad project and be confined in</w:t>
      </w:r>
      <w:r w:rsidRPr="002B3F36">
        <w:t xml:space="preserve"> multiple worker camps and access roads along the </w:t>
      </w:r>
      <w:r w:rsidR="0083448D" w:rsidRPr="002B3F36">
        <w:t xml:space="preserve">rail </w:t>
      </w:r>
      <w:r w:rsidRPr="002B3F36">
        <w:t>corridor.</w:t>
      </w:r>
    </w:p>
    <w:p w14:paraId="53F3001E" w14:textId="77777777" w:rsidR="00F16A0A" w:rsidRPr="002B3F36" w:rsidRDefault="00F16A0A" w:rsidP="00F16A0A">
      <w:pPr>
        <w:pStyle w:val="ReportBodyPar"/>
      </w:pPr>
    </w:p>
    <w:p w14:paraId="2C585059" w14:textId="41BEB3EE" w:rsidR="00F16A0A" w:rsidRPr="002B3F36" w:rsidRDefault="005B430B" w:rsidP="00F16A0A">
      <w:pPr>
        <w:pStyle w:val="ReportBodyTextNogap"/>
      </w:pPr>
      <w:r w:rsidRPr="002B3F36">
        <w:t xml:space="preserve">The Project entails </w:t>
      </w:r>
      <w:r w:rsidR="0083448D" w:rsidRPr="002B3F36">
        <w:t>in</w:t>
      </w:r>
      <w:r w:rsidRPr="002B3F36">
        <w:t xml:space="preserve">direct social-conflict </w:t>
      </w:r>
      <w:r w:rsidR="00F23D20" w:rsidRPr="002B3F36">
        <w:t>with respect to L</w:t>
      </w:r>
      <w:r w:rsidRPr="002B3F36">
        <w:t xml:space="preserve">abor </w:t>
      </w:r>
      <w:r w:rsidR="00F23D20" w:rsidRPr="002B3F36">
        <w:t>I</w:t>
      </w:r>
      <w:r w:rsidRPr="002B3F36">
        <w:t xml:space="preserve">nflux risks </w:t>
      </w:r>
      <w:r w:rsidR="0083448D" w:rsidRPr="002B3F36">
        <w:t>to</w:t>
      </w:r>
      <w:r w:rsidRPr="002B3F36">
        <w:t xml:space="preserve"> workers</w:t>
      </w:r>
      <w:r w:rsidR="0083448D" w:rsidRPr="002B3F36">
        <w:t xml:space="preserve"> in the communities</w:t>
      </w:r>
      <w:r w:rsidRPr="002B3F36">
        <w:t xml:space="preserve">, </w:t>
      </w:r>
      <w:r w:rsidR="0083448D" w:rsidRPr="002B3F36">
        <w:t>as competition to existing work will not occur</w:t>
      </w:r>
      <w:r w:rsidRPr="002B3F36">
        <w:t xml:space="preserve">. Applying the Significance of Impact Matrix, workers are treated as medium-sensitivity receptors and the impact magnitude is </w:t>
      </w:r>
      <w:r w:rsidR="0083448D" w:rsidRPr="002B3F36">
        <w:t>Negligible</w:t>
      </w:r>
      <w:r w:rsidRPr="002B3F36">
        <w:t xml:space="preserve">, yielding an overall </w:t>
      </w:r>
      <w:r w:rsidR="0083448D" w:rsidRPr="002B3F36">
        <w:t>Low</w:t>
      </w:r>
      <w:r w:rsidRPr="002B3F36">
        <w:t xml:space="preserve"> significance.</w:t>
      </w:r>
    </w:p>
    <w:p w14:paraId="63371A26" w14:textId="77777777" w:rsidR="00F16A0A" w:rsidRPr="002B3F36" w:rsidRDefault="00F16A0A" w:rsidP="00CF128E">
      <w:pPr>
        <w:pStyle w:val="ReportBodyPar"/>
      </w:pPr>
    </w:p>
    <w:p w14:paraId="1C1D2B98" w14:textId="77777777" w:rsidR="0035166D" w:rsidRPr="002B3F36" w:rsidRDefault="0035166D" w:rsidP="0051430B">
      <w:pPr>
        <w:pStyle w:val="DiaList12"/>
        <w:rPr>
          <w:rFonts w:eastAsia="SimSun"/>
          <w:lang w:val="en-PH"/>
        </w:rPr>
      </w:pPr>
      <w:r w:rsidRPr="002B3F36">
        <w:rPr>
          <w:rFonts w:eastAsia="SimSun"/>
          <w:lang w:val="en-PH"/>
        </w:rPr>
        <w:lastRenderedPageBreak/>
        <w:t>Mitigation Measures</w:t>
      </w:r>
    </w:p>
    <w:p w14:paraId="261E2589" w14:textId="77777777" w:rsidR="0035166D" w:rsidRPr="002B3F36" w:rsidRDefault="0035166D" w:rsidP="00CF128E">
      <w:pPr>
        <w:pStyle w:val="ReportBodyTextNogap"/>
      </w:pPr>
      <w:r w:rsidRPr="002B3F36">
        <w:t>The Project will implement a package of preventive and responsive measures, including:</w:t>
      </w:r>
    </w:p>
    <w:p w14:paraId="6D92BEE6" w14:textId="77777777" w:rsidR="0035166D" w:rsidRPr="002B3F36" w:rsidRDefault="0035166D" w:rsidP="009B4CDB">
      <w:pPr>
        <w:pStyle w:val="aff9"/>
        <w:numPr>
          <w:ilvl w:val="0"/>
          <w:numId w:val="134"/>
        </w:numPr>
        <w:spacing w:before="0" w:beforeAutospacing="0"/>
        <w:rPr>
          <w:rFonts w:ascii="Arial" w:hAnsi="Arial" w:cs="Arial"/>
        </w:rPr>
      </w:pPr>
      <w:r w:rsidRPr="002B3F36">
        <w:rPr>
          <w:rStyle w:val="affffb"/>
        </w:rPr>
        <w:t>Local hiring and procurement</w:t>
      </w:r>
      <w:r w:rsidRPr="002B3F36">
        <w:rPr>
          <w:rFonts w:ascii="Arial" w:hAnsi="Arial" w:cs="Arial"/>
        </w:rPr>
        <w:t>: Set clear “local-first” hiring targets for unskilled and semi-skilled roles; advertise vacancies in local communities; procure goods and services from local SMEs wherever feasible.</w:t>
      </w:r>
    </w:p>
    <w:p w14:paraId="31B27E5C" w14:textId="77777777" w:rsidR="0035166D" w:rsidRPr="002B3F36" w:rsidRDefault="0035166D" w:rsidP="009B4CDB">
      <w:pPr>
        <w:pStyle w:val="aff9"/>
        <w:numPr>
          <w:ilvl w:val="0"/>
          <w:numId w:val="134"/>
        </w:numPr>
        <w:rPr>
          <w:rFonts w:ascii="Arial" w:hAnsi="Arial" w:cs="Arial"/>
        </w:rPr>
      </w:pPr>
      <w:r w:rsidRPr="002B3F36">
        <w:rPr>
          <w:rStyle w:val="affffb"/>
        </w:rPr>
        <w:t>Camp siting and management</w:t>
      </w:r>
      <w:r w:rsidRPr="002B3F36">
        <w:rPr>
          <w:rFonts w:ascii="Arial" w:hAnsi="Arial" w:cs="Arial"/>
        </w:rPr>
        <w:t>: Locate worker camps away from settlements; ensure access control; provide onsite amenities such as canteens, recreation areas, and internet/Wi-Fi to reduce unnecessary trips into towns.</w:t>
      </w:r>
    </w:p>
    <w:p w14:paraId="27A64C31" w14:textId="2C9D3E64" w:rsidR="0035166D" w:rsidRPr="002B3F36" w:rsidRDefault="0035166D" w:rsidP="009B4CDB">
      <w:pPr>
        <w:pStyle w:val="aff9"/>
        <w:numPr>
          <w:ilvl w:val="0"/>
          <w:numId w:val="134"/>
        </w:numPr>
        <w:rPr>
          <w:rFonts w:ascii="Arial" w:hAnsi="Arial" w:cs="Arial"/>
        </w:rPr>
      </w:pPr>
      <w:r w:rsidRPr="002B3F36">
        <w:rPr>
          <w:rStyle w:val="affffb"/>
        </w:rPr>
        <w:t>Health safeguards</w:t>
      </w:r>
      <w:r w:rsidRPr="002B3F36">
        <w:rPr>
          <w:rFonts w:ascii="Arial" w:hAnsi="Arial" w:cs="Arial"/>
        </w:rPr>
        <w:t xml:space="preserve">: Require pre-employment and periodic medical checks; implement vaccination programs in line with Ministry of Health guidance; deliver STI/HIV/TB/COVID </w:t>
      </w:r>
      <w:r w:rsidR="00CF128E" w:rsidRPr="002B3F36">
        <w:rPr>
          <w:rFonts w:ascii="Arial" w:hAnsi="Arial" w:cs="Arial"/>
        </w:rPr>
        <w:t xml:space="preserve">(or pandemic) </w:t>
      </w:r>
      <w:r w:rsidRPr="002B3F36">
        <w:rPr>
          <w:rFonts w:ascii="Arial" w:hAnsi="Arial" w:cs="Arial"/>
        </w:rPr>
        <w:t xml:space="preserve">awareness programs; establish onsite clinics and first aid; provide potable water and sanitation facilities consistent with RoK and </w:t>
      </w:r>
      <w:r w:rsidR="00F95BD8" w:rsidRPr="002B3F36">
        <w:rPr>
          <w:rFonts w:ascii="Arial" w:hAnsi="Arial" w:cs="Arial"/>
        </w:rPr>
        <w:t>WB</w:t>
      </w:r>
      <w:r w:rsidRPr="002B3F36">
        <w:rPr>
          <w:rFonts w:ascii="Arial" w:hAnsi="Arial" w:cs="Arial"/>
        </w:rPr>
        <w:t>/EBRD guidance.</w:t>
      </w:r>
    </w:p>
    <w:p w14:paraId="31C5B331" w14:textId="77777777" w:rsidR="0035166D" w:rsidRPr="002B3F36" w:rsidRDefault="0035166D" w:rsidP="009B4CDB">
      <w:pPr>
        <w:pStyle w:val="aff9"/>
        <w:numPr>
          <w:ilvl w:val="0"/>
          <w:numId w:val="134"/>
        </w:numPr>
        <w:rPr>
          <w:rFonts w:ascii="Arial" w:hAnsi="Arial" w:cs="Arial"/>
        </w:rPr>
      </w:pPr>
      <w:r w:rsidRPr="002B3F36">
        <w:rPr>
          <w:rStyle w:val="affffb"/>
        </w:rPr>
        <w:t>Waste, water, and traffic management</w:t>
      </w:r>
      <w:r w:rsidRPr="002B3F36">
        <w:rPr>
          <w:rFonts w:ascii="Arial" w:hAnsi="Arial" w:cs="Arial"/>
        </w:rPr>
        <w:t>: Develop Camp Waste and Wastewater Management Plans; ensure scheduled waste collection and disposal; implement a Traffic Management Plan (TMP) with one-way routing, speed controls, and designated access routes through villages.</w:t>
      </w:r>
    </w:p>
    <w:p w14:paraId="08782BE8" w14:textId="77777777" w:rsidR="0035166D" w:rsidRPr="002B3F36" w:rsidRDefault="0035166D" w:rsidP="009B4CDB">
      <w:pPr>
        <w:pStyle w:val="aff9"/>
        <w:numPr>
          <w:ilvl w:val="0"/>
          <w:numId w:val="134"/>
        </w:numPr>
        <w:rPr>
          <w:rFonts w:ascii="Arial" w:hAnsi="Arial" w:cs="Arial"/>
        </w:rPr>
      </w:pPr>
      <w:r w:rsidRPr="002B3F36">
        <w:rPr>
          <w:rStyle w:val="affffb"/>
        </w:rPr>
        <w:t>Cultural awareness</w:t>
      </w:r>
      <w:r w:rsidRPr="002B3F36">
        <w:rPr>
          <w:rFonts w:ascii="Arial" w:hAnsi="Arial" w:cs="Arial"/>
        </w:rPr>
        <w:t>: Conduct induction training for all non-local workers on local customs, traditions, and respectful conduct.</w:t>
      </w:r>
    </w:p>
    <w:p w14:paraId="0539133D" w14:textId="77777777" w:rsidR="0035166D" w:rsidRPr="002B3F36" w:rsidRDefault="0035166D" w:rsidP="009B4CDB">
      <w:pPr>
        <w:pStyle w:val="aff9"/>
        <w:numPr>
          <w:ilvl w:val="0"/>
          <w:numId w:val="134"/>
        </w:numPr>
        <w:rPr>
          <w:rFonts w:ascii="Arial" w:hAnsi="Arial" w:cs="Arial"/>
        </w:rPr>
      </w:pPr>
      <w:r w:rsidRPr="002B3F36">
        <w:rPr>
          <w:rStyle w:val="affffb"/>
        </w:rPr>
        <w:t>Stakeholder engagement and grievance redress</w:t>
      </w:r>
      <w:r w:rsidRPr="002B3F36">
        <w:rPr>
          <w:rFonts w:ascii="Arial" w:hAnsi="Arial" w:cs="Arial"/>
        </w:rPr>
        <w:t>: Hold ongoing meetings with akimats, community leaders, and women’s/youth groups; maintain an accessible community grievance redress mechanism (GRM) with confidential reporting channels and a transparent feedback process.</w:t>
      </w:r>
    </w:p>
    <w:p w14:paraId="79A3C839" w14:textId="77777777" w:rsidR="0035166D" w:rsidRPr="002B3F36" w:rsidRDefault="0035166D" w:rsidP="009B4CDB">
      <w:pPr>
        <w:pStyle w:val="aff9"/>
        <w:numPr>
          <w:ilvl w:val="0"/>
          <w:numId w:val="134"/>
        </w:numPr>
        <w:rPr>
          <w:rFonts w:ascii="Arial" w:hAnsi="Arial" w:cs="Arial"/>
        </w:rPr>
      </w:pPr>
      <w:r w:rsidRPr="002B3F36">
        <w:rPr>
          <w:rStyle w:val="affffb"/>
        </w:rPr>
        <w:t>Behavioral policies</w:t>
      </w:r>
      <w:r w:rsidRPr="002B3F36">
        <w:rPr>
          <w:rFonts w:ascii="Arial" w:hAnsi="Arial" w:cs="Arial"/>
        </w:rPr>
        <w:t>: Establish strict rules regarding alcohol, gambling, and prostitution, supported by sanctions and referral options for counseling.</w:t>
      </w:r>
    </w:p>
    <w:p w14:paraId="1B453456" w14:textId="77777777" w:rsidR="0035166D" w:rsidRPr="002B3F36" w:rsidRDefault="0035166D" w:rsidP="009B4CDB">
      <w:pPr>
        <w:pStyle w:val="aff9"/>
        <w:numPr>
          <w:ilvl w:val="0"/>
          <w:numId w:val="134"/>
        </w:numPr>
        <w:rPr>
          <w:rFonts w:ascii="Arial" w:hAnsi="Arial" w:cs="Arial"/>
        </w:rPr>
      </w:pPr>
      <w:r w:rsidRPr="002B3F36">
        <w:rPr>
          <w:rStyle w:val="affffb"/>
        </w:rPr>
        <w:t>Monitoring and adaptive management</w:t>
      </w:r>
      <w:r w:rsidRPr="002B3F36">
        <w:rPr>
          <w:rFonts w:ascii="Arial" w:hAnsi="Arial" w:cs="Arial"/>
        </w:rPr>
        <w:t>: Track camp/community incidents, housing availability, commodity price changes, and health service utilization; apply corrective measures in collaboration with local authorities if thresholds are exceeded.</w:t>
      </w:r>
    </w:p>
    <w:p w14:paraId="48F58402" w14:textId="77777777" w:rsidR="0035166D" w:rsidRPr="002B3F36" w:rsidRDefault="0035166D" w:rsidP="00F47182">
      <w:pPr>
        <w:pStyle w:val="ReportBodyPar"/>
      </w:pPr>
      <w:r w:rsidRPr="002B3F36">
        <w:t>Through these measures, the Project will reduce labor influx risks, maintain community cohesion, and ensure that construction proceeds in a socially responsible and inclusive manner.</w:t>
      </w:r>
    </w:p>
    <w:p w14:paraId="7DFAFBCB" w14:textId="68CB65BC" w:rsidR="00062C86" w:rsidRPr="002B3F36" w:rsidRDefault="00062C86" w:rsidP="00701F4F">
      <w:pPr>
        <w:pStyle w:val="41"/>
        <w:rPr>
          <w:rFonts w:eastAsia="Times New Roman"/>
        </w:rPr>
      </w:pPr>
      <w:bookmarkStart w:id="2415" w:name="_Toc210589506"/>
      <w:r w:rsidRPr="002B3F36">
        <w:t>Employment and Livelihood</w:t>
      </w:r>
      <w:bookmarkEnd w:id="2410"/>
      <w:bookmarkEnd w:id="2411"/>
      <w:bookmarkEnd w:id="2412"/>
      <w:bookmarkEnd w:id="2413"/>
      <w:bookmarkEnd w:id="2414"/>
      <w:bookmarkEnd w:id="2415"/>
    </w:p>
    <w:p w14:paraId="49ECC6F6" w14:textId="03A80323" w:rsidR="00EA5357" w:rsidRPr="002B3F36" w:rsidRDefault="00EA5357" w:rsidP="00CF128E">
      <w:pPr>
        <w:pStyle w:val="ReportBodyPar"/>
      </w:pPr>
      <w:r w:rsidRPr="002B3F36">
        <w:t xml:space="preserve">The Project will generate considerable employment and livelihood opportunities across its lifecycle. During </w:t>
      </w:r>
      <w:r w:rsidRPr="002B3F36">
        <w:rPr>
          <w:rStyle w:val="affffb"/>
        </w:rPr>
        <w:t>construction</w:t>
      </w:r>
      <w:r w:rsidRPr="002B3F36">
        <w:t xml:space="preserve">, jobs will be created through direct employment, contracted labor, and supply chain roles, while also stimulating local services and </w:t>
      </w:r>
      <w:r w:rsidRPr="002B3F36">
        <w:rPr>
          <w:rStyle w:val="affffb"/>
        </w:rPr>
        <w:t>small and medium enterprises (SMEs)</w:t>
      </w:r>
      <w:r w:rsidRPr="002B3F36">
        <w:t xml:space="preserve"> in sectors such as catering, transport, aggregates, and maintenance. In the </w:t>
      </w:r>
      <w:r w:rsidRPr="002B3F36">
        <w:rPr>
          <w:rStyle w:val="affffb"/>
        </w:rPr>
        <w:t>operational phase</w:t>
      </w:r>
      <w:r w:rsidRPr="002B3F36">
        <w:t>, enhanced railway connectivity is expected to reduce logistics costs, improve access to agricultural markets, and foster new business opportunities and enterprises around stations and passing loops.</w:t>
      </w:r>
    </w:p>
    <w:p w14:paraId="5F8CF5B5" w14:textId="77777777" w:rsidR="00CF128E" w:rsidRPr="002B3F36" w:rsidRDefault="00CF128E" w:rsidP="00CF128E">
      <w:pPr>
        <w:pStyle w:val="ReportBodyPar"/>
      </w:pPr>
    </w:p>
    <w:p w14:paraId="1B99B731" w14:textId="77777777" w:rsidR="00EA5357" w:rsidRPr="002B3F36" w:rsidRDefault="00EA5357" w:rsidP="0051430B">
      <w:pPr>
        <w:pStyle w:val="DiaList12"/>
        <w:rPr>
          <w:rFonts w:eastAsia="SimSun"/>
          <w:lang w:val="en-PH"/>
        </w:rPr>
      </w:pPr>
      <w:r w:rsidRPr="002B3F36">
        <w:rPr>
          <w:rFonts w:eastAsia="SimSun"/>
          <w:lang w:val="en-PH"/>
        </w:rPr>
        <w:t>Benefit-Enhancement Measures</w:t>
      </w:r>
    </w:p>
    <w:p w14:paraId="731594E2" w14:textId="77777777" w:rsidR="00EA5357" w:rsidRPr="002B3F36" w:rsidRDefault="00EA5357" w:rsidP="00CF128E">
      <w:pPr>
        <w:pStyle w:val="ReportBodyPar"/>
      </w:pPr>
      <w:r w:rsidRPr="002B3F36">
        <w:t>To maximize socio-economic benefits and ensure that opportunities are inclusive and sustainable, the Project will implement targeted measures, including:</w:t>
      </w:r>
    </w:p>
    <w:p w14:paraId="1DFDAA40" w14:textId="77777777" w:rsidR="00EA5357" w:rsidRPr="002B3F36" w:rsidRDefault="00EA5357" w:rsidP="009B4CDB">
      <w:pPr>
        <w:pStyle w:val="aff9"/>
        <w:numPr>
          <w:ilvl w:val="0"/>
          <w:numId w:val="135"/>
        </w:numPr>
        <w:spacing w:before="0" w:beforeAutospacing="0"/>
        <w:rPr>
          <w:rFonts w:ascii="Arial" w:hAnsi="Arial" w:cs="Arial"/>
        </w:rPr>
      </w:pPr>
      <w:r w:rsidRPr="002B3F36">
        <w:rPr>
          <w:rStyle w:val="affffb"/>
        </w:rPr>
        <w:t>Skills development and certification</w:t>
      </w:r>
      <w:r w:rsidRPr="002B3F36">
        <w:rPr>
          <w:rFonts w:ascii="Arial" w:hAnsi="Arial" w:cs="Arial"/>
        </w:rPr>
        <w:t>: Training of local workers in plant operation, welding, occupational health and safety (OHS), and traffic control, with certification provided where feasible to enhance employability beyond the Project’s lifespan.</w:t>
      </w:r>
    </w:p>
    <w:p w14:paraId="27790E60" w14:textId="77777777" w:rsidR="00EA5357" w:rsidRPr="002B3F36" w:rsidRDefault="00EA5357" w:rsidP="009B4CDB">
      <w:pPr>
        <w:pStyle w:val="aff9"/>
        <w:numPr>
          <w:ilvl w:val="0"/>
          <w:numId w:val="135"/>
        </w:numPr>
        <w:rPr>
          <w:rFonts w:ascii="Arial" w:hAnsi="Arial" w:cs="Arial"/>
        </w:rPr>
      </w:pPr>
      <w:r w:rsidRPr="002B3F36">
        <w:rPr>
          <w:rStyle w:val="affffb"/>
        </w:rPr>
        <w:t>Inclusive access</w:t>
      </w:r>
      <w:r w:rsidRPr="002B3F36">
        <w:rPr>
          <w:rFonts w:ascii="Arial" w:hAnsi="Arial" w:cs="Arial"/>
        </w:rPr>
        <w:t>: Proactive outreach to women, youth, and vulnerable groups, combined with barrier-reduction initiatives such as transport stipends or childcare support where practicable.</w:t>
      </w:r>
    </w:p>
    <w:p w14:paraId="6A294A65" w14:textId="77777777" w:rsidR="00EA5357" w:rsidRPr="002B3F36" w:rsidRDefault="00EA5357" w:rsidP="009B4CDB">
      <w:pPr>
        <w:pStyle w:val="aff9"/>
        <w:numPr>
          <w:ilvl w:val="0"/>
          <w:numId w:val="135"/>
        </w:numPr>
        <w:rPr>
          <w:rFonts w:ascii="Arial" w:hAnsi="Arial" w:cs="Arial"/>
        </w:rPr>
      </w:pPr>
      <w:r w:rsidRPr="002B3F36">
        <w:rPr>
          <w:rStyle w:val="affffb"/>
        </w:rPr>
        <w:lastRenderedPageBreak/>
        <w:t>SME development</w:t>
      </w:r>
      <w:r w:rsidRPr="002B3F36">
        <w:rPr>
          <w:rFonts w:ascii="Arial" w:hAnsi="Arial" w:cs="Arial"/>
        </w:rPr>
        <w:t>: Contract unbundling to enable participation of local SMEs; fair payment terms to strengthen liquidity; and capacity-building sessions on HSE standards, bookkeeping, and tendering processes.</w:t>
      </w:r>
    </w:p>
    <w:p w14:paraId="4D17F682" w14:textId="77777777" w:rsidR="00EA5357" w:rsidRPr="002B3F36" w:rsidRDefault="00EA5357" w:rsidP="009B4CDB">
      <w:pPr>
        <w:pStyle w:val="aff9"/>
        <w:numPr>
          <w:ilvl w:val="0"/>
          <w:numId w:val="135"/>
        </w:numPr>
        <w:rPr>
          <w:rFonts w:ascii="Arial" w:hAnsi="Arial" w:cs="Arial"/>
        </w:rPr>
      </w:pPr>
      <w:r w:rsidRPr="002B3F36">
        <w:rPr>
          <w:rStyle w:val="affffb"/>
        </w:rPr>
        <w:t>Transition and demobilization planning</w:t>
      </w:r>
      <w:r w:rsidRPr="002B3F36">
        <w:rPr>
          <w:rFonts w:ascii="Arial" w:hAnsi="Arial" w:cs="Arial"/>
        </w:rPr>
        <w:t>: Support at the close of construction through CV-writing workshops, job fairs with other infrastructure projects, and provision of reference letters to facilitate redeployment and sustained livelihoods.</w:t>
      </w:r>
    </w:p>
    <w:p w14:paraId="6FD95B7E" w14:textId="3B9E77C5" w:rsidR="00F61F8E" w:rsidRPr="002B3F36" w:rsidRDefault="00EA5357" w:rsidP="00CF128E">
      <w:pPr>
        <w:pStyle w:val="ReportBodyPar"/>
      </w:pPr>
      <w:r w:rsidRPr="002B3F36">
        <w:t xml:space="preserve">Through these measures, the Project will not only create </w:t>
      </w:r>
      <w:r w:rsidRPr="002B3F36">
        <w:rPr>
          <w:rStyle w:val="affffb"/>
        </w:rPr>
        <w:t>short-term employment during construction</w:t>
      </w:r>
      <w:r w:rsidRPr="002B3F36">
        <w:t xml:space="preserve"> but also contribute to </w:t>
      </w:r>
      <w:r w:rsidRPr="002B3F36">
        <w:rPr>
          <w:rStyle w:val="affffb"/>
        </w:rPr>
        <w:t>long-term livelihood resilience and local economic development</w:t>
      </w:r>
      <w:r w:rsidRPr="002B3F36">
        <w:t>, ensuring that communities benefit from the infrastructure well beyond its commissioning.</w:t>
      </w:r>
      <w:r w:rsidR="001C4BCB" w:rsidRPr="002B3F36">
        <w:t xml:space="preserve"> </w:t>
      </w:r>
    </w:p>
    <w:p w14:paraId="1C62A54B" w14:textId="530F2AD1" w:rsidR="00A273C4" w:rsidRPr="002B3F36" w:rsidRDefault="00A273C4" w:rsidP="00CF128E">
      <w:pPr>
        <w:pStyle w:val="ReportBodyPar"/>
      </w:pPr>
    </w:p>
    <w:p w14:paraId="7AEDD59A" w14:textId="27E737A8" w:rsidR="00F16A0A" w:rsidRPr="002B3F36" w:rsidRDefault="001C4BCB" w:rsidP="00F16A0A">
      <w:pPr>
        <w:pStyle w:val="ReportBodyTextNogap"/>
      </w:pPr>
      <w:r w:rsidRPr="002B3F36">
        <w:t xml:space="preserve">The Project generates a direct employment and livelihood-related benefit for construction personnel, who are fully employed or even those who will be partly employed. With a duration is short-term based on the construction period; the scale is limited to the Project workforce </w:t>
      </w:r>
      <w:r w:rsidR="009D0CE5" w:rsidRPr="002B3F36">
        <w:t>directly;</w:t>
      </w:r>
      <w:r w:rsidRPr="002B3F36">
        <w:t xml:space="preserve"> however indirect benefits can </w:t>
      </w:r>
      <w:r w:rsidR="009D0CE5" w:rsidRPr="002B3F36">
        <w:t xml:space="preserve">be </w:t>
      </w:r>
      <w:r w:rsidRPr="002B3F36">
        <w:t xml:space="preserve">felt by the communities near the construction sites due to increase in business. Notwithstanding, the frequency of potential effects is continuous/daily over active work periods. Under the Significance of Impact Matrix, since </w:t>
      </w:r>
      <w:r w:rsidR="00001D53">
        <w:t>direct employment and livelihood refers</w:t>
      </w:r>
      <w:r w:rsidRPr="002B3F36">
        <w:t xml:space="preserve"> more </w:t>
      </w:r>
      <w:r w:rsidR="00001D53">
        <w:t xml:space="preserve">to </w:t>
      </w:r>
      <w:r w:rsidRPr="002B3F36">
        <w:t>benefits, this will be a positive impact</w:t>
      </w:r>
      <w:r w:rsidR="009C7800" w:rsidRPr="002B3F36">
        <w:t xml:space="preserve"> and of Moderate Level</w:t>
      </w:r>
      <w:r w:rsidRPr="002B3F36">
        <w:t>.</w:t>
      </w:r>
    </w:p>
    <w:p w14:paraId="27EA92AC" w14:textId="77777777" w:rsidR="00F16A0A" w:rsidRPr="002B3F36" w:rsidRDefault="00F16A0A" w:rsidP="00CF128E">
      <w:pPr>
        <w:pStyle w:val="ReportBodyPar"/>
      </w:pPr>
    </w:p>
    <w:p w14:paraId="2067BA16" w14:textId="38427C8F" w:rsidR="006545A4" w:rsidRPr="002B3F36" w:rsidRDefault="006545A4" w:rsidP="00BE6DDE">
      <w:pPr>
        <w:pStyle w:val="20"/>
        <w:spacing w:before="0"/>
      </w:pPr>
      <w:bookmarkStart w:id="2416" w:name="_Toc208973865"/>
      <w:bookmarkStart w:id="2417" w:name="_Toc208974065"/>
      <w:bookmarkStart w:id="2418" w:name="_Toc208974265"/>
      <w:bookmarkStart w:id="2419" w:name="_Toc208974467"/>
      <w:bookmarkStart w:id="2420" w:name="_Toc208974673"/>
      <w:bookmarkStart w:id="2421" w:name="_Toc210589507"/>
      <w:bookmarkStart w:id="2422" w:name="_Toc169094781"/>
      <w:r w:rsidRPr="002B3F36">
        <w:t>Environmental and Social Risks and Impacts Related to PS3</w:t>
      </w:r>
      <w:bookmarkEnd w:id="2416"/>
      <w:bookmarkEnd w:id="2417"/>
      <w:bookmarkEnd w:id="2418"/>
      <w:bookmarkEnd w:id="2419"/>
      <w:bookmarkEnd w:id="2420"/>
      <w:bookmarkEnd w:id="2421"/>
      <w:r w:rsidRPr="002B3F36">
        <w:t xml:space="preserve"> </w:t>
      </w:r>
    </w:p>
    <w:p w14:paraId="69B15150" w14:textId="77777777" w:rsidR="00D12952" w:rsidRPr="002B3F36" w:rsidRDefault="00D12952" w:rsidP="00D12952">
      <w:pPr>
        <w:pStyle w:val="ReportParagraph"/>
      </w:pPr>
    </w:p>
    <w:p w14:paraId="4C88701B" w14:textId="3B01B210" w:rsidR="0057666A" w:rsidRPr="002B3F36" w:rsidRDefault="0057666A" w:rsidP="0057666A">
      <w:pPr>
        <w:pStyle w:val="ReportParagraph"/>
      </w:pPr>
      <w:r w:rsidRPr="002B3F36">
        <w:t xml:space="preserve">Aligned with </w:t>
      </w:r>
      <w:r w:rsidR="000F5B76" w:rsidRPr="002B3F36">
        <w:t xml:space="preserve">WB </w:t>
      </w:r>
      <w:r w:rsidRPr="002B3F36">
        <w:t>Performance Standard 3 (PS3), the railway project will implement strict measures to manage soil quality, land resources, air emissions, and noise impacts throughout the construction and operational phases. Special attention will be given to the handling of hazardous substances, spill prevention protocols, and the control of sediment pollution in surface waters to minimize risks to communities and ecosystems. Pollution prevention strategies will be integrated into project design and execution to ensure resource efficiency and compliance with national regulations and international best practices.</w:t>
      </w:r>
    </w:p>
    <w:p w14:paraId="5766CCD3" w14:textId="77777777" w:rsidR="0057666A" w:rsidRPr="002B3F36" w:rsidRDefault="0057666A" w:rsidP="0057666A">
      <w:pPr>
        <w:pStyle w:val="ReportParagraph"/>
      </w:pPr>
    </w:p>
    <w:p w14:paraId="707455BA" w14:textId="09693DCC" w:rsidR="006545A4" w:rsidRPr="002B3F36" w:rsidRDefault="006545A4" w:rsidP="00B947A4">
      <w:pPr>
        <w:pStyle w:val="31"/>
      </w:pPr>
      <w:r w:rsidRPr="002B3F36">
        <w:t xml:space="preserve"> </w:t>
      </w:r>
      <w:bookmarkStart w:id="2423" w:name="_Toc208973866"/>
      <w:bookmarkStart w:id="2424" w:name="_Toc208974066"/>
      <w:bookmarkStart w:id="2425" w:name="_Toc208974266"/>
      <w:bookmarkStart w:id="2426" w:name="_Toc208974468"/>
      <w:bookmarkStart w:id="2427" w:name="_Toc208974674"/>
      <w:bookmarkStart w:id="2428" w:name="_Toc210589508"/>
      <w:r w:rsidRPr="002B3F36">
        <w:t>Soil Quality and Land Resources</w:t>
      </w:r>
      <w:bookmarkStart w:id="2429" w:name="_Toc208974469"/>
      <w:bookmarkEnd w:id="2423"/>
      <w:bookmarkEnd w:id="2424"/>
      <w:bookmarkEnd w:id="2425"/>
      <w:bookmarkEnd w:id="2426"/>
      <w:bookmarkEnd w:id="2427"/>
      <w:bookmarkEnd w:id="2428"/>
      <w:bookmarkEnd w:id="2429"/>
    </w:p>
    <w:p w14:paraId="1C7CF156" w14:textId="24C1BF7F" w:rsidR="0051430B" w:rsidRPr="002B3F36" w:rsidRDefault="0051430B" w:rsidP="0051430B">
      <w:pPr>
        <w:pStyle w:val="ReportBodyPar"/>
        <w:rPr>
          <w:lang w:val="en-PH"/>
        </w:rPr>
      </w:pPr>
      <w:bookmarkStart w:id="2430" w:name="_Toc208973867"/>
      <w:bookmarkStart w:id="2431" w:name="_Toc208974067"/>
      <w:bookmarkStart w:id="2432" w:name="_Toc208974267"/>
      <w:bookmarkStart w:id="2433" w:name="_Toc208974470"/>
      <w:bookmarkStart w:id="2434" w:name="_Toc208974675"/>
    </w:p>
    <w:p w14:paraId="37DC2AC0" w14:textId="4B18E5FB" w:rsidR="00430106" w:rsidRPr="002B3F36" w:rsidRDefault="00430106" w:rsidP="0051430B">
      <w:pPr>
        <w:pStyle w:val="ReportBodyPar"/>
        <w:rPr>
          <w:lang w:val="en-PH"/>
        </w:rPr>
      </w:pPr>
      <w:r w:rsidRPr="002B3F36">
        <w:rPr>
          <w:lang w:val="en-PH"/>
        </w:rPr>
        <w:t>The assessment of soil quality and land resources for the Mointy</w:t>
      </w:r>
      <w:r w:rsidR="00E63A1E" w:rsidRPr="002B3F36">
        <w:rPr>
          <w:lang w:val="en-PH"/>
        </w:rPr>
        <w:t xml:space="preserve"> - </w:t>
      </w:r>
      <w:r w:rsidRPr="002B3F36">
        <w:rPr>
          <w:lang w:val="en-PH"/>
        </w:rPr>
        <w:t xml:space="preserve">Kyzylzhar Railway Project is guided by </w:t>
      </w:r>
      <w:r w:rsidR="00163238" w:rsidRPr="002B3F36">
        <w:rPr>
          <w:lang w:val="en-PH"/>
        </w:rPr>
        <w:t>WB PS</w:t>
      </w:r>
      <w:r w:rsidRPr="002B3F36">
        <w:rPr>
          <w:lang w:val="en-PH"/>
        </w:rPr>
        <w:t xml:space="preserve">1, with a strong emphasis on PS3 and Kazakhstan’s Environmental Code (2021) and Land Code (2003). Construction activities involving excavation, backfilling, material storage, and waste generation pose risks of soil erosion, compaction, and chemical contamination from hydrocarbons, cement, and hazardous materials. As PS3 requires minimizing pollution and promoting resource efficiency, site-specific soil management and spill prevention measures will be applied to protect agricultural lands, sensitive steppe soils, and the </w:t>
      </w:r>
      <w:r w:rsidR="00662145" w:rsidRPr="002B3F36">
        <w:rPr>
          <w:lang w:val="en-PH"/>
        </w:rPr>
        <w:t xml:space="preserve">Andasai </w:t>
      </w:r>
      <w:r w:rsidRPr="002B3F36">
        <w:rPr>
          <w:lang w:val="en-PH"/>
        </w:rPr>
        <w:t>Sanctuary, ensuring compliance with national and international standards.</w:t>
      </w:r>
    </w:p>
    <w:p w14:paraId="64F4816E" w14:textId="77777777" w:rsidR="00430106" w:rsidRPr="002B3F36" w:rsidRDefault="00430106" w:rsidP="0051430B">
      <w:pPr>
        <w:pStyle w:val="ReportBodyPar"/>
        <w:rPr>
          <w:lang w:val="en-PH"/>
        </w:rPr>
      </w:pPr>
    </w:p>
    <w:p w14:paraId="36BE45D7" w14:textId="58465021" w:rsidR="00EA5357" w:rsidRPr="002B3F36" w:rsidRDefault="00EA5357" w:rsidP="0051430B">
      <w:pPr>
        <w:pStyle w:val="DiaList12"/>
        <w:rPr>
          <w:rFonts w:eastAsia="SimSun"/>
          <w:lang w:val="en-PH"/>
        </w:rPr>
      </w:pPr>
      <w:r w:rsidRPr="002B3F36">
        <w:rPr>
          <w:rFonts w:eastAsia="SimSun"/>
          <w:lang w:val="en-PH"/>
        </w:rPr>
        <w:t>Origin of Impact</w:t>
      </w:r>
    </w:p>
    <w:p w14:paraId="3C8A0ECA" w14:textId="77777777" w:rsidR="00EA5357" w:rsidRPr="002B3F36" w:rsidRDefault="00EA5357" w:rsidP="00E63A1E">
      <w:pPr>
        <w:pStyle w:val="ReportBodyPar"/>
      </w:pPr>
      <w:r w:rsidRPr="002B3F36">
        <w:t xml:space="preserve">Construction of the </w:t>
      </w:r>
      <w:r w:rsidRPr="002B3F36">
        <w:rPr>
          <w:rStyle w:val="affffb"/>
        </w:rPr>
        <w:t>Mointy–Kyzylzhar Railway</w:t>
      </w:r>
      <w:r w:rsidRPr="002B3F36">
        <w:t xml:space="preserve"> will require extensive land disturbance across the alignment and associated facilities. Key sources of impact include:</w:t>
      </w:r>
    </w:p>
    <w:p w14:paraId="17663261" w14:textId="05DC5852" w:rsidR="00EA5357" w:rsidRPr="002B3F36" w:rsidRDefault="00EA5357" w:rsidP="009B4CDB">
      <w:pPr>
        <w:pStyle w:val="aff9"/>
        <w:numPr>
          <w:ilvl w:val="0"/>
          <w:numId w:val="136"/>
        </w:numPr>
        <w:spacing w:before="0" w:beforeAutospacing="0"/>
        <w:rPr>
          <w:rFonts w:ascii="Arial" w:hAnsi="Arial" w:cs="Arial"/>
        </w:rPr>
      </w:pPr>
      <w:r w:rsidRPr="002B3F36">
        <w:rPr>
          <w:rStyle w:val="affffb"/>
        </w:rPr>
        <w:t>Backfilling and embankment construction</w:t>
      </w:r>
      <w:r w:rsidRPr="002B3F36">
        <w:rPr>
          <w:rFonts w:ascii="Arial" w:hAnsi="Arial" w:cs="Arial"/>
        </w:rPr>
        <w:t xml:space="preserve"> for the new </w:t>
      </w:r>
      <w:r w:rsidR="00662145" w:rsidRPr="002B3F36">
        <w:rPr>
          <w:rFonts w:ascii="Arial" w:hAnsi="Arial" w:cs="Arial"/>
        </w:rPr>
        <w:t>track bed</w:t>
      </w:r>
      <w:r w:rsidRPr="002B3F36">
        <w:rPr>
          <w:rFonts w:ascii="Arial" w:hAnsi="Arial" w:cs="Arial"/>
        </w:rPr>
        <w:t>.</w:t>
      </w:r>
    </w:p>
    <w:p w14:paraId="46A7624B" w14:textId="77777777" w:rsidR="00EA5357" w:rsidRPr="002B3F36" w:rsidRDefault="00EA5357" w:rsidP="009B4CDB">
      <w:pPr>
        <w:pStyle w:val="aff9"/>
        <w:numPr>
          <w:ilvl w:val="0"/>
          <w:numId w:val="136"/>
        </w:numPr>
        <w:rPr>
          <w:rFonts w:ascii="Arial" w:hAnsi="Arial" w:cs="Arial"/>
        </w:rPr>
      </w:pPr>
      <w:r w:rsidRPr="002B3F36">
        <w:rPr>
          <w:rStyle w:val="affffb"/>
        </w:rPr>
        <w:t>Excavation and development of auxiliary facilities</w:t>
      </w:r>
      <w:r w:rsidRPr="002B3F36">
        <w:rPr>
          <w:rFonts w:ascii="Arial" w:hAnsi="Arial" w:cs="Arial"/>
        </w:rPr>
        <w:t>, such as contractor camps, batching and crushing plants, borrow pits, and access roads.</w:t>
      </w:r>
    </w:p>
    <w:p w14:paraId="1E72B3C9" w14:textId="5F2BA5C8" w:rsidR="00EA5357" w:rsidRPr="002B3F36" w:rsidRDefault="00EA5357" w:rsidP="009B4CDB">
      <w:pPr>
        <w:pStyle w:val="aff9"/>
        <w:numPr>
          <w:ilvl w:val="0"/>
          <w:numId w:val="136"/>
        </w:numPr>
        <w:rPr>
          <w:rFonts w:ascii="Arial" w:hAnsi="Arial" w:cs="Arial"/>
        </w:rPr>
      </w:pPr>
      <w:r w:rsidRPr="002B3F36">
        <w:rPr>
          <w:rStyle w:val="affffb"/>
        </w:rPr>
        <w:t>Transport, storage, and handling</w:t>
      </w:r>
      <w:r w:rsidRPr="002B3F36">
        <w:rPr>
          <w:rFonts w:ascii="Arial" w:hAnsi="Arial" w:cs="Arial"/>
        </w:rPr>
        <w:t xml:space="preserve"> of fuels, oils, cement, and other construction materials.</w:t>
      </w:r>
    </w:p>
    <w:p w14:paraId="3167E602" w14:textId="77777777" w:rsidR="00EA5357" w:rsidRPr="002B3F36" w:rsidRDefault="00EA5357" w:rsidP="009B4CDB">
      <w:pPr>
        <w:pStyle w:val="aff9"/>
        <w:numPr>
          <w:ilvl w:val="0"/>
          <w:numId w:val="136"/>
        </w:numPr>
        <w:rPr>
          <w:rFonts w:ascii="Arial" w:hAnsi="Arial" w:cs="Arial"/>
        </w:rPr>
      </w:pPr>
      <w:r w:rsidRPr="002B3F36">
        <w:rPr>
          <w:rStyle w:val="affffb"/>
        </w:rPr>
        <w:lastRenderedPageBreak/>
        <w:t>Generation and disposal of solid and liquid waste</w:t>
      </w:r>
      <w:r w:rsidRPr="002B3F36">
        <w:rPr>
          <w:rFonts w:ascii="Arial" w:hAnsi="Arial" w:cs="Arial"/>
        </w:rPr>
        <w:t xml:space="preserve"> from camps and construction sites.</w:t>
      </w:r>
    </w:p>
    <w:p w14:paraId="79EFB935" w14:textId="173C28AE" w:rsidR="00EA5357" w:rsidRPr="002B3F36" w:rsidRDefault="00EA5357" w:rsidP="00E63A1E">
      <w:pPr>
        <w:pStyle w:val="ReportBodyTextNogap"/>
      </w:pPr>
      <w:r w:rsidRPr="002B3F36">
        <w:t xml:space="preserve">These activities present risks of both </w:t>
      </w:r>
      <w:r w:rsidRPr="002B3F36">
        <w:rPr>
          <w:rStyle w:val="affffb"/>
        </w:rPr>
        <w:t>mechanical disturbance</w:t>
      </w:r>
      <w:r w:rsidRPr="002B3F36">
        <w:t xml:space="preserve"> (e.g., topsoil stripping, compaction, erosion) and </w:t>
      </w:r>
      <w:r w:rsidRPr="002B3F36">
        <w:rPr>
          <w:rStyle w:val="affffb"/>
        </w:rPr>
        <w:t>chemical disturbance</w:t>
      </w:r>
      <w:r w:rsidRPr="002B3F36">
        <w:t xml:space="preserve"> (e.g., oil or fuel spills, hazardous substance leaks, cement dust, exhaust particulate deposition). In Kazakhstan’s steppe environment, </w:t>
      </w:r>
      <w:r w:rsidRPr="002B3F36">
        <w:rPr>
          <w:rStyle w:val="affffb"/>
        </w:rPr>
        <w:t>dark chestnut soils</w:t>
      </w:r>
      <w:r w:rsidRPr="002B3F36">
        <w:t xml:space="preserve"> are relatively resilient, while </w:t>
      </w:r>
      <w:r w:rsidRPr="002B3F36">
        <w:rPr>
          <w:rStyle w:val="affffb"/>
        </w:rPr>
        <w:t>saline and degraded soils</w:t>
      </w:r>
      <w:r w:rsidRPr="002B3F36">
        <w:t xml:space="preserve"> are more vulnerable to irreversible damage. The most sensitive receptors include </w:t>
      </w:r>
      <w:r w:rsidRPr="002B3F36">
        <w:rPr>
          <w:rStyle w:val="affffb"/>
        </w:rPr>
        <w:t>private gardens, orchards, agricultural lands, and zones within the Andasa</w:t>
      </w:r>
      <w:r w:rsidR="00662145" w:rsidRPr="002B3F36">
        <w:rPr>
          <w:rStyle w:val="affffb"/>
        </w:rPr>
        <w:t>i</w:t>
      </w:r>
      <w:r w:rsidRPr="002B3F36">
        <w:rPr>
          <w:rStyle w:val="affffb"/>
        </w:rPr>
        <w:t xml:space="preserve"> sanctuary</w:t>
      </w:r>
      <w:r w:rsidRPr="002B3F36">
        <w:t>.</w:t>
      </w:r>
    </w:p>
    <w:p w14:paraId="40058CEC" w14:textId="2BAF842E" w:rsidR="00E63A1E" w:rsidRPr="002B3F36" w:rsidRDefault="00E63A1E" w:rsidP="00E63A1E">
      <w:pPr>
        <w:pStyle w:val="ReportBodyTextNogap"/>
      </w:pPr>
    </w:p>
    <w:p w14:paraId="04C6FE5D" w14:textId="2C03075B" w:rsidR="00F47182" w:rsidRPr="00A846C7" w:rsidRDefault="00D34729">
      <w:pPr>
        <w:pStyle w:val="ReportBodyPar"/>
      </w:pPr>
      <w:r w:rsidRPr="00A846C7">
        <w:t>Light-chestnut and underdeveloped soils are less resistant to mechanical impacts. Overall, an area of approximately 100 square kilometers will be negatively impacted. The most sensitive recipients of soil pollution will be agricultural lands, pastures, and protected areas.</w:t>
      </w:r>
      <w:r w:rsidR="00D50A14" w:rsidRPr="00A846C7">
        <w:t xml:space="preserve"> </w:t>
      </w:r>
      <w:r w:rsidRPr="00A846C7">
        <w:t>The proposed construction involves the use of approximately 33 quarries located along the road. The quarries will be deepened to 3-4 meters, and soil will be removed. The quarries will remain in place. Only minor slope leveling is planned.</w:t>
      </w:r>
      <w:r w:rsidR="00D50A14" w:rsidRPr="00A846C7">
        <w:t xml:space="preserve"> </w:t>
      </w:r>
    </w:p>
    <w:p w14:paraId="5C7B3C0A" w14:textId="77777777" w:rsidR="00D34729" w:rsidRPr="002B3F36" w:rsidRDefault="00D34729">
      <w:pPr>
        <w:pStyle w:val="ReportBodyPar"/>
      </w:pPr>
      <w:r w:rsidRPr="00A846C7">
        <w:t>Through these measures, the Project will minimize both mechanical and chemical soil disturbance, safeguard productive land uses, and reduce long-term risks of soil contamination and fertility loss.</w:t>
      </w:r>
    </w:p>
    <w:p w14:paraId="076E9CE6" w14:textId="77777777" w:rsidR="00D34729" w:rsidRPr="002B3F36" w:rsidRDefault="00D34729" w:rsidP="00E63A1E">
      <w:pPr>
        <w:pStyle w:val="ReportBodyTextNogap"/>
      </w:pPr>
    </w:p>
    <w:p w14:paraId="7CA12853" w14:textId="77777777" w:rsidR="00EA5357" w:rsidRPr="002B3F36" w:rsidRDefault="00EA5357" w:rsidP="0051430B">
      <w:pPr>
        <w:pStyle w:val="DiaList12"/>
        <w:rPr>
          <w:rFonts w:eastAsia="SimSun"/>
          <w:lang w:val="en-PH"/>
        </w:rPr>
      </w:pPr>
      <w:r w:rsidRPr="002B3F36">
        <w:rPr>
          <w:rFonts w:eastAsia="SimSun"/>
          <w:lang w:val="en-PH"/>
        </w:rPr>
        <w:t>Impact Assessment</w:t>
      </w:r>
    </w:p>
    <w:p w14:paraId="4D9504F1" w14:textId="637928DB" w:rsidR="00EA5357" w:rsidRPr="002B3F36" w:rsidRDefault="00EA5357" w:rsidP="009B4CDB">
      <w:pPr>
        <w:pStyle w:val="aff9"/>
        <w:numPr>
          <w:ilvl w:val="0"/>
          <w:numId w:val="137"/>
        </w:numPr>
        <w:spacing w:before="0" w:beforeAutospacing="0"/>
        <w:rPr>
          <w:rFonts w:ascii="Arial" w:hAnsi="Arial" w:cs="Arial"/>
        </w:rPr>
      </w:pPr>
      <w:r w:rsidRPr="002B3F36">
        <w:rPr>
          <w:rStyle w:val="affffb"/>
        </w:rPr>
        <w:t>Mechanical disturbance</w:t>
      </w:r>
      <w:r w:rsidRPr="002B3F36">
        <w:rPr>
          <w:rFonts w:ascii="Arial" w:hAnsi="Arial" w:cs="Arial"/>
        </w:rPr>
        <w:t>: Compaction, mixing of fertile and sterile soil layers, and topsoil stripping without proper stockpiling could significantly reduce soil fertility and hinder restoration potential.</w:t>
      </w:r>
    </w:p>
    <w:p w14:paraId="3A214887" w14:textId="0F154A90" w:rsidR="00D34729" w:rsidRPr="002B3F36" w:rsidRDefault="00D34729" w:rsidP="00F47182">
      <w:pPr>
        <w:pStyle w:val="aff9"/>
        <w:ind w:left="720"/>
        <w:jc w:val="both"/>
        <w:rPr>
          <w:rFonts w:ascii="Arial" w:hAnsi="Arial" w:cs="Arial"/>
        </w:rPr>
      </w:pPr>
      <w:r w:rsidRPr="00A846C7">
        <w:rPr>
          <w:rFonts w:ascii="Arial" w:hAnsi="Arial" w:cs="Arial"/>
        </w:rPr>
        <w:t>The design solutions call for the removal of the surface soil layer (0-20 cm) and its subsequent use in reclamation work on disturbed areas. An area of approximately 100 square kilometers will be disturbed. The total volume of natural vegetation layer removal (0.20 m) is 1,177,198.29 m³; the total volume of soil (embankment construction) is 13,165,360.32 m³.</w:t>
      </w:r>
    </w:p>
    <w:p w14:paraId="68EB7714" w14:textId="3EDA3B8C" w:rsidR="00EA5357" w:rsidRPr="002B3F36" w:rsidRDefault="00EA5357" w:rsidP="009B4CDB">
      <w:pPr>
        <w:pStyle w:val="aff9"/>
        <w:numPr>
          <w:ilvl w:val="0"/>
          <w:numId w:val="137"/>
        </w:numPr>
        <w:rPr>
          <w:rFonts w:ascii="Arial" w:hAnsi="Arial" w:cs="Arial"/>
        </w:rPr>
      </w:pPr>
      <w:r w:rsidRPr="002B3F36">
        <w:rPr>
          <w:rStyle w:val="affffb"/>
        </w:rPr>
        <w:t>Chemical disturbance</w:t>
      </w:r>
      <w:r w:rsidRPr="002B3F36">
        <w:rPr>
          <w:rFonts w:ascii="Arial" w:hAnsi="Arial" w:cs="Arial"/>
        </w:rPr>
        <w:t>: Hydrocarbon leaks, cement deposition, and improper handling of hazardous materials may reduce infiltration capacity and soil function, with indirect pathways to affect vegetation, livestock, and human health.</w:t>
      </w:r>
    </w:p>
    <w:p w14:paraId="552B3D67" w14:textId="43A15650" w:rsidR="00D34729" w:rsidRPr="002B3F36" w:rsidRDefault="00D34729" w:rsidP="00F47182">
      <w:pPr>
        <w:pStyle w:val="aff9"/>
        <w:ind w:left="720"/>
        <w:jc w:val="both"/>
        <w:rPr>
          <w:rFonts w:ascii="Arial" w:hAnsi="Arial" w:cs="Arial"/>
        </w:rPr>
      </w:pPr>
      <w:r w:rsidRPr="00A846C7">
        <w:rPr>
          <w:rFonts w:ascii="Arial" w:hAnsi="Arial" w:cs="Arial"/>
        </w:rPr>
        <w:t>During the work, dust will be generated in the area (construction work only) and soil contamination from atmospheric pollutants may occur (very low impact due to the alkalinity of desert soils). Pollutants from the soil can be released into plants, humans, and animals. The dust area can be very large and can be observed at a distance of up to 1-2 km from the source.</w:t>
      </w:r>
    </w:p>
    <w:p w14:paraId="2C4418D4" w14:textId="229D3869" w:rsidR="00EA5357" w:rsidRPr="002B3F36" w:rsidRDefault="00EA5357" w:rsidP="009B4CDB">
      <w:pPr>
        <w:pStyle w:val="aff9"/>
        <w:numPr>
          <w:ilvl w:val="0"/>
          <w:numId w:val="137"/>
        </w:numPr>
        <w:rPr>
          <w:rFonts w:ascii="Arial" w:hAnsi="Arial" w:cs="Arial"/>
        </w:rPr>
      </w:pPr>
      <w:r w:rsidRPr="002B3F36">
        <w:rPr>
          <w:rStyle w:val="affffb"/>
        </w:rPr>
        <w:t>Waste mismanagement</w:t>
      </w:r>
      <w:r w:rsidRPr="002B3F36">
        <w:rPr>
          <w:rFonts w:ascii="Arial" w:hAnsi="Arial" w:cs="Arial"/>
        </w:rPr>
        <w:t>: Improper disposal of solid and liquid waste may degrade soil quality, increase salinity, and result in long-term leaching of contaminants.</w:t>
      </w:r>
    </w:p>
    <w:p w14:paraId="760E2058" w14:textId="77777777" w:rsidR="00D34729" w:rsidRPr="00A846C7" w:rsidRDefault="00D34729" w:rsidP="00F47182">
      <w:pPr>
        <w:pStyle w:val="aff9"/>
        <w:ind w:left="720"/>
        <w:jc w:val="both"/>
        <w:rPr>
          <w:rFonts w:ascii="Arial" w:hAnsi="Arial" w:cs="Arial"/>
        </w:rPr>
      </w:pPr>
      <w:r w:rsidRPr="00A846C7">
        <w:rPr>
          <w:rFonts w:ascii="Arial" w:hAnsi="Arial" w:cs="Arial"/>
        </w:rPr>
        <w:t>The design does not provide for the discharge of wastewater or waste onto the surface. All wastewater and waste will be safely collected and disposed of in accordance with the laws of the Republic of Kazakhstan.</w:t>
      </w:r>
    </w:p>
    <w:p w14:paraId="16FBD6FE" w14:textId="77777777" w:rsidR="00D34729" w:rsidRPr="00A846C7" w:rsidRDefault="00D34729" w:rsidP="00F47182">
      <w:pPr>
        <w:pStyle w:val="aff9"/>
        <w:ind w:left="720"/>
        <w:jc w:val="both"/>
        <w:rPr>
          <w:rFonts w:ascii="Arial" w:hAnsi="Arial" w:cs="Arial"/>
        </w:rPr>
      </w:pPr>
      <w:r w:rsidRPr="00A846C7">
        <w:rPr>
          <w:rFonts w:ascii="Arial" w:hAnsi="Arial" w:cs="Arial"/>
        </w:rPr>
        <w:t xml:space="preserve">The removal of land from the pasture category will have a significant negative impact on the population. Loss of pastures, dust pollution, fragmentation of the territory, and changes in soil quality over a large area will negatively impact the project area without </w:t>
      </w:r>
      <w:r w:rsidRPr="00A846C7">
        <w:rPr>
          <w:rFonts w:ascii="Arial" w:hAnsi="Arial" w:cs="Arial"/>
        </w:rPr>
        <w:lastRenderedPageBreak/>
        <w:t>the implementation of a comprehensive set of environmental protection and compensatory measures.</w:t>
      </w:r>
    </w:p>
    <w:p w14:paraId="56738E09" w14:textId="77777777" w:rsidR="00D34729" w:rsidRPr="00A846C7" w:rsidRDefault="00D34729" w:rsidP="00F47182">
      <w:pPr>
        <w:pStyle w:val="aff9"/>
        <w:ind w:left="720"/>
        <w:jc w:val="both"/>
        <w:rPr>
          <w:rFonts w:ascii="Arial" w:hAnsi="Arial" w:cs="Arial"/>
        </w:rPr>
      </w:pPr>
      <w:r w:rsidRPr="00A846C7">
        <w:rPr>
          <w:rFonts w:ascii="Arial" w:hAnsi="Arial" w:cs="Arial"/>
          <w:i/>
          <w:iCs/>
        </w:rPr>
        <w:t>During operation</w:t>
      </w:r>
      <w:r w:rsidRPr="00A846C7">
        <w:rPr>
          <w:rFonts w:ascii="Arial" w:hAnsi="Arial" w:cs="Arial"/>
        </w:rPr>
        <w:t>, the main impact on soils may only be atmospheric pollutant deposition. The impact will be minor. The proposed reclamation work on disturbed areas will create conditions for their restoration.</w:t>
      </w:r>
    </w:p>
    <w:p w14:paraId="2A1CDF37" w14:textId="77777777" w:rsidR="00D34729" w:rsidRPr="00A846C7" w:rsidRDefault="00D34729" w:rsidP="00F47182">
      <w:pPr>
        <w:pStyle w:val="aff9"/>
        <w:ind w:left="720"/>
        <w:jc w:val="both"/>
        <w:rPr>
          <w:rFonts w:ascii="Arial" w:hAnsi="Arial" w:cs="Arial"/>
          <w:i/>
          <w:iCs/>
        </w:rPr>
      </w:pPr>
      <w:r w:rsidRPr="00A846C7">
        <w:rPr>
          <w:rFonts w:ascii="Arial" w:hAnsi="Arial" w:cs="Arial"/>
          <w:i/>
          <w:iCs/>
        </w:rPr>
        <w:t>Background pollution characteristics</w:t>
      </w:r>
    </w:p>
    <w:p w14:paraId="30AC02B2" w14:textId="77777777" w:rsidR="00D34729" w:rsidRPr="002B3F36" w:rsidRDefault="00D34729" w:rsidP="00F47182">
      <w:pPr>
        <w:pStyle w:val="aff9"/>
        <w:ind w:left="720"/>
        <w:jc w:val="both"/>
        <w:rPr>
          <w:rFonts w:ascii="Arial" w:hAnsi="Arial" w:cs="Arial"/>
        </w:rPr>
      </w:pPr>
      <w:r w:rsidRPr="00A846C7">
        <w:rPr>
          <w:rFonts w:ascii="Arial" w:hAnsi="Arial" w:cs="Arial"/>
        </w:rPr>
        <w:t>The project involves new construction along a route previously unused for road construction—a "conditionally clean" route. Background pollution characteristics have not been determined for this area in the Republic of Kazakhstan.</w:t>
      </w:r>
    </w:p>
    <w:p w14:paraId="4B793955" w14:textId="3D5E6FED" w:rsidR="00EA5357" w:rsidRPr="002B3F36" w:rsidRDefault="00F16A0A" w:rsidP="00F82096">
      <w:pPr>
        <w:pStyle w:val="ReportBodyTextNogap"/>
      </w:pPr>
      <w:r w:rsidRPr="00A846C7">
        <w:t>In terms of</w:t>
      </w:r>
      <w:r w:rsidRPr="002B3F36">
        <w:t xml:space="preserve"> </w:t>
      </w:r>
      <w:r w:rsidR="00411EE4" w:rsidRPr="002B3F36">
        <w:t>Soil Quality and Land Resources</w:t>
      </w:r>
      <w:r w:rsidRPr="00A846C7">
        <w:t xml:space="preserve"> risks, the Project will introduce “direct” impact to </w:t>
      </w:r>
      <w:r w:rsidR="00411EE4" w:rsidRPr="00A846C7">
        <w:t>the environment</w:t>
      </w:r>
      <w:r w:rsidRPr="00A846C7">
        <w:t>. In terms of duration, exposure</w:t>
      </w:r>
      <w:r w:rsidR="00411EE4" w:rsidRPr="00A846C7">
        <w:t xml:space="preserve"> on </w:t>
      </w:r>
      <w:r w:rsidR="009D0CE5" w:rsidRPr="00A846C7">
        <w:t>point</w:t>
      </w:r>
      <w:r w:rsidR="00411EE4" w:rsidRPr="00A846C7">
        <w:t xml:space="preserve"> along the railway alignment</w:t>
      </w:r>
      <w:r w:rsidRPr="00A846C7">
        <w:t xml:space="preserve"> is </w:t>
      </w:r>
      <w:r w:rsidR="00411EE4" w:rsidRPr="00A846C7">
        <w:t>a brief</w:t>
      </w:r>
      <w:r w:rsidRPr="00A846C7">
        <w:t xml:space="preserve"> period, this can be considered as “short term”, </w:t>
      </w:r>
      <w:r w:rsidR="00411EE4" w:rsidRPr="00A846C7">
        <w:t>and</w:t>
      </w:r>
      <w:r w:rsidRPr="00A846C7">
        <w:t xml:space="preserve"> “limited in scale” since the it affects only the </w:t>
      </w:r>
      <w:r w:rsidR="00411EE4" w:rsidRPr="00A846C7">
        <w:t>certain spot at a time. T</w:t>
      </w:r>
      <w:r w:rsidRPr="00A846C7">
        <w:t xml:space="preserve">he “frequency of impact” </w:t>
      </w:r>
      <w:r w:rsidR="00411EE4" w:rsidRPr="00A846C7">
        <w:t>will not also be</w:t>
      </w:r>
      <w:r w:rsidRPr="00A846C7">
        <w:t xml:space="preserve"> daily or continuous conduct of the work scope up to completion of the project. Applying the “Significance of Impact Matrix”, it can be considered that the </w:t>
      </w:r>
      <w:r w:rsidR="00411EE4" w:rsidRPr="00A846C7">
        <w:t xml:space="preserve">environment </w:t>
      </w:r>
      <w:r w:rsidRPr="00A846C7">
        <w:t>may have receptor “</w:t>
      </w:r>
      <w:r w:rsidR="00411EE4" w:rsidRPr="00A846C7">
        <w:t>Low</w:t>
      </w:r>
      <w:r w:rsidRPr="00A846C7">
        <w:t xml:space="preserve"> sensitivity” as </w:t>
      </w:r>
      <w:r w:rsidR="00411EE4" w:rsidRPr="00A846C7">
        <w:t xml:space="preserve">nature would have sufficient </w:t>
      </w:r>
      <w:r w:rsidR="009D0CE5" w:rsidRPr="00A846C7">
        <w:t>absorptive</w:t>
      </w:r>
      <w:r w:rsidR="00411EE4" w:rsidRPr="00A846C7">
        <w:t xml:space="preserve"> capacity on every spot</w:t>
      </w:r>
      <w:r w:rsidRPr="00A846C7">
        <w:t>. This yields a significance impact of “</w:t>
      </w:r>
      <w:r w:rsidR="00411EE4" w:rsidRPr="00A846C7">
        <w:rPr>
          <w:b/>
        </w:rPr>
        <w:t>Minor</w:t>
      </w:r>
      <w:r w:rsidRPr="00A846C7">
        <w:t>”.</w:t>
      </w:r>
      <w:r w:rsidR="00EA5357" w:rsidRPr="002B3F36">
        <w:t xml:space="preserve"> However, because </w:t>
      </w:r>
      <w:r w:rsidR="00EA5357" w:rsidRPr="002B3F36">
        <w:rPr>
          <w:rStyle w:val="affffb"/>
        </w:rPr>
        <w:t>soil recovery is a slow process</w:t>
      </w:r>
      <w:r w:rsidR="00EA5357" w:rsidRPr="002B3F36">
        <w:t>, preventive measures and careful management are essential to avoid long-term degradation</w:t>
      </w:r>
      <w:r w:rsidR="004E4191" w:rsidRPr="002B3F36">
        <w:t xml:space="preserve"> and keep residual effects from trending toward </w:t>
      </w:r>
      <w:r w:rsidR="004E4191" w:rsidRPr="002B3F36">
        <w:rPr>
          <w:rStyle w:val="affffb"/>
        </w:rPr>
        <w:t>major</w:t>
      </w:r>
      <w:r w:rsidR="004E4191" w:rsidRPr="002B3F36">
        <w:t xml:space="preserve"> and instead closer to </w:t>
      </w:r>
      <w:r w:rsidR="004E4191" w:rsidRPr="002B3F36">
        <w:rPr>
          <w:rStyle w:val="affffb"/>
        </w:rPr>
        <w:t>minor/negligible</w:t>
      </w:r>
      <w:r w:rsidR="00EA5357" w:rsidRPr="002B3F36">
        <w:t>.</w:t>
      </w:r>
    </w:p>
    <w:p w14:paraId="50F29DDD" w14:textId="77777777" w:rsidR="002B774D" w:rsidRPr="002B3F36" w:rsidRDefault="002B774D" w:rsidP="002B774D">
      <w:pPr>
        <w:pStyle w:val="ReportBodyPar"/>
      </w:pPr>
    </w:p>
    <w:p w14:paraId="04995430" w14:textId="77777777" w:rsidR="00EA5357" w:rsidRPr="002B3F36" w:rsidRDefault="00EA5357" w:rsidP="0051430B">
      <w:pPr>
        <w:pStyle w:val="DiaList12"/>
        <w:rPr>
          <w:rFonts w:eastAsia="SimSun"/>
          <w:lang w:val="en-PH"/>
        </w:rPr>
      </w:pPr>
      <w:r w:rsidRPr="002B3F36">
        <w:rPr>
          <w:rFonts w:eastAsia="SimSun"/>
          <w:lang w:val="en-PH"/>
        </w:rPr>
        <w:t>Mitigation Measures</w:t>
      </w:r>
    </w:p>
    <w:p w14:paraId="304CCF87" w14:textId="77777777" w:rsidR="00085672" w:rsidRPr="002B3F36" w:rsidRDefault="00085672" w:rsidP="00085672">
      <w:pPr>
        <w:pStyle w:val="aff9"/>
        <w:spacing w:before="0" w:beforeAutospacing="0" w:after="0" w:afterAutospacing="0"/>
        <w:rPr>
          <w:rStyle w:val="affffb"/>
        </w:rPr>
      </w:pPr>
    </w:p>
    <w:p w14:paraId="093F74E8" w14:textId="033C0307" w:rsidR="00EA5357" w:rsidRPr="002B3F36" w:rsidRDefault="00EA5357" w:rsidP="00085672">
      <w:pPr>
        <w:pStyle w:val="aff9"/>
        <w:spacing w:before="0" w:beforeAutospacing="0" w:after="0" w:afterAutospacing="0"/>
        <w:rPr>
          <w:rFonts w:ascii="Arial" w:hAnsi="Arial" w:cs="Arial"/>
        </w:rPr>
      </w:pPr>
      <w:r w:rsidRPr="002B3F36">
        <w:rPr>
          <w:rStyle w:val="affffb"/>
        </w:rPr>
        <w:t>Planning and Management</w:t>
      </w:r>
    </w:p>
    <w:p w14:paraId="627495FC" w14:textId="6AF89C1B" w:rsidR="00EA5357" w:rsidRPr="002B3F36" w:rsidRDefault="00EA5357" w:rsidP="009B4CDB">
      <w:pPr>
        <w:pStyle w:val="aff9"/>
        <w:numPr>
          <w:ilvl w:val="0"/>
          <w:numId w:val="138"/>
        </w:numPr>
        <w:spacing w:before="0" w:beforeAutospacing="0"/>
        <w:rPr>
          <w:rFonts w:ascii="Arial" w:hAnsi="Arial" w:cs="Arial"/>
        </w:rPr>
      </w:pPr>
      <w:r w:rsidRPr="002B3F36">
        <w:rPr>
          <w:rFonts w:ascii="Arial" w:hAnsi="Arial" w:cs="Arial"/>
        </w:rPr>
        <w:t xml:space="preserve">Contractors will prepare a </w:t>
      </w:r>
      <w:r w:rsidRPr="002B3F36">
        <w:rPr>
          <w:rStyle w:val="affffb"/>
        </w:rPr>
        <w:t>Soil Management Plan</w:t>
      </w:r>
      <w:r w:rsidRPr="002B3F36">
        <w:rPr>
          <w:rFonts w:ascii="Arial" w:hAnsi="Arial" w:cs="Arial"/>
        </w:rPr>
        <w:t xml:space="preserve">, </w:t>
      </w:r>
      <w:r w:rsidRPr="002B3F36">
        <w:rPr>
          <w:rStyle w:val="affffb"/>
        </w:rPr>
        <w:t>Borrow Pit/Quarry Management Plan</w:t>
      </w:r>
      <w:r w:rsidRPr="002B3F36">
        <w:rPr>
          <w:rFonts w:ascii="Arial" w:hAnsi="Arial" w:cs="Arial"/>
        </w:rPr>
        <w:t xml:space="preserve">, and </w:t>
      </w:r>
      <w:r w:rsidRPr="002B3F36">
        <w:rPr>
          <w:rStyle w:val="affffb"/>
        </w:rPr>
        <w:t>Site Restoration Plan</w:t>
      </w:r>
      <w:r w:rsidRPr="002B3F36">
        <w:rPr>
          <w:rFonts w:ascii="Arial" w:hAnsi="Arial" w:cs="Arial"/>
        </w:rPr>
        <w:t xml:space="preserve"> prior to the commencement of works. All plans will be reviewed and approved by the Engineer and the </w:t>
      </w:r>
      <w:r w:rsidR="00464922" w:rsidRPr="002B3F36">
        <w:rPr>
          <w:rFonts w:ascii="Arial" w:hAnsi="Arial" w:cs="Arial"/>
        </w:rPr>
        <w:t>KTZ</w:t>
      </w:r>
      <w:r w:rsidRPr="002B3F36">
        <w:rPr>
          <w:rFonts w:ascii="Arial" w:hAnsi="Arial" w:cs="Arial"/>
        </w:rPr>
        <w:t>’s E&amp;S staff.</w:t>
      </w:r>
    </w:p>
    <w:p w14:paraId="2DAADD1C" w14:textId="77777777" w:rsidR="00EA5357" w:rsidRPr="002B3F36" w:rsidRDefault="00EA5357" w:rsidP="009B4CDB">
      <w:pPr>
        <w:pStyle w:val="aff9"/>
        <w:numPr>
          <w:ilvl w:val="0"/>
          <w:numId w:val="138"/>
        </w:numPr>
        <w:rPr>
          <w:rFonts w:ascii="Arial" w:hAnsi="Arial" w:cs="Arial"/>
        </w:rPr>
      </w:pPr>
      <w:r w:rsidRPr="002B3F36">
        <w:rPr>
          <w:rFonts w:ascii="Arial" w:hAnsi="Arial" w:cs="Arial"/>
        </w:rPr>
        <w:t xml:space="preserve">Sensitive soils, agricultural land, and drainage areas will be </w:t>
      </w:r>
      <w:r w:rsidRPr="002B3F36">
        <w:rPr>
          <w:rStyle w:val="affffb"/>
        </w:rPr>
        <w:t>mapped and demarcated</w:t>
      </w:r>
      <w:r w:rsidRPr="002B3F36">
        <w:rPr>
          <w:rFonts w:ascii="Arial" w:hAnsi="Arial" w:cs="Arial"/>
        </w:rPr>
        <w:t>, with restrictions on heavy equipment access to reduce unnecessary disturbance.</w:t>
      </w:r>
    </w:p>
    <w:p w14:paraId="0EF1389E" w14:textId="77777777" w:rsidR="00EA5357" w:rsidRPr="002B3F36" w:rsidRDefault="00EA5357" w:rsidP="00085672">
      <w:pPr>
        <w:pStyle w:val="aff9"/>
        <w:spacing w:after="0" w:afterAutospacing="0"/>
        <w:rPr>
          <w:rFonts w:ascii="Arial" w:hAnsi="Arial" w:cs="Arial"/>
        </w:rPr>
      </w:pPr>
      <w:r w:rsidRPr="002B3F36">
        <w:rPr>
          <w:rStyle w:val="affffb"/>
        </w:rPr>
        <w:t>Operational Controls</w:t>
      </w:r>
      <w:r w:rsidRPr="002B3F36">
        <w:rPr>
          <w:rFonts w:ascii="Arial" w:hAnsi="Arial" w:cs="Arial"/>
        </w:rPr>
        <w:t xml:space="preserve"> (to be further detailed in site-specific plans):</w:t>
      </w:r>
    </w:p>
    <w:p w14:paraId="5715B6C6" w14:textId="77777777" w:rsidR="00EA5357" w:rsidRPr="002B3F36" w:rsidRDefault="00EA5357" w:rsidP="009B4CDB">
      <w:pPr>
        <w:pStyle w:val="aff9"/>
        <w:numPr>
          <w:ilvl w:val="0"/>
          <w:numId w:val="139"/>
        </w:numPr>
        <w:spacing w:before="0" w:beforeAutospacing="0"/>
        <w:rPr>
          <w:rFonts w:ascii="Arial" w:hAnsi="Arial" w:cs="Arial"/>
        </w:rPr>
      </w:pPr>
      <w:r w:rsidRPr="002B3F36">
        <w:rPr>
          <w:rFonts w:ascii="Arial" w:hAnsi="Arial" w:cs="Arial"/>
        </w:rPr>
        <w:t>Topsoil will be stripped, stockpiled separately, and reused for rehabilitation.</w:t>
      </w:r>
    </w:p>
    <w:p w14:paraId="7711BEAA" w14:textId="77777777" w:rsidR="00EA5357" w:rsidRPr="002B3F36" w:rsidRDefault="00EA5357" w:rsidP="009B4CDB">
      <w:pPr>
        <w:pStyle w:val="aff9"/>
        <w:numPr>
          <w:ilvl w:val="0"/>
          <w:numId w:val="139"/>
        </w:numPr>
        <w:rPr>
          <w:rFonts w:ascii="Arial" w:hAnsi="Arial" w:cs="Arial"/>
        </w:rPr>
      </w:pPr>
      <w:r w:rsidRPr="002B3F36">
        <w:rPr>
          <w:rFonts w:ascii="Arial" w:hAnsi="Arial" w:cs="Arial"/>
        </w:rPr>
        <w:t>Spill prevention and response systems will be installed at fuel storage and handling areas.</w:t>
      </w:r>
    </w:p>
    <w:p w14:paraId="7ECC7FCF" w14:textId="77777777" w:rsidR="00EA5357" w:rsidRPr="002B3F36" w:rsidRDefault="00EA5357" w:rsidP="009B4CDB">
      <w:pPr>
        <w:pStyle w:val="aff9"/>
        <w:numPr>
          <w:ilvl w:val="0"/>
          <w:numId w:val="139"/>
        </w:numPr>
        <w:rPr>
          <w:rFonts w:ascii="Arial" w:hAnsi="Arial" w:cs="Arial"/>
        </w:rPr>
      </w:pPr>
      <w:r w:rsidRPr="002B3F36">
        <w:rPr>
          <w:rFonts w:ascii="Arial" w:hAnsi="Arial" w:cs="Arial"/>
        </w:rPr>
        <w:t>Cement and hazardous materials will be stored on impermeable, bunded surfaces to prevent leaching.</w:t>
      </w:r>
    </w:p>
    <w:p w14:paraId="06501260" w14:textId="1077874D" w:rsidR="00EA5357" w:rsidRPr="002B3F36" w:rsidRDefault="00EA5357" w:rsidP="009B4CDB">
      <w:pPr>
        <w:pStyle w:val="aff9"/>
        <w:numPr>
          <w:ilvl w:val="0"/>
          <w:numId w:val="139"/>
        </w:numPr>
        <w:rPr>
          <w:rFonts w:ascii="Arial" w:hAnsi="Arial" w:cs="Arial"/>
        </w:rPr>
      </w:pPr>
      <w:r w:rsidRPr="002B3F36">
        <w:rPr>
          <w:rFonts w:ascii="Arial" w:hAnsi="Arial" w:cs="Arial"/>
        </w:rPr>
        <w:t>Waste management procedures will ensure proper segregation, collection, and disposal of solid and liquid waste.</w:t>
      </w:r>
    </w:p>
    <w:p w14:paraId="3F5972D1" w14:textId="77777777" w:rsidR="00D34729" w:rsidRPr="00A846C7" w:rsidRDefault="00D34729" w:rsidP="00D34729">
      <w:pPr>
        <w:pStyle w:val="aff9"/>
        <w:numPr>
          <w:ilvl w:val="0"/>
          <w:numId w:val="139"/>
        </w:numPr>
        <w:rPr>
          <w:rFonts w:ascii="Arial" w:hAnsi="Arial" w:cs="Arial"/>
        </w:rPr>
      </w:pPr>
      <w:r w:rsidRPr="00A846C7">
        <w:rPr>
          <w:rFonts w:ascii="Arial" w:hAnsi="Arial" w:cs="Arial"/>
        </w:rPr>
        <w:t>Minimizing the areas affected by work (conducting work within the industrial site)</w:t>
      </w:r>
    </w:p>
    <w:p w14:paraId="659697A3" w14:textId="77777777" w:rsidR="00D34729" w:rsidRPr="00A846C7" w:rsidRDefault="00D34729" w:rsidP="00D34729">
      <w:pPr>
        <w:pStyle w:val="aff9"/>
        <w:numPr>
          <w:ilvl w:val="0"/>
          <w:numId w:val="139"/>
        </w:numPr>
        <w:rPr>
          <w:rFonts w:ascii="Arial" w:hAnsi="Arial" w:cs="Arial"/>
        </w:rPr>
      </w:pPr>
      <w:r w:rsidRPr="00A846C7">
        <w:rPr>
          <w:rFonts w:ascii="Arial" w:hAnsi="Arial" w:cs="Arial"/>
        </w:rPr>
        <w:t>Prohibiting the use of off-road access roads;</w:t>
      </w:r>
    </w:p>
    <w:p w14:paraId="5D442EA4" w14:textId="77777777" w:rsidR="00D34729" w:rsidRPr="00A846C7" w:rsidRDefault="00D34729" w:rsidP="00D34729">
      <w:pPr>
        <w:pStyle w:val="aff9"/>
        <w:numPr>
          <w:ilvl w:val="0"/>
          <w:numId w:val="139"/>
        </w:numPr>
        <w:rPr>
          <w:rFonts w:ascii="Arial" w:hAnsi="Arial" w:cs="Arial"/>
        </w:rPr>
      </w:pPr>
      <w:r w:rsidRPr="00A846C7">
        <w:rPr>
          <w:rFonts w:ascii="Arial" w:hAnsi="Arial" w:cs="Arial"/>
        </w:rPr>
        <w:t>Dust suppression;</w:t>
      </w:r>
    </w:p>
    <w:p w14:paraId="1BBE2F09" w14:textId="77777777" w:rsidR="00D34729" w:rsidRPr="00A846C7" w:rsidRDefault="00D34729" w:rsidP="00D34729">
      <w:pPr>
        <w:pStyle w:val="aff9"/>
        <w:numPr>
          <w:ilvl w:val="0"/>
          <w:numId w:val="139"/>
        </w:numPr>
        <w:rPr>
          <w:rFonts w:ascii="Arial" w:hAnsi="Arial" w:cs="Arial"/>
        </w:rPr>
      </w:pPr>
      <w:r w:rsidRPr="00A846C7">
        <w:rPr>
          <w:rFonts w:ascii="Arial" w:hAnsi="Arial" w:cs="Arial"/>
        </w:rPr>
        <w:t>Using modern technology and equipment that minimize pollutant emissions;</w:t>
      </w:r>
    </w:p>
    <w:p w14:paraId="6A1F1D7F" w14:textId="77777777" w:rsidR="00D34729" w:rsidRPr="00A846C7" w:rsidRDefault="00D34729" w:rsidP="00D34729">
      <w:pPr>
        <w:pStyle w:val="aff9"/>
        <w:numPr>
          <w:ilvl w:val="0"/>
          <w:numId w:val="139"/>
        </w:numPr>
        <w:rPr>
          <w:rFonts w:ascii="Arial" w:hAnsi="Arial" w:cs="Arial"/>
        </w:rPr>
      </w:pPr>
      <w:r w:rsidRPr="00A846C7">
        <w:rPr>
          <w:rFonts w:ascii="Arial" w:hAnsi="Arial" w:cs="Arial"/>
        </w:rPr>
        <w:t>Developing and implementing emergency response plans, etc.</w:t>
      </w:r>
    </w:p>
    <w:p w14:paraId="46BB77F0" w14:textId="77777777" w:rsidR="00D34729" w:rsidRPr="00A846C7" w:rsidRDefault="00D34729" w:rsidP="00D34729">
      <w:pPr>
        <w:pStyle w:val="aff9"/>
        <w:ind w:left="360"/>
        <w:rPr>
          <w:rFonts w:ascii="Arial" w:hAnsi="Arial" w:cs="Arial"/>
          <w:b/>
        </w:rPr>
      </w:pPr>
      <w:r w:rsidRPr="00A846C7">
        <w:rPr>
          <w:rFonts w:ascii="Arial" w:hAnsi="Arial" w:cs="Arial"/>
          <w:b/>
        </w:rPr>
        <w:t>Design solutions</w:t>
      </w:r>
    </w:p>
    <w:p w14:paraId="20F5141F" w14:textId="086D2987" w:rsidR="00D34729" w:rsidRPr="00A846C7" w:rsidRDefault="00D34729" w:rsidP="00D50A14">
      <w:pPr>
        <w:pStyle w:val="ReportParagraph"/>
      </w:pPr>
      <w:r w:rsidRPr="00A846C7">
        <w:lastRenderedPageBreak/>
        <w:t>When the railway passes through marshy areas, the complete removal of soft soils at the embankment base is planned. In excavations constructed in ordinary soils with high moisture content, the clayey foundation soils will be replaced with drainable, non-dusty soils at least 1.0 m thick from the profile edge. The roadbed will be filled with imported soil from quarries, reserves, and developed excavations.</w:t>
      </w:r>
    </w:p>
    <w:p w14:paraId="5EDED8D6" w14:textId="77777777" w:rsidR="00D50A14" w:rsidRPr="00A846C7" w:rsidRDefault="00D50A14" w:rsidP="00F47182">
      <w:pPr>
        <w:pStyle w:val="ReportParagraph"/>
      </w:pPr>
    </w:p>
    <w:p w14:paraId="548E4D78" w14:textId="26317DCF" w:rsidR="00D34729" w:rsidRPr="002B3F36" w:rsidRDefault="00D34729" w:rsidP="00D50A14">
      <w:pPr>
        <w:pStyle w:val="ReportParagraph"/>
      </w:pPr>
      <w:r w:rsidRPr="00A846C7">
        <w:t>The project also provides for the stabilization of the slopes of embankments, excavations, berms, drainage ditches, and ditches by hydroseeding perennial grasses. The slopes of the roadbed, constructed from wind-blown sandy soils, will be reinforced with strips at least 3.0 m wide along the edges of the excavations and the toes of the embankments with Polifelt TS65 geosynthetic material, along with grass seeding.</w:t>
      </w:r>
      <w:r w:rsidRPr="002B3F36">
        <w:t xml:space="preserve"> </w:t>
      </w:r>
    </w:p>
    <w:p w14:paraId="53B42F89" w14:textId="77777777" w:rsidR="00D50A14" w:rsidRPr="002B3F36" w:rsidRDefault="00D50A14" w:rsidP="000F5B76">
      <w:pPr>
        <w:pStyle w:val="ReportParagraph"/>
      </w:pPr>
    </w:p>
    <w:p w14:paraId="48DDAF30" w14:textId="142961B7" w:rsidR="00EA5357" w:rsidRPr="002B3F36" w:rsidRDefault="00EA5357" w:rsidP="000F5B76">
      <w:pPr>
        <w:pStyle w:val="ReportParagraph"/>
      </w:pPr>
      <w:r w:rsidRPr="002B3F36">
        <w:t>Through these measures, the Project will minimize both mechanical and chemical soil disturbance, safeguard productive land uses, and reduce long-term risks of soil contamination and fertility loss.</w:t>
      </w:r>
    </w:p>
    <w:p w14:paraId="129663ED" w14:textId="77777777" w:rsidR="00085672" w:rsidRPr="002B3F36" w:rsidRDefault="00085672" w:rsidP="00085672">
      <w:pPr>
        <w:pStyle w:val="ReportBodyPar"/>
      </w:pPr>
    </w:p>
    <w:p w14:paraId="5FA36ED0" w14:textId="77777777" w:rsidR="006545A4" w:rsidRPr="002B3F36" w:rsidRDefault="006545A4" w:rsidP="005A68AD">
      <w:pPr>
        <w:pStyle w:val="31"/>
      </w:pPr>
      <w:bookmarkStart w:id="2435" w:name="_Toc210589509"/>
      <w:r w:rsidRPr="002B3F36">
        <w:t>Hazardous Substances &amp; Spill Prevention</w:t>
      </w:r>
      <w:bookmarkEnd w:id="2430"/>
      <w:bookmarkEnd w:id="2431"/>
      <w:bookmarkEnd w:id="2432"/>
      <w:bookmarkEnd w:id="2433"/>
      <w:bookmarkEnd w:id="2434"/>
      <w:bookmarkEnd w:id="2435"/>
    </w:p>
    <w:bookmarkEnd w:id="2422"/>
    <w:p w14:paraId="43273A5A" w14:textId="77777777" w:rsidR="00085672" w:rsidRPr="002B3F36" w:rsidRDefault="00085672" w:rsidP="00085672">
      <w:pPr>
        <w:pStyle w:val="ReportBodyPar"/>
      </w:pPr>
    </w:p>
    <w:p w14:paraId="2BC96FA6" w14:textId="698FF429" w:rsidR="00D73944" w:rsidRPr="002B3F36" w:rsidRDefault="00D73944" w:rsidP="00085672">
      <w:pPr>
        <w:pStyle w:val="ReportBodyPar"/>
      </w:pPr>
      <w:r w:rsidRPr="002B3F36">
        <w:t xml:space="preserve">The handling of fuels, oils, chemicals, and hazardous wastes during construction poses a significant risk to </w:t>
      </w:r>
      <w:r w:rsidRPr="002B3F36">
        <w:rPr>
          <w:rStyle w:val="affffb"/>
        </w:rPr>
        <w:t>soil, water, and community health</w:t>
      </w:r>
      <w:r w:rsidRPr="002B3F36">
        <w:t xml:space="preserve"> if not properly managed. To minimize these risks, the Project will adopt a comprehensive set of measures covering </w:t>
      </w:r>
      <w:r w:rsidRPr="002B3F36">
        <w:rPr>
          <w:rStyle w:val="affffb"/>
        </w:rPr>
        <w:t>storage, waste handling, spill response, topsoil protection, and site restoration</w:t>
      </w:r>
      <w:r w:rsidRPr="002B3F36">
        <w:t xml:space="preserve">, aligned with good international industry practice and WB </w:t>
      </w:r>
      <w:r w:rsidR="00F95BD8" w:rsidRPr="002B3F36">
        <w:t xml:space="preserve">PS </w:t>
      </w:r>
      <w:r w:rsidRPr="002B3F36">
        <w:t>Guidelines.</w:t>
      </w:r>
    </w:p>
    <w:p w14:paraId="52DB7884" w14:textId="340B68F3" w:rsidR="00085672" w:rsidRPr="002B3F36" w:rsidRDefault="00085672" w:rsidP="00085672">
      <w:pPr>
        <w:pStyle w:val="ReportBodyPar"/>
      </w:pPr>
    </w:p>
    <w:p w14:paraId="1090F862" w14:textId="3CF56A29" w:rsidR="004A5448" w:rsidRPr="002B3F36" w:rsidRDefault="004A5448" w:rsidP="004A5448">
      <w:pPr>
        <w:pStyle w:val="DiaList12"/>
        <w:rPr>
          <w:rFonts w:eastAsia="SimSun"/>
          <w:lang w:val="en-PH"/>
        </w:rPr>
      </w:pPr>
      <w:r w:rsidRPr="002B3F36">
        <w:rPr>
          <w:rFonts w:eastAsia="SimSun"/>
          <w:lang w:val="en-PH"/>
        </w:rPr>
        <w:t>Origin of Impacts</w:t>
      </w:r>
    </w:p>
    <w:p w14:paraId="249578FB" w14:textId="77777777" w:rsidR="004A5448" w:rsidRPr="002B3F36" w:rsidRDefault="004A5448" w:rsidP="009B4CDB">
      <w:pPr>
        <w:pStyle w:val="aff9"/>
        <w:numPr>
          <w:ilvl w:val="0"/>
          <w:numId w:val="139"/>
        </w:numPr>
        <w:spacing w:before="0" w:beforeAutospacing="0" w:after="0" w:afterAutospacing="0"/>
        <w:rPr>
          <w:rFonts w:ascii="Arial" w:hAnsi="Arial" w:cs="Arial"/>
        </w:rPr>
      </w:pPr>
      <w:r w:rsidRPr="002B3F36">
        <w:rPr>
          <w:rFonts w:ascii="Arial" w:hAnsi="Arial" w:cs="Arial"/>
        </w:rPr>
        <w:t>Accidental spills during fuel, oil, or chemical storage, handling, and refueling activities.</w:t>
      </w:r>
    </w:p>
    <w:p w14:paraId="154F0390" w14:textId="77777777" w:rsidR="004A5448" w:rsidRPr="002B3F36" w:rsidRDefault="004A5448" w:rsidP="009B4CDB">
      <w:pPr>
        <w:pStyle w:val="aff9"/>
        <w:numPr>
          <w:ilvl w:val="0"/>
          <w:numId w:val="139"/>
        </w:numPr>
        <w:rPr>
          <w:rFonts w:ascii="Arial" w:hAnsi="Arial" w:cs="Arial"/>
        </w:rPr>
      </w:pPr>
      <w:r w:rsidRPr="002B3F36">
        <w:rPr>
          <w:rFonts w:ascii="Arial" w:hAnsi="Arial" w:cs="Arial"/>
        </w:rPr>
        <w:t>Runoff from construction sites, improper wastewater discharge, and leaks from maintenance areas.</w:t>
      </w:r>
    </w:p>
    <w:p w14:paraId="13485EA4" w14:textId="77777777" w:rsidR="004A5448" w:rsidRPr="002B3F36" w:rsidRDefault="004A5448" w:rsidP="009B4CDB">
      <w:pPr>
        <w:pStyle w:val="aff9"/>
        <w:numPr>
          <w:ilvl w:val="0"/>
          <w:numId w:val="139"/>
        </w:numPr>
        <w:rPr>
          <w:rFonts w:ascii="Arial" w:hAnsi="Arial" w:cs="Arial"/>
        </w:rPr>
      </w:pPr>
      <w:r w:rsidRPr="002B3F36">
        <w:rPr>
          <w:rFonts w:ascii="Arial" w:hAnsi="Arial" w:cs="Arial"/>
        </w:rPr>
        <w:t>Exposure of workers and nearby residents to hazardous fumes, residues, and chemicals.</w:t>
      </w:r>
    </w:p>
    <w:p w14:paraId="5A637D50" w14:textId="77777777" w:rsidR="004A5448" w:rsidRPr="002B3F36" w:rsidRDefault="004A5448" w:rsidP="009B4CDB">
      <w:pPr>
        <w:pStyle w:val="aff9"/>
        <w:numPr>
          <w:ilvl w:val="0"/>
          <w:numId w:val="139"/>
        </w:numPr>
        <w:rPr>
          <w:rFonts w:ascii="Arial" w:hAnsi="Arial" w:cs="Arial"/>
        </w:rPr>
      </w:pPr>
      <w:r w:rsidRPr="002B3F36">
        <w:rPr>
          <w:rFonts w:ascii="Arial" w:hAnsi="Arial" w:cs="Arial"/>
        </w:rPr>
        <w:t>Lack of segregation or regulated disposal of hazardous, recyclable, and general waste streams.</w:t>
      </w:r>
    </w:p>
    <w:p w14:paraId="35CB47B2" w14:textId="77777777" w:rsidR="004A5448" w:rsidRPr="002B3F36" w:rsidRDefault="004A5448" w:rsidP="009B4CDB">
      <w:pPr>
        <w:pStyle w:val="aff9"/>
        <w:numPr>
          <w:ilvl w:val="0"/>
          <w:numId w:val="139"/>
        </w:numPr>
        <w:rPr>
          <w:rFonts w:ascii="Arial" w:hAnsi="Arial" w:cs="Arial"/>
        </w:rPr>
      </w:pPr>
      <w:r w:rsidRPr="002B3F36">
        <w:rPr>
          <w:rFonts w:ascii="Arial" w:hAnsi="Arial" w:cs="Arial"/>
        </w:rPr>
        <w:t>Mixing or contamination of topsoil with subsoil, saline soils, or hazardous substances; erosion of unprotected stockpiles.</w:t>
      </w:r>
    </w:p>
    <w:p w14:paraId="3B0C2BCE" w14:textId="24AA94DB" w:rsidR="004A5448" w:rsidRPr="002B3F36" w:rsidRDefault="004A5448" w:rsidP="004A5448">
      <w:pPr>
        <w:pStyle w:val="DiaList12"/>
        <w:rPr>
          <w:rFonts w:eastAsia="SimSun"/>
          <w:lang w:val="en-PH"/>
        </w:rPr>
      </w:pPr>
      <w:r w:rsidRPr="002B3F36">
        <w:rPr>
          <w:rFonts w:eastAsia="SimSun"/>
          <w:lang w:val="en-PH"/>
        </w:rPr>
        <w:t>Impact Assessment</w:t>
      </w:r>
    </w:p>
    <w:p w14:paraId="5CF93E6C" w14:textId="019793C4" w:rsidR="004A5448" w:rsidRPr="002B3F36" w:rsidRDefault="004A5448" w:rsidP="009B4CDB">
      <w:pPr>
        <w:pStyle w:val="aff9"/>
        <w:numPr>
          <w:ilvl w:val="0"/>
          <w:numId w:val="139"/>
        </w:numPr>
        <w:spacing w:before="0" w:beforeAutospacing="0" w:after="0" w:afterAutospacing="0"/>
        <w:rPr>
          <w:rFonts w:ascii="Arial" w:hAnsi="Arial" w:cs="Arial"/>
        </w:rPr>
      </w:pPr>
      <w:r w:rsidRPr="002B3F36">
        <w:rPr>
          <w:rFonts w:ascii="Arial" w:hAnsi="Arial" w:cs="Arial"/>
          <w:b/>
        </w:rPr>
        <w:t>Soil &amp; Water Contamination</w:t>
      </w:r>
      <w:r w:rsidRPr="002B3F36">
        <w:rPr>
          <w:rFonts w:ascii="Arial" w:hAnsi="Arial" w:cs="Arial"/>
        </w:rPr>
        <w:t xml:space="preserve">: </w:t>
      </w:r>
      <w:r w:rsidRPr="002B3F36">
        <w:rPr>
          <w:rFonts w:ascii="Arial" w:hAnsi="Arial" w:cs="Arial"/>
          <w:i/>
          <w:iCs/>
        </w:rPr>
        <w:t>Low to Moderate</w:t>
      </w:r>
      <w:r w:rsidRPr="002B3F36">
        <w:rPr>
          <w:rFonts w:ascii="Arial" w:hAnsi="Arial" w:cs="Arial"/>
        </w:rPr>
        <w:t xml:space="preserve"> with bunded storage, spill prevention, and wastewater treatment per </w:t>
      </w:r>
      <w:r w:rsidR="00163238" w:rsidRPr="002B3F36">
        <w:rPr>
          <w:rFonts w:ascii="Arial" w:hAnsi="Arial" w:cs="Arial"/>
        </w:rPr>
        <w:t>WB PS</w:t>
      </w:r>
      <w:r w:rsidRPr="002B3F36">
        <w:rPr>
          <w:rFonts w:ascii="Arial" w:hAnsi="Arial" w:cs="Arial"/>
        </w:rPr>
        <w:t>3 and Kazakhstan’s Environmental Code (2021).</w:t>
      </w:r>
    </w:p>
    <w:p w14:paraId="60DCA51A" w14:textId="2F0C836C" w:rsidR="004A5448" w:rsidRPr="002B3F36" w:rsidRDefault="004A5448" w:rsidP="009B4CDB">
      <w:pPr>
        <w:pStyle w:val="aff9"/>
        <w:numPr>
          <w:ilvl w:val="0"/>
          <w:numId w:val="139"/>
        </w:numPr>
        <w:rPr>
          <w:rFonts w:ascii="Arial" w:hAnsi="Arial" w:cs="Arial"/>
        </w:rPr>
      </w:pPr>
      <w:r w:rsidRPr="002B3F36">
        <w:rPr>
          <w:rFonts w:ascii="Arial" w:hAnsi="Arial" w:cs="Arial"/>
          <w:b/>
        </w:rPr>
        <w:t>Worker &amp; Community Health Risks</w:t>
      </w:r>
      <w:r w:rsidRPr="002B3F36">
        <w:rPr>
          <w:rFonts w:ascii="Arial" w:hAnsi="Arial" w:cs="Arial"/>
        </w:rPr>
        <w:t xml:space="preserve">: </w:t>
      </w:r>
      <w:r w:rsidRPr="002B3F36">
        <w:rPr>
          <w:rFonts w:ascii="Arial" w:hAnsi="Arial" w:cs="Arial"/>
          <w:i/>
          <w:iCs/>
        </w:rPr>
        <w:t>Low</w:t>
      </w:r>
      <w:r w:rsidRPr="002B3F36">
        <w:rPr>
          <w:rFonts w:ascii="Arial" w:hAnsi="Arial" w:cs="Arial"/>
        </w:rPr>
        <w:t xml:space="preserve"> risk with </w:t>
      </w:r>
      <w:r w:rsidR="00163238" w:rsidRPr="002B3F36">
        <w:rPr>
          <w:rFonts w:ascii="Arial" w:hAnsi="Arial" w:cs="Arial"/>
        </w:rPr>
        <w:t>WB PS</w:t>
      </w:r>
      <w:r w:rsidRPr="002B3F36">
        <w:rPr>
          <w:rFonts w:ascii="Arial" w:hAnsi="Arial" w:cs="Arial"/>
        </w:rPr>
        <w:t>2 and PS3 occupational safety provisions.</w:t>
      </w:r>
    </w:p>
    <w:p w14:paraId="0BB6B78E" w14:textId="247446C9" w:rsidR="004A5448" w:rsidRPr="002B3F36" w:rsidRDefault="004A5448" w:rsidP="009B4CDB">
      <w:pPr>
        <w:pStyle w:val="aff9"/>
        <w:numPr>
          <w:ilvl w:val="0"/>
          <w:numId w:val="139"/>
        </w:numPr>
        <w:rPr>
          <w:rFonts w:ascii="Arial" w:hAnsi="Arial" w:cs="Arial"/>
        </w:rPr>
      </w:pPr>
      <w:r w:rsidRPr="002B3F36">
        <w:rPr>
          <w:rFonts w:ascii="Arial" w:hAnsi="Arial" w:cs="Arial"/>
          <w:b/>
        </w:rPr>
        <w:t>Waste Management Risks</w:t>
      </w:r>
      <w:r w:rsidRPr="002B3F36">
        <w:rPr>
          <w:rFonts w:ascii="Arial" w:hAnsi="Arial" w:cs="Arial"/>
        </w:rPr>
        <w:t xml:space="preserve">: </w:t>
      </w:r>
      <w:r w:rsidRPr="002B3F36">
        <w:rPr>
          <w:rFonts w:ascii="Arial" w:hAnsi="Arial" w:cs="Arial"/>
          <w:i/>
          <w:iCs/>
        </w:rPr>
        <w:t>Low</w:t>
      </w:r>
      <w:r w:rsidRPr="002B3F36">
        <w:rPr>
          <w:rFonts w:ascii="Arial" w:hAnsi="Arial" w:cs="Arial"/>
        </w:rPr>
        <w:t xml:space="preserve"> with proper waste handling per Kazakhstan regulations.</w:t>
      </w:r>
    </w:p>
    <w:p w14:paraId="7BAC85A5" w14:textId="112876F3" w:rsidR="004A5448" w:rsidRPr="002B3F36" w:rsidRDefault="004A5448" w:rsidP="009B4CDB">
      <w:pPr>
        <w:pStyle w:val="aff9"/>
        <w:numPr>
          <w:ilvl w:val="0"/>
          <w:numId w:val="139"/>
        </w:numPr>
        <w:rPr>
          <w:rFonts w:ascii="Arial" w:hAnsi="Arial" w:cs="Arial"/>
        </w:rPr>
      </w:pPr>
      <w:r w:rsidRPr="002B3F36">
        <w:rPr>
          <w:rFonts w:ascii="Arial" w:hAnsi="Arial" w:cs="Arial"/>
          <w:b/>
        </w:rPr>
        <w:t>Topsoil Loss</w:t>
      </w:r>
      <w:r w:rsidRPr="002B3F36">
        <w:rPr>
          <w:rFonts w:ascii="Arial" w:hAnsi="Arial" w:cs="Arial"/>
        </w:rPr>
        <w:t xml:space="preserve">: </w:t>
      </w:r>
      <w:r w:rsidRPr="002B3F36">
        <w:rPr>
          <w:rFonts w:ascii="Arial" w:hAnsi="Arial" w:cs="Arial"/>
          <w:i/>
          <w:iCs/>
        </w:rPr>
        <w:t>Low</w:t>
      </w:r>
      <w:r w:rsidRPr="002B3F36">
        <w:rPr>
          <w:rFonts w:ascii="Arial" w:hAnsi="Arial" w:cs="Arial"/>
        </w:rPr>
        <w:t xml:space="preserve"> risk with topsoil management plans under Kazakhstan’s Land Code (2003).</w:t>
      </w:r>
    </w:p>
    <w:p w14:paraId="0BE36E50" w14:textId="4FE70A95" w:rsidR="00F16A0A" w:rsidRPr="002B3F36" w:rsidRDefault="00EF31CF" w:rsidP="000F5B76">
      <w:pPr>
        <w:pStyle w:val="ReportBodyTextNogap"/>
      </w:pPr>
      <w:r w:rsidRPr="002B3F36">
        <w:t xml:space="preserve">The Project entails direct environmental risk from potential releases of fuels, oils, and chemicals. Along the rail alignment, any exposure is expected to be short-term and point-specific, with limited spatial scale confined to the incident location; such events are not anticipated to occur on a daily or continuous basis during linear works. Applying the </w:t>
      </w:r>
      <w:r w:rsidRPr="002B3F36">
        <w:lastRenderedPageBreak/>
        <w:t>Significance of Impact Matrix, the receiving environment along the alignment is assessed as low-sensitivity—reflecting typical assimilative capacity at dispersed points—with a small impact magnitude, yielding an overall Minor significance (pre-mitigation). In contrast, contractors’ maintenance yards present higher risk due to stationary operations, chemical storage, and cumulative exposure potential; receptor sensitivity is Medium to High and impact magnitude Medium to Large, resulting in Moderate to Major significance (pre-mitigation). Consequently, stricter controls are required at maintenance yards—such as impermeable pads and secondary containment, segregated storage, spill prevention and response (kits, drills), oil–water interceptors, runoff management, waste manifesting, and enhanced monitoring—to reduce residual significance to acceptable levels.</w:t>
      </w:r>
    </w:p>
    <w:p w14:paraId="58680172" w14:textId="77777777" w:rsidR="00F16A0A" w:rsidRPr="002B3F36" w:rsidRDefault="00F16A0A" w:rsidP="000F5B76">
      <w:pPr>
        <w:pStyle w:val="ReportBodyPar"/>
      </w:pPr>
    </w:p>
    <w:p w14:paraId="1EAE379A" w14:textId="1925FFD5" w:rsidR="00376A8C" w:rsidRPr="002B3F36" w:rsidRDefault="004A5448" w:rsidP="00085672">
      <w:pPr>
        <w:pStyle w:val="DiaList12"/>
        <w:rPr>
          <w:rFonts w:eastAsia="SimSun"/>
          <w:lang w:val="en-PH"/>
        </w:rPr>
      </w:pPr>
      <w:r w:rsidRPr="002B3F36">
        <w:rPr>
          <w:rFonts w:eastAsia="SimSun"/>
          <w:lang w:val="en-PH"/>
        </w:rPr>
        <w:t>Mitigating Measure</w:t>
      </w:r>
    </w:p>
    <w:p w14:paraId="69CCEB6C" w14:textId="77777777" w:rsidR="00D73944" w:rsidRPr="002B3F36" w:rsidRDefault="00D73944" w:rsidP="004A5448">
      <w:pPr>
        <w:pStyle w:val="DiaList12"/>
        <w:numPr>
          <w:ilvl w:val="0"/>
          <w:numId w:val="0"/>
        </w:numPr>
        <w:ind w:left="360"/>
        <w:rPr>
          <w:rFonts w:eastAsia="SimSun"/>
          <w:lang w:val="en-PH"/>
        </w:rPr>
      </w:pPr>
      <w:r w:rsidRPr="002B3F36">
        <w:rPr>
          <w:rFonts w:eastAsia="SimSun"/>
          <w:lang w:val="en-PH"/>
        </w:rPr>
        <w:t>Hazardous Substances and Spill Prevention</w:t>
      </w:r>
    </w:p>
    <w:p w14:paraId="7570904F" w14:textId="77777777" w:rsidR="00D73944" w:rsidRPr="002B3F36" w:rsidRDefault="00D73944" w:rsidP="009B4CDB">
      <w:pPr>
        <w:pStyle w:val="aff9"/>
        <w:numPr>
          <w:ilvl w:val="0"/>
          <w:numId w:val="140"/>
        </w:numPr>
        <w:spacing w:before="0" w:beforeAutospacing="0"/>
        <w:rPr>
          <w:rFonts w:ascii="Arial" w:hAnsi="Arial" w:cs="Arial"/>
        </w:rPr>
      </w:pPr>
      <w:r w:rsidRPr="002B3F36">
        <w:rPr>
          <w:rFonts w:ascii="Arial" w:hAnsi="Arial" w:cs="Arial"/>
        </w:rPr>
        <w:t xml:space="preserve">Store all fuels, oils, and chemicals in </w:t>
      </w:r>
      <w:r w:rsidRPr="002B3F36">
        <w:rPr>
          <w:rStyle w:val="affffb"/>
        </w:rPr>
        <w:t>bunded, roofed, and concrete-floored areas</w:t>
      </w:r>
      <w:r w:rsidRPr="002B3F36">
        <w:rPr>
          <w:rFonts w:ascii="Arial" w:hAnsi="Arial" w:cs="Arial"/>
        </w:rPr>
        <w:t xml:space="preserve"> with secondary containment sized to ≥110% of the largest tank or ≥25% of the total stored volume, whichever is greater.</w:t>
      </w:r>
    </w:p>
    <w:p w14:paraId="7A5D0D1F" w14:textId="77777777" w:rsidR="00D73944" w:rsidRPr="002B3F36" w:rsidRDefault="00D73944" w:rsidP="009B4CDB">
      <w:pPr>
        <w:pStyle w:val="aff9"/>
        <w:numPr>
          <w:ilvl w:val="0"/>
          <w:numId w:val="140"/>
        </w:numPr>
        <w:rPr>
          <w:rFonts w:ascii="Arial" w:hAnsi="Arial" w:cs="Arial"/>
        </w:rPr>
      </w:pPr>
      <w:r w:rsidRPr="002B3F36">
        <w:rPr>
          <w:rFonts w:ascii="Arial" w:hAnsi="Arial" w:cs="Arial"/>
        </w:rPr>
        <w:t xml:space="preserve">Designate </w:t>
      </w:r>
      <w:r w:rsidRPr="002B3F36">
        <w:rPr>
          <w:rStyle w:val="affffb"/>
        </w:rPr>
        <w:t>maintenance and refueling bays</w:t>
      </w:r>
      <w:r w:rsidRPr="002B3F36">
        <w:rPr>
          <w:rFonts w:ascii="Arial" w:hAnsi="Arial" w:cs="Arial"/>
        </w:rPr>
        <w:t xml:space="preserve"> with oil–water separators, cleaned and inspected regularly to ensure performance.</w:t>
      </w:r>
    </w:p>
    <w:p w14:paraId="5ECD6A27" w14:textId="77777777" w:rsidR="00D73944" w:rsidRPr="002B3F36" w:rsidRDefault="00D73944" w:rsidP="009B4CDB">
      <w:pPr>
        <w:pStyle w:val="aff9"/>
        <w:numPr>
          <w:ilvl w:val="0"/>
          <w:numId w:val="140"/>
        </w:numPr>
        <w:rPr>
          <w:rFonts w:ascii="Arial" w:hAnsi="Arial" w:cs="Arial"/>
        </w:rPr>
      </w:pPr>
      <w:r w:rsidRPr="002B3F36">
        <w:rPr>
          <w:rFonts w:ascii="Arial" w:hAnsi="Arial" w:cs="Arial"/>
        </w:rPr>
        <w:t xml:space="preserve">Segregate and safely store </w:t>
      </w:r>
      <w:r w:rsidRPr="002B3F36">
        <w:rPr>
          <w:rStyle w:val="affffb"/>
        </w:rPr>
        <w:t>oily wastes, used batteries, and drums</w:t>
      </w:r>
      <w:r w:rsidRPr="002B3F36">
        <w:rPr>
          <w:rFonts w:ascii="Arial" w:hAnsi="Arial" w:cs="Arial"/>
        </w:rPr>
        <w:t>, with disposal only through licensed hazardous waste contractors.</w:t>
      </w:r>
    </w:p>
    <w:p w14:paraId="096E38CE" w14:textId="77777777" w:rsidR="00D73944" w:rsidRPr="002B3F36" w:rsidRDefault="00D73944" w:rsidP="009B4CDB">
      <w:pPr>
        <w:pStyle w:val="aff9"/>
        <w:numPr>
          <w:ilvl w:val="0"/>
          <w:numId w:val="140"/>
        </w:numPr>
        <w:rPr>
          <w:rFonts w:ascii="Arial" w:hAnsi="Arial" w:cs="Arial"/>
        </w:rPr>
      </w:pPr>
      <w:r w:rsidRPr="002B3F36">
        <w:rPr>
          <w:rFonts w:ascii="Arial" w:hAnsi="Arial" w:cs="Arial"/>
        </w:rPr>
        <w:t xml:space="preserve">Maintain </w:t>
      </w:r>
      <w:r w:rsidRPr="002B3F36">
        <w:rPr>
          <w:rStyle w:val="affffb"/>
        </w:rPr>
        <w:t>spill kits</w:t>
      </w:r>
      <w:r w:rsidRPr="002B3F36">
        <w:rPr>
          <w:rFonts w:ascii="Arial" w:hAnsi="Arial" w:cs="Arial"/>
        </w:rPr>
        <w:t xml:space="preserve"> at all high-risk areas and ensure workers are trained in immediate containment and clean-up procedures.</w:t>
      </w:r>
    </w:p>
    <w:p w14:paraId="6485FA1F" w14:textId="77777777" w:rsidR="00D73944" w:rsidRPr="002B3F36" w:rsidRDefault="00D73944" w:rsidP="009B4CDB">
      <w:pPr>
        <w:pStyle w:val="aff9"/>
        <w:numPr>
          <w:ilvl w:val="0"/>
          <w:numId w:val="140"/>
        </w:numPr>
        <w:rPr>
          <w:rFonts w:ascii="Arial" w:hAnsi="Arial" w:cs="Arial"/>
        </w:rPr>
      </w:pPr>
      <w:r w:rsidRPr="002B3F36">
        <w:rPr>
          <w:rFonts w:ascii="Arial" w:hAnsi="Arial" w:cs="Arial"/>
        </w:rPr>
        <w:t xml:space="preserve">Prohibit any discharge of oily water or residual chemicals onto land or into water bodies; maintain </w:t>
      </w:r>
      <w:r w:rsidRPr="002B3F36">
        <w:rPr>
          <w:rStyle w:val="affffb"/>
        </w:rPr>
        <w:t>waste transfer manifests</w:t>
      </w:r>
      <w:r w:rsidRPr="002B3F36">
        <w:rPr>
          <w:rFonts w:ascii="Arial" w:hAnsi="Arial" w:cs="Arial"/>
        </w:rPr>
        <w:t xml:space="preserve"> for full traceability.</w:t>
      </w:r>
    </w:p>
    <w:p w14:paraId="02D95573" w14:textId="77777777" w:rsidR="00D73944" w:rsidRPr="002B3F36" w:rsidRDefault="00D73944" w:rsidP="004A5448">
      <w:pPr>
        <w:pStyle w:val="DiaList12"/>
        <w:numPr>
          <w:ilvl w:val="0"/>
          <w:numId w:val="0"/>
        </w:numPr>
        <w:ind w:left="360"/>
        <w:rPr>
          <w:rFonts w:eastAsia="SimSun"/>
          <w:lang w:val="en-PH"/>
        </w:rPr>
      </w:pPr>
      <w:r w:rsidRPr="002B3F36">
        <w:rPr>
          <w:rFonts w:eastAsia="SimSun"/>
          <w:lang w:val="en-PH"/>
        </w:rPr>
        <w:t>Topsoil Stripping and Storage</w:t>
      </w:r>
    </w:p>
    <w:p w14:paraId="66AFDC9D" w14:textId="77777777" w:rsidR="00D73944" w:rsidRPr="002B3F36" w:rsidRDefault="00D73944" w:rsidP="009B4CDB">
      <w:pPr>
        <w:pStyle w:val="aff9"/>
        <w:numPr>
          <w:ilvl w:val="0"/>
          <w:numId w:val="141"/>
        </w:numPr>
        <w:spacing w:before="0" w:beforeAutospacing="0" w:after="0" w:afterAutospacing="0"/>
        <w:rPr>
          <w:rFonts w:ascii="Arial" w:hAnsi="Arial" w:cs="Arial"/>
        </w:rPr>
      </w:pPr>
      <w:r w:rsidRPr="002B3F36">
        <w:rPr>
          <w:rFonts w:ascii="Arial" w:hAnsi="Arial" w:cs="Arial"/>
        </w:rPr>
        <w:t xml:space="preserve">Strip </w:t>
      </w:r>
      <w:r w:rsidRPr="002B3F36">
        <w:rPr>
          <w:rStyle w:val="affffb"/>
        </w:rPr>
        <w:t>topsoil separately</w:t>
      </w:r>
      <w:r w:rsidRPr="002B3F36">
        <w:rPr>
          <w:rFonts w:ascii="Arial" w:hAnsi="Arial" w:cs="Arial"/>
        </w:rPr>
        <w:t xml:space="preserve"> and prevent mixing with subsoil, saline, or sterile material.</w:t>
      </w:r>
    </w:p>
    <w:p w14:paraId="03AF69F4" w14:textId="77777777" w:rsidR="00D73944" w:rsidRPr="002B3F36" w:rsidRDefault="00D73944" w:rsidP="009B4CDB">
      <w:pPr>
        <w:pStyle w:val="aff9"/>
        <w:numPr>
          <w:ilvl w:val="0"/>
          <w:numId w:val="141"/>
        </w:numPr>
        <w:rPr>
          <w:rFonts w:ascii="Arial" w:hAnsi="Arial" w:cs="Arial"/>
        </w:rPr>
      </w:pPr>
      <w:r w:rsidRPr="002B3F36">
        <w:rPr>
          <w:rFonts w:ascii="Arial" w:hAnsi="Arial" w:cs="Arial"/>
        </w:rPr>
        <w:t xml:space="preserve">Manage stockpiles to a maximum height of </w:t>
      </w:r>
      <w:r w:rsidRPr="002B3F36">
        <w:rPr>
          <w:rStyle w:val="affffb"/>
        </w:rPr>
        <w:t>3 meters</w:t>
      </w:r>
      <w:r w:rsidRPr="002B3F36">
        <w:rPr>
          <w:rFonts w:ascii="Arial" w:hAnsi="Arial" w:cs="Arial"/>
        </w:rPr>
        <w:t>, with gentle slopes, erosion protection (mulching or seeding), and stabilization against wind and water.</w:t>
      </w:r>
    </w:p>
    <w:p w14:paraId="7B8063DE" w14:textId="77777777" w:rsidR="00D73944" w:rsidRPr="002B3F36" w:rsidRDefault="00D73944" w:rsidP="009B4CDB">
      <w:pPr>
        <w:pStyle w:val="aff9"/>
        <w:numPr>
          <w:ilvl w:val="0"/>
          <w:numId w:val="141"/>
        </w:numPr>
        <w:rPr>
          <w:rFonts w:ascii="Arial" w:hAnsi="Arial" w:cs="Arial"/>
        </w:rPr>
      </w:pPr>
      <w:r w:rsidRPr="002B3F36">
        <w:rPr>
          <w:rFonts w:ascii="Arial" w:hAnsi="Arial" w:cs="Arial"/>
        </w:rPr>
        <w:t xml:space="preserve">Clearly mark stockpiles with signage (e.g., </w:t>
      </w:r>
      <w:r w:rsidRPr="002B3F36">
        <w:rPr>
          <w:rStyle w:val="affffc"/>
          <w:rFonts w:ascii="Arial" w:hAnsi="Arial" w:cs="Arial"/>
        </w:rPr>
        <w:t>“Topsoil Stockpile”</w:t>
      </w:r>
      <w:r w:rsidRPr="002B3F36">
        <w:rPr>
          <w:rFonts w:ascii="Arial" w:hAnsi="Arial" w:cs="Arial"/>
        </w:rPr>
        <w:t>) and restrict access to maintain resource integrity.</w:t>
      </w:r>
    </w:p>
    <w:p w14:paraId="07843EA0" w14:textId="77777777" w:rsidR="00D73944" w:rsidRPr="002B3F36" w:rsidRDefault="00D73944" w:rsidP="009B4CDB">
      <w:pPr>
        <w:pStyle w:val="aff9"/>
        <w:numPr>
          <w:ilvl w:val="0"/>
          <w:numId w:val="141"/>
        </w:numPr>
        <w:rPr>
          <w:rFonts w:ascii="Arial" w:hAnsi="Arial" w:cs="Arial"/>
        </w:rPr>
      </w:pPr>
      <w:r w:rsidRPr="002B3F36">
        <w:rPr>
          <w:rFonts w:ascii="Arial" w:hAnsi="Arial" w:cs="Arial"/>
        </w:rPr>
        <w:t xml:space="preserve">Reuse topsoil for </w:t>
      </w:r>
      <w:r w:rsidRPr="002B3F36">
        <w:rPr>
          <w:rStyle w:val="affffb"/>
        </w:rPr>
        <w:t>site rehabilitation, landscaping, and erosion control</w:t>
      </w:r>
      <w:r w:rsidRPr="002B3F36">
        <w:rPr>
          <w:rFonts w:ascii="Arial" w:hAnsi="Arial" w:cs="Arial"/>
        </w:rPr>
        <w:t xml:space="preserve"> at the end of construction activities.</w:t>
      </w:r>
    </w:p>
    <w:p w14:paraId="77634714" w14:textId="77777777" w:rsidR="00D73944" w:rsidRPr="002B3F36" w:rsidRDefault="00D73944" w:rsidP="004A5448">
      <w:pPr>
        <w:pStyle w:val="DiaList12"/>
        <w:numPr>
          <w:ilvl w:val="0"/>
          <w:numId w:val="0"/>
        </w:numPr>
        <w:ind w:left="360"/>
        <w:rPr>
          <w:rFonts w:eastAsia="SimSun"/>
          <w:lang w:val="en-PH"/>
        </w:rPr>
      </w:pPr>
      <w:r w:rsidRPr="002B3F36">
        <w:rPr>
          <w:rFonts w:eastAsia="SimSun"/>
          <w:lang w:val="en-PH"/>
        </w:rPr>
        <w:t>Solid and Liquid Waste Management</w:t>
      </w:r>
    </w:p>
    <w:p w14:paraId="36AACAFE" w14:textId="77777777" w:rsidR="00D73944" w:rsidRPr="002B3F36" w:rsidRDefault="00D73944" w:rsidP="009B4CDB">
      <w:pPr>
        <w:pStyle w:val="aff9"/>
        <w:numPr>
          <w:ilvl w:val="0"/>
          <w:numId w:val="142"/>
        </w:numPr>
        <w:spacing w:before="0" w:beforeAutospacing="0"/>
        <w:rPr>
          <w:rFonts w:ascii="Arial" w:hAnsi="Arial" w:cs="Arial"/>
        </w:rPr>
      </w:pPr>
      <w:r w:rsidRPr="002B3F36">
        <w:rPr>
          <w:rFonts w:ascii="Arial" w:hAnsi="Arial" w:cs="Arial"/>
        </w:rPr>
        <w:t xml:space="preserve">Connect worker camps to </w:t>
      </w:r>
      <w:r w:rsidRPr="002B3F36">
        <w:rPr>
          <w:rStyle w:val="affffb"/>
        </w:rPr>
        <w:t>septic tanks or wastewater treatment plants</w:t>
      </w:r>
      <w:r w:rsidRPr="002B3F36">
        <w:rPr>
          <w:rFonts w:ascii="Arial" w:hAnsi="Arial" w:cs="Arial"/>
        </w:rPr>
        <w:t>, and desludge portable toilets on a regular schedule.</w:t>
      </w:r>
    </w:p>
    <w:p w14:paraId="513A4E82" w14:textId="5296B816" w:rsidR="00D73944" w:rsidRPr="002B3F36" w:rsidRDefault="00D73944" w:rsidP="009B4CDB">
      <w:pPr>
        <w:pStyle w:val="aff9"/>
        <w:numPr>
          <w:ilvl w:val="0"/>
          <w:numId w:val="142"/>
        </w:numPr>
        <w:spacing w:before="0" w:beforeAutospacing="0"/>
        <w:rPr>
          <w:rFonts w:ascii="Arial" w:hAnsi="Arial" w:cs="Arial"/>
        </w:rPr>
      </w:pPr>
      <w:r w:rsidRPr="002B3F36">
        <w:rPr>
          <w:rFonts w:ascii="Arial" w:hAnsi="Arial" w:cs="Arial"/>
        </w:rPr>
        <w:t xml:space="preserve">Collect and settle </w:t>
      </w:r>
      <w:r w:rsidRPr="002B3F36">
        <w:rPr>
          <w:rStyle w:val="affffb"/>
        </w:rPr>
        <w:t>silt-laden water</w:t>
      </w:r>
      <w:r w:rsidRPr="002B3F36">
        <w:rPr>
          <w:rFonts w:ascii="Arial" w:hAnsi="Arial" w:cs="Arial"/>
        </w:rPr>
        <w:t xml:space="preserve"> before reuse or safe disposal in accordance with RoK and </w:t>
      </w:r>
      <w:r w:rsidR="007A0BB7" w:rsidRPr="002B3F36">
        <w:rPr>
          <w:rFonts w:ascii="Arial" w:hAnsi="Arial" w:cs="Arial"/>
        </w:rPr>
        <w:t xml:space="preserve">WB </w:t>
      </w:r>
      <w:r w:rsidRPr="002B3F36">
        <w:rPr>
          <w:rFonts w:ascii="Arial" w:hAnsi="Arial" w:cs="Arial"/>
        </w:rPr>
        <w:t>standards.</w:t>
      </w:r>
    </w:p>
    <w:p w14:paraId="44E2C212" w14:textId="77777777" w:rsidR="00D73944" w:rsidRPr="002B3F36" w:rsidRDefault="00D73944" w:rsidP="009B4CDB">
      <w:pPr>
        <w:pStyle w:val="aff9"/>
        <w:numPr>
          <w:ilvl w:val="0"/>
          <w:numId w:val="142"/>
        </w:numPr>
        <w:spacing w:before="0" w:beforeAutospacing="0"/>
        <w:rPr>
          <w:rFonts w:ascii="Arial" w:hAnsi="Arial" w:cs="Arial"/>
        </w:rPr>
      </w:pPr>
      <w:r w:rsidRPr="002B3F36">
        <w:rPr>
          <w:rFonts w:ascii="Arial" w:hAnsi="Arial" w:cs="Arial"/>
        </w:rPr>
        <w:t xml:space="preserve">Segregate </w:t>
      </w:r>
      <w:r w:rsidRPr="002B3F36">
        <w:rPr>
          <w:rStyle w:val="affffb"/>
        </w:rPr>
        <w:t>solid waste streams</w:t>
      </w:r>
      <w:r w:rsidRPr="002B3F36">
        <w:rPr>
          <w:rFonts w:ascii="Arial" w:hAnsi="Arial" w:cs="Arial"/>
        </w:rPr>
        <w:t xml:space="preserve"> (hazardous, recyclable, and general) and provide sufficient bins and containers at all work sites.</w:t>
      </w:r>
    </w:p>
    <w:p w14:paraId="4A3BF525" w14:textId="77777777" w:rsidR="00D73944" w:rsidRPr="002B3F36" w:rsidRDefault="00D73944" w:rsidP="009B4CDB">
      <w:pPr>
        <w:pStyle w:val="aff9"/>
        <w:numPr>
          <w:ilvl w:val="0"/>
          <w:numId w:val="142"/>
        </w:numPr>
        <w:spacing w:before="0" w:beforeAutospacing="0"/>
        <w:rPr>
          <w:rFonts w:ascii="Arial" w:hAnsi="Arial" w:cs="Arial"/>
        </w:rPr>
      </w:pPr>
      <w:r w:rsidRPr="002B3F36">
        <w:rPr>
          <w:rFonts w:ascii="Arial" w:hAnsi="Arial" w:cs="Arial"/>
        </w:rPr>
        <w:t xml:space="preserve">Engage </w:t>
      </w:r>
      <w:r w:rsidRPr="002B3F36">
        <w:rPr>
          <w:rStyle w:val="affffb"/>
        </w:rPr>
        <w:t>licensed collectors</w:t>
      </w:r>
      <w:r w:rsidRPr="002B3F36">
        <w:rPr>
          <w:rFonts w:ascii="Arial" w:hAnsi="Arial" w:cs="Arial"/>
        </w:rPr>
        <w:t xml:space="preserve"> for the removal and disposal of general waste, with recycling maximized for construction materials where feasible.</w:t>
      </w:r>
    </w:p>
    <w:p w14:paraId="79087F42" w14:textId="77777777" w:rsidR="00197AE5" w:rsidRPr="002B3F36" w:rsidRDefault="00197AE5" w:rsidP="00197AE5">
      <w:pPr>
        <w:pStyle w:val="ReportBodyPar"/>
      </w:pPr>
    </w:p>
    <w:p w14:paraId="52F03955" w14:textId="6015A965" w:rsidR="000D7D4B" w:rsidRPr="002B3F36" w:rsidRDefault="000D7D4B" w:rsidP="005A68AD">
      <w:pPr>
        <w:pStyle w:val="31"/>
      </w:pPr>
      <w:bookmarkStart w:id="2436" w:name="_Toc208973868"/>
      <w:bookmarkStart w:id="2437" w:name="_Toc208974068"/>
      <w:bookmarkStart w:id="2438" w:name="_Toc208974268"/>
      <w:bookmarkStart w:id="2439" w:name="_Toc208974471"/>
      <w:bookmarkStart w:id="2440" w:name="_Toc208974676"/>
      <w:bookmarkStart w:id="2441" w:name="_Toc210589510"/>
      <w:bookmarkStart w:id="2442" w:name="_Toc169094783"/>
      <w:r w:rsidRPr="002B3F36">
        <w:t>Sediment Pollution (Surface Waters)</w:t>
      </w:r>
      <w:bookmarkEnd w:id="2436"/>
      <w:bookmarkEnd w:id="2437"/>
      <w:bookmarkEnd w:id="2438"/>
      <w:bookmarkEnd w:id="2439"/>
      <w:bookmarkEnd w:id="2440"/>
      <w:bookmarkEnd w:id="2441"/>
    </w:p>
    <w:p w14:paraId="4AF3F3D7" w14:textId="33AF94EE" w:rsidR="00D73944" w:rsidRPr="002B3F36" w:rsidRDefault="00D73944" w:rsidP="00D73944">
      <w:pPr>
        <w:pStyle w:val="ReportBodyTextNogap"/>
      </w:pPr>
      <w:bookmarkStart w:id="2443" w:name="_Toc208973869"/>
      <w:bookmarkStart w:id="2444" w:name="_Toc208974069"/>
      <w:bookmarkStart w:id="2445" w:name="_Toc208974269"/>
      <w:bookmarkStart w:id="2446" w:name="_Toc208974472"/>
      <w:bookmarkStart w:id="2447" w:name="_Toc208974677"/>
      <w:bookmarkStart w:id="2448" w:name="_Toc169094784"/>
      <w:bookmarkEnd w:id="2442"/>
    </w:p>
    <w:p w14:paraId="71F147D9" w14:textId="0E1A8913" w:rsidR="00197AE5" w:rsidRPr="002B3F36" w:rsidRDefault="00197AE5" w:rsidP="00D73944">
      <w:pPr>
        <w:pStyle w:val="ReportBodyTextNogap"/>
      </w:pPr>
      <w:r w:rsidRPr="002B3F36">
        <w:t xml:space="preserve">Recognizing that earthworks and spoil management can directly influence surface water quality, the Project aligns with </w:t>
      </w:r>
      <w:r w:rsidR="00163238" w:rsidRPr="002B3F36">
        <w:t>WB PS</w:t>
      </w:r>
      <w:r w:rsidRPr="002B3F36">
        <w:t xml:space="preserve">3 and Kazakhstan’s Environmental Code (2021) to control sediment-laden runoff from construction sites. Engineered erosion controls, buffer </w:t>
      </w:r>
      <w:r w:rsidRPr="002B3F36">
        <w:lastRenderedPageBreak/>
        <w:t>zones, and continuous water quality monitoring will be applied to prevent turbidity increases and safeguard aquatic ecosystems.</w:t>
      </w:r>
    </w:p>
    <w:p w14:paraId="18EBA874" w14:textId="77777777" w:rsidR="00197AE5" w:rsidRPr="002B3F36" w:rsidRDefault="00197AE5" w:rsidP="00D73944">
      <w:pPr>
        <w:pStyle w:val="ReportBodyTextNogap"/>
      </w:pPr>
    </w:p>
    <w:p w14:paraId="0BDE502E" w14:textId="77777777" w:rsidR="00D73944" w:rsidRPr="002B3F36" w:rsidRDefault="00D73944" w:rsidP="0051430B">
      <w:pPr>
        <w:pStyle w:val="DiaList12"/>
        <w:rPr>
          <w:rFonts w:eastAsia="SimSun"/>
          <w:lang w:val="en-PH"/>
        </w:rPr>
      </w:pPr>
      <w:r w:rsidRPr="002B3F36">
        <w:rPr>
          <w:rFonts w:eastAsia="SimSun"/>
          <w:lang w:val="en-PH"/>
        </w:rPr>
        <w:t>Origin of Impact</w:t>
      </w:r>
    </w:p>
    <w:p w14:paraId="6AB6BCB7" w14:textId="77777777" w:rsidR="00D73944" w:rsidRPr="002B3F36" w:rsidRDefault="00D73944" w:rsidP="00D73944">
      <w:pPr>
        <w:pStyle w:val="aff9"/>
        <w:spacing w:before="0" w:beforeAutospacing="0"/>
        <w:jc w:val="both"/>
        <w:rPr>
          <w:rFonts w:ascii="Arial" w:hAnsi="Arial" w:cs="Arial"/>
        </w:rPr>
      </w:pPr>
      <w:r w:rsidRPr="002B3F36">
        <w:rPr>
          <w:rFonts w:ascii="Arial" w:hAnsi="Arial" w:cs="Arial"/>
        </w:rPr>
        <w:t xml:space="preserve">During construction, </w:t>
      </w:r>
      <w:r w:rsidRPr="002B3F36">
        <w:rPr>
          <w:rStyle w:val="affffb"/>
          <w:b w:val="0"/>
        </w:rPr>
        <w:t>improper placement of excess cut/fill and spoil near watercourses</w:t>
      </w:r>
      <w:r w:rsidRPr="002B3F36">
        <w:rPr>
          <w:rFonts w:ascii="Arial" w:hAnsi="Arial" w:cs="Arial"/>
        </w:rPr>
        <w:t xml:space="preserve">, unprotected stockpiles, and exposed embankments can generate </w:t>
      </w:r>
      <w:r w:rsidRPr="002B3F36">
        <w:rPr>
          <w:rStyle w:val="affffb"/>
          <w:b w:val="0"/>
        </w:rPr>
        <w:t>sediment-laden runoff</w:t>
      </w:r>
      <w:r w:rsidRPr="002B3F36">
        <w:rPr>
          <w:rFonts w:ascii="Arial" w:hAnsi="Arial" w:cs="Arial"/>
        </w:rPr>
        <w:t>, increasing turbidity in streams and crossing points.</w:t>
      </w:r>
    </w:p>
    <w:p w14:paraId="7F72A7AC" w14:textId="77777777" w:rsidR="00D73944" w:rsidRPr="002B3F36" w:rsidRDefault="00D73944" w:rsidP="0051430B">
      <w:pPr>
        <w:pStyle w:val="DiaList12"/>
        <w:rPr>
          <w:rFonts w:eastAsia="SimSun"/>
          <w:lang w:val="en-PH"/>
        </w:rPr>
      </w:pPr>
      <w:r w:rsidRPr="002B3F36">
        <w:rPr>
          <w:rFonts w:eastAsia="SimSun"/>
          <w:lang w:val="en-PH"/>
        </w:rPr>
        <w:t>Impact Assessment</w:t>
      </w:r>
    </w:p>
    <w:p w14:paraId="6C97609A" w14:textId="77777777" w:rsidR="00D73944" w:rsidRPr="002B3F36" w:rsidRDefault="00D73944" w:rsidP="00D73944">
      <w:pPr>
        <w:pStyle w:val="aff9"/>
        <w:spacing w:before="0" w:beforeAutospacing="0"/>
        <w:jc w:val="both"/>
        <w:rPr>
          <w:rFonts w:ascii="Arial" w:hAnsi="Arial" w:cs="Arial"/>
        </w:rPr>
      </w:pPr>
      <w:r w:rsidRPr="002B3F36">
        <w:rPr>
          <w:rFonts w:ascii="Arial" w:hAnsi="Arial" w:cs="Arial"/>
        </w:rPr>
        <w:t xml:space="preserve">If stockpiles or spoil are placed outside the corridor and near waterbodies, </w:t>
      </w:r>
      <w:r w:rsidRPr="002B3F36">
        <w:rPr>
          <w:rStyle w:val="affffb"/>
          <w:b w:val="0"/>
        </w:rPr>
        <w:t>rainfall and wind</w:t>
      </w:r>
      <w:r w:rsidRPr="002B3F36">
        <w:rPr>
          <w:rFonts w:ascii="Arial" w:hAnsi="Arial" w:cs="Arial"/>
        </w:rPr>
        <w:t xml:space="preserve"> can mobilize fine particles to receiving waters. With corridor-based works and engineered controls, residual impact is </w:t>
      </w:r>
      <w:r w:rsidRPr="002B3F36">
        <w:rPr>
          <w:rStyle w:val="affffb"/>
          <w:b w:val="0"/>
        </w:rPr>
        <w:t>minor</w:t>
      </w:r>
      <w:r w:rsidRPr="002B3F36">
        <w:rPr>
          <w:rFonts w:ascii="Arial" w:hAnsi="Arial" w:cs="Arial"/>
        </w:rPr>
        <w:t xml:space="preserve"> and </w:t>
      </w:r>
      <w:r w:rsidRPr="002B3F36">
        <w:rPr>
          <w:rStyle w:val="affffb"/>
          <w:b w:val="0"/>
        </w:rPr>
        <w:t>low risk</w:t>
      </w:r>
      <w:r w:rsidRPr="002B3F36">
        <w:rPr>
          <w:rFonts w:ascii="Arial" w:hAnsi="Arial" w:cs="Arial"/>
        </w:rPr>
        <w:t>—provided prevention is applied.</w:t>
      </w:r>
    </w:p>
    <w:p w14:paraId="0661DC2D" w14:textId="77777777" w:rsidR="00D73944" w:rsidRPr="002B3F36" w:rsidRDefault="00D73944" w:rsidP="0051430B">
      <w:pPr>
        <w:pStyle w:val="DiaList12"/>
        <w:rPr>
          <w:rFonts w:eastAsia="SimSun"/>
          <w:lang w:val="en-PH"/>
        </w:rPr>
      </w:pPr>
      <w:r w:rsidRPr="002B3F36">
        <w:rPr>
          <w:rFonts w:eastAsia="SimSun"/>
          <w:lang w:val="en-PH"/>
        </w:rPr>
        <w:t>Mitigation Measures</w:t>
      </w:r>
    </w:p>
    <w:p w14:paraId="734850EF" w14:textId="6442D2F9" w:rsidR="00D73944" w:rsidRPr="002B3F36" w:rsidRDefault="00D73944" w:rsidP="009B4CDB">
      <w:pPr>
        <w:pStyle w:val="aff9"/>
        <w:numPr>
          <w:ilvl w:val="0"/>
          <w:numId w:val="109"/>
        </w:numPr>
        <w:spacing w:before="0" w:beforeAutospacing="0"/>
        <w:jc w:val="both"/>
        <w:rPr>
          <w:rFonts w:ascii="Arial" w:hAnsi="Arial" w:cs="Arial"/>
        </w:rPr>
      </w:pPr>
      <w:r w:rsidRPr="002B3F36">
        <w:rPr>
          <w:rStyle w:val="affffb"/>
        </w:rPr>
        <w:t>No disposal near water</w:t>
      </w:r>
      <w:r w:rsidRPr="002B3F36">
        <w:rPr>
          <w:rStyle w:val="affffb"/>
          <w:b w:val="0"/>
        </w:rPr>
        <w:t>:</w:t>
      </w:r>
      <w:r w:rsidRPr="002B3F36">
        <w:rPr>
          <w:rFonts w:ascii="Arial" w:hAnsi="Arial" w:cs="Arial"/>
        </w:rPr>
        <w:t xml:space="preserve"> Prohibit spoil/stockpile placement within defined </w:t>
      </w:r>
      <w:r w:rsidRPr="002B3F36">
        <w:rPr>
          <w:rStyle w:val="affffb"/>
          <w:b w:val="0"/>
        </w:rPr>
        <w:t>buffer distances</w:t>
      </w:r>
      <w:r w:rsidRPr="002B3F36">
        <w:rPr>
          <w:rFonts w:ascii="Arial" w:hAnsi="Arial" w:cs="Arial"/>
        </w:rPr>
        <w:t xml:space="preserve"> of rivers and drains (set in method statements; </w:t>
      </w:r>
      <w:r w:rsidR="00662145" w:rsidRPr="002B3F36">
        <w:rPr>
          <w:rFonts w:ascii="Arial" w:hAnsi="Arial" w:cs="Arial"/>
        </w:rPr>
        <w:t>typically,</w:t>
      </w:r>
      <w:r w:rsidRPr="002B3F36">
        <w:rPr>
          <w:rFonts w:ascii="Arial" w:hAnsi="Arial" w:cs="Arial"/>
        </w:rPr>
        <w:t xml:space="preserve"> ≥50 m, larger where slopes/soils warrant).</w:t>
      </w:r>
    </w:p>
    <w:p w14:paraId="3855CF92" w14:textId="77777777" w:rsidR="00D73944" w:rsidRPr="002B3F36" w:rsidRDefault="00D73944" w:rsidP="009B4CDB">
      <w:pPr>
        <w:pStyle w:val="aff9"/>
        <w:numPr>
          <w:ilvl w:val="0"/>
          <w:numId w:val="109"/>
        </w:numPr>
        <w:spacing w:before="0" w:beforeAutospacing="0"/>
        <w:jc w:val="both"/>
        <w:rPr>
          <w:rFonts w:ascii="Arial" w:hAnsi="Arial" w:cs="Arial"/>
        </w:rPr>
      </w:pPr>
      <w:r w:rsidRPr="002B3F36">
        <w:rPr>
          <w:rStyle w:val="affffb"/>
        </w:rPr>
        <w:t>Stockpile management</w:t>
      </w:r>
      <w:r w:rsidRPr="002B3F36">
        <w:rPr>
          <w:rStyle w:val="affffb"/>
          <w:b w:val="0"/>
        </w:rPr>
        <w:t>:</w:t>
      </w:r>
      <w:r w:rsidRPr="002B3F36">
        <w:rPr>
          <w:rFonts w:ascii="Arial" w:hAnsi="Arial" w:cs="Arial"/>
        </w:rPr>
        <w:t xml:space="preserve"> Limit heights, batter slopes, </w:t>
      </w:r>
      <w:r w:rsidRPr="002B3F36">
        <w:rPr>
          <w:rStyle w:val="affffb"/>
          <w:b w:val="0"/>
        </w:rPr>
        <w:t>re-vegetate/mulch</w:t>
      </w:r>
      <w:r w:rsidRPr="002B3F36">
        <w:rPr>
          <w:rFonts w:ascii="Arial" w:hAnsi="Arial" w:cs="Arial"/>
        </w:rPr>
        <w:t xml:space="preserve"> promptly, and surround with </w:t>
      </w:r>
      <w:r w:rsidRPr="002B3F36">
        <w:rPr>
          <w:rStyle w:val="affffb"/>
          <w:b w:val="0"/>
        </w:rPr>
        <w:t>silt fencing/wattles</w:t>
      </w:r>
      <w:r w:rsidRPr="002B3F36">
        <w:rPr>
          <w:rFonts w:ascii="Arial" w:hAnsi="Arial" w:cs="Arial"/>
        </w:rPr>
        <w:t>; cover during high-wind periods.</w:t>
      </w:r>
    </w:p>
    <w:p w14:paraId="4F08D97F" w14:textId="77777777" w:rsidR="00D73944" w:rsidRPr="002B3F36" w:rsidRDefault="00D73944" w:rsidP="009B4CDB">
      <w:pPr>
        <w:pStyle w:val="aff9"/>
        <w:numPr>
          <w:ilvl w:val="0"/>
          <w:numId w:val="109"/>
        </w:numPr>
        <w:spacing w:before="0" w:beforeAutospacing="0"/>
        <w:jc w:val="both"/>
        <w:rPr>
          <w:rFonts w:ascii="Arial" w:hAnsi="Arial" w:cs="Arial"/>
        </w:rPr>
      </w:pPr>
      <w:r w:rsidRPr="002B3F36">
        <w:rPr>
          <w:rStyle w:val="affffb"/>
        </w:rPr>
        <w:t>Erosion &amp; sediment control (ESC)</w:t>
      </w:r>
      <w:r w:rsidRPr="002B3F36">
        <w:rPr>
          <w:rStyle w:val="affffb"/>
          <w:b w:val="0"/>
        </w:rPr>
        <w:t>:</w:t>
      </w:r>
      <w:r w:rsidRPr="002B3F36">
        <w:rPr>
          <w:rFonts w:ascii="Arial" w:hAnsi="Arial" w:cs="Arial"/>
        </w:rPr>
        <w:t xml:space="preserve"> Install diversion channels, check dams, and temporary settling basins; phase earthworks to minimize open ground.</w:t>
      </w:r>
    </w:p>
    <w:p w14:paraId="218CC597" w14:textId="77777777" w:rsidR="00D73944" w:rsidRPr="002B3F36" w:rsidRDefault="00D73944" w:rsidP="009B4CDB">
      <w:pPr>
        <w:pStyle w:val="aff9"/>
        <w:numPr>
          <w:ilvl w:val="0"/>
          <w:numId w:val="109"/>
        </w:numPr>
        <w:spacing w:before="0" w:beforeAutospacing="0"/>
        <w:jc w:val="both"/>
        <w:rPr>
          <w:rFonts w:ascii="Arial" w:hAnsi="Arial" w:cs="Arial"/>
        </w:rPr>
      </w:pPr>
      <w:r w:rsidRPr="002B3F36">
        <w:rPr>
          <w:rStyle w:val="affffb"/>
        </w:rPr>
        <w:t>Crossing works timing</w:t>
      </w:r>
      <w:r w:rsidRPr="002B3F36">
        <w:rPr>
          <w:rStyle w:val="affffb"/>
          <w:b w:val="0"/>
        </w:rPr>
        <w:t>:</w:t>
      </w:r>
      <w:r w:rsidRPr="002B3F36">
        <w:rPr>
          <w:rFonts w:ascii="Arial" w:hAnsi="Arial" w:cs="Arial"/>
        </w:rPr>
        <w:t xml:space="preserve"> Schedule in low-flow periods; maintain cofferdams/bunds and pump to </w:t>
      </w:r>
      <w:r w:rsidRPr="002B3F36">
        <w:rPr>
          <w:rStyle w:val="affffb"/>
          <w:b w:val="0"/>
        </w:rPr>
        <w:t>sediment cells</w:t>
      </w:r>
      <w:r w:rsidRPr="002B3F36">
        <w:rPr>
          <w:rFonts w:ascii="Arial" w:hAnsi="Arial" w:cs="Arial"/>
        </w:rPr>
        <w:t xml:space="preserve"> before discharge.</w:t>
      </w:r>
    </w:p>
    <w:p w14:paraId="3084ED46" w14:textId="77777777" w:rsidR="00D73944" w:rsidRPr="002B3F36" w:rsidRDefault="00D73944" w:rsidP="009B4CDB">
      <w:pPr>
        <w:pStyle w:val="aff9"/>
        <w:numPr>
          <w:ilvl w:val="0"/>
          <w:numId w:val="109"/>
        </w:numPr>
        <w:spacing w:before="0" w:beforeAutospacing="0"/>
        <w:jc w:val="both"/>
        <w:rPr>
          <w:rFonts w:ascii="Arial" w:hAnsi="Arial" w:cs="Arial"/>
        </w:rPr>
      </w:pPr>
      <w:r w:rsidRPr="002B3F36">
        <w:rPr>
          <w:rStyle w:val="affffb"/>
        </w:rPr>
        <w:t>Monitoring</w:t>
      </w:r>
      <w:r w:rsidRPr="002B3F36">
        <w:rPr>
          <w:rStyle w:val="affffb"/>
          <w:b w:val="0"/>
        </w:rPr>
        <w:t>:</w:t>
      </w:r>
      <w:r w:rsidRPr="002B3F36">
        <w:rPr>
          <w:rFonts w:ascii="Arial" w:hAnsi="Arial" w:cs="Arial"/>
        </w:rPr>
        <w:t xml:space="preserve"> Turbidity/SSC spot checks upstream/downstream during crossing works and after significant rain events; corrective actions where thresholds are exceeded.</w:t>
      </w:r>
    </w:p>
    <w:p w14:paraId="5F099EE2" w14:textId="13EB667F" w:rsidR="000D7D4B" w:rsidRPr="002B3F36" w:rsidRDefault="000D7D4B" w:rsidP="0057666A">
      <w:pPr>
        <w:pStyle w:val="31"/>
      </w:pPr>
      <w:bookmarkStart w:id="2449" w:name="_Toc210589511"/>
      <w:r w:rsidRPr="002B3F36">
        <w:t>Water Resources (Surface and Groundwater)</w:t>
      </w:r>
      <w:r w:rsidR="00CE155A" w:rsidRPr="002B3F36">
        <w:t xml:space="preserve"> Quantity</w:t>
      </w:r>
      <w:r w:rsidRPr="002B3F36">
        <w:t xml:space="preserve"> &amp; Quality</w:t>
      </w:r>
      <w:bookmarkEnd w:id="2443"/>
      <w:bookmarkEnd w:id="2444"/>
      <w:bookmarkEnd w:id="2445"/>
      <w:bookmarkEnd w:id="2446"/>
      <w:bookmarkEnd w:id="2447"/>
      <w:bookmarkEnd w:id="2449"/>
    </w:p>
    <w:p w14:paraId="50070DAB" w14:textId="5CACFC4B" w:rsidR="00C151A8" w:rsidRPr="002B3F36" w:rsidRDefault="00C151A8" w:rsidP="00C151A8">
      <w:pPr>
        <w:pStyle w:val="ReportBodyPar"/>
      </w:pPr>
    </w:p>
    <w:p w14:paraId="7357A2A2" w14:textId="2B095DC8" w:rsidR="00116B36" w:rsidRPr="002B3F36" w:rsidRDefault="00116B36" w:rsidP="00C151A8">
      <w:pPr>
        <w:pStyle w:val="ReportBodyPar"/>
      </w:pPr>
      <w:r w:rsidRPr="002B3F36">
        <w:t xml:space="preserve">Given the Project’s reliance on water for dust suppression, concrete works, and worker camps, activities in riparian zones and near waterbodies will be managed in accordance with </w:t>
      </w:r>
      <w:r w:rsidR="00163238" w:rsidRPr="002B3F36">
        <w:t>WB PS</w:t>
      </w:r>
      <w:r w:rsidRPr="002B3F36">
        <w:t>3 on resource efficiency and pollution prevention and Kazakhstan’s Environmental Code (2021). Water abstraction, wastewater management, and spill prevention measures will be implemented to safeguard surface and groundwater quality, maintain ecological flows, and ensure compliance with national water protection regulations.</w:t>
      </w:r>
    </w:p>
    <w:p w14:paraId="31DC2E11" w14:textId="77777777" w:rsidR="00116B36" w:rsidRPr="002B3F36" w:rsidRDefault="00116B36" w:rsidP="00C151A8">
      <w:pPr>
        <w:pStyle w:val="ReportBodyPar"/>
      </w:pPr>
    </w:p>
    <w:p w14:paraId="3340D11F" w14:textId="77777777" w:rsidR="006D523A" w:rsidRPr="002B3F36" w:rsidRDefault="006D523A" w:rsidP="0051430B">
      <w:pPr>
        <w:pStyle w:val="DiaList12"/>
        <w:rPr>
          <w:rFonts w:eastAsia="SimSun"/>
          <w:lang w:val="en-PH"/>
        </w:rPr>
      </w:pPr>
      <w:bookmarkStart w:id="2450" w:name="_Toc169094785"/>
      <w:bookmarkStart w:id="2451" w:name="_Toc208973870"/>
      <w:bookmarkStart w:id="2452" w:name="_Toc208974070"/>
      <w:bookmarkStart w:id="2453" w:name="_Toc208974270"/>
      <w:bookmarkStart w:id="2454" w:name="_Toc208974473"/>
      <w:bookmarkStart w:id="2455" w:name="_Toc208974678"/>
      <w:bookmarkEnd w:id="2448"/>
      <w:r w:rsidRPr="002B3F36">
        <w:rPr>
          <w:rFonts w:eastAsia="SimSun"/>
          <w:lang w:val="en-PH"/>
        </w:rPr>
        <w:t>Context and Origin of Impact</w:t>
      </w:r>
    </w:p>
    <w:p w14:paraId="58A354B9" w14:textId="25D2E279" w:rsidR="006D523A" w:rsidRPr="002B3F36" w:rsidRDefault="006D523A" w:rsidP="00474C7B">
      <w:pPr>
        <w:pStyle w:val="ReportBodyPar"/>
      </w:pPr>
      <w:r w:rsidRPr="002B3F36">
        <w:t xml:space="preserve">The Project will require substantial water use for </w:t>
      </w:r>
      <w:r w:rsidRPr="002B3F36">
        <w:rPr>
          <w:rStyle w:val="affffb"/>
        </w:rPr>
        <w:t>dust suppression, concrete batching, and worker camps</w:t>
      </w:r>
      <w:r w:rsidRPr="002B3F36">
        <w:t xml:space="preserve">, as well as for the operation of auxiliary plants such as </w:t>
      </w:r>
      <w:r w:rsidRPr="002B3F36">
        <w:rPr>
          <w:rStyle w:val="affffb"/>
        </w:rPr>
        <w:t>crushing and batching facilities</w:t>
      </w:r>
      <w:r w:rsidRPr="002B3F36">
        <w:t xml:space="preserve">. Construction of bridges and culverts will also involve activities in riparian zones. These activities present potential risks of </w:t>
      </w:r>
      <w:r w:rsidRPr="002B3F36">
        <w:rPr>
          <w:rStyle w:val="affffb"/>
        </w:rPr>
        <w:t>over-abstraction</w:t>
      </w:r>
      <w:r w:rsidRPr="002B3F36">
        <w:t xml:space="preserve">, </w:t>
      </w:r>
      <w:r w:rsidRPr="002B3F36">
        <w:rPr>
          <w:rStyle w:val="affffb"/>
        </w:rPr>
        <w:t>increased suspended solids</w:t>
      </w:r>
      <w:r w:rsidRPr="002B3F36">
        <w:t xml:space="preserve">, </w:t>
      </w:r>
      <w:r w:rsidRPr="002B3F36">
        <w:rPr>
          <w:rStyle w:val="affffb"/>
        </w:rPr>
        <w:t>hydrocarbon and chemical spills</w:t>
      </w:r>
      <w:r w:rsidRPr="002B3F36">
        <w:t xml:space="preserve">, and </w:t>
      </w:r>
      <w:r w:rsidRPr="002B3F36">
        <w:rPr>
          <w:rStyle w:val="affffb"/>
        </w:rPr>
        <w:t>wastewater discharges</w:t>
      </w:r>
      <w:r w:rsidRPr="002B3F36">
        <w:t xml:space="preserve"> from worker camps.</w:t>
      </w:r>
    </w:p>
    <w:p w14:paraId="26471460" w14:textId="77777777" w:rsidR="00474C7B" w:rsidRPr="002B3F36" w:rsidRDefault="00474C7B" w:rsidP="00474C7B">
      <w:pPr>
        <w:pStyle w:val="ReportBodyPar"/>
      </w:pPr>
    </w:p>
    <w:p w14:paraId="0CF61B78" w14:textId="0FE5673E" w:rsidR="006D523A" w:rsidRPr="002B3F36" w:rsidRDefault="006D523A" w:rsidP="00474C7B">
      <w:pPr>
        <w:pStyle w:val="ReportBodyPar"/>
      </w:pPr>
      <w:r w:rsidRPr="002B3F36">
        <w:t xml:space="preserve">In compliance with </w:t>
      </w:r>
      <w:r w:rsidRPr="002B3F36">
        <w:rPr>
          <w:rStyle w:val="affffb"/>
        </w:rPr>
        <w:t>Republic of Kazakhstan (RoK) regulations</w:t>
      </w:r>
      <w:r w:rsidRPr="002B3F36">
        <w:t xml:space="preserve">, works in riparian zones must observe designated </w:t>
      </w:r>
      <w:r w:rsidRPr="002B3F36">
        <w:rPr>
          <w:rStyle w:val="affffb"/>
        </w:rPr>
        <w:t>water protection zones and strips</w:t>
      </w:r>
      <w:r w:rsidRPr="002B3F36">
        <w:t xml:space="preserve">. All potable water supplied to workers must meet the requirements of </w:t>
      </w:r>
      <w:r w:rsidRPr="002B3F36">
        <w:rPr>
          <w:rStyle w:val="affffb"/>
        </w:rPr>
        <w:t>Sanitary Rules № 209 (16 March 2015)</w:t>
      </w:r>
      <w:r w:rsidRPr="002B3F36">
        <w:t>, with bottled water provided where necessary.</w:t>
      </w:r>
    </w:p>
    <w:p w14:paraId="6EB66A1F" w14:textId="77777777" w:rsidR="00474C7B" w:rsidRPr="002B3F36" w:rsidRDefault="00474C7B" w:rsidP="00474C7B">
      <w:pPr>
        <w:pStyle w:val="ReportBodyPar"/>
      </w:pPr>
    </w:p>
    <w:p w14:paraId="58889166" w14:textId="77777777" w:rsidR="006D523A" w:rsidRPr="002B3F36" w:rsidRDefault="006D523A" w:rsidP="0051430B">
      <w:pPr>
        <w:pStyle w:val="DiaList12"/>
        <w:rPr>
          <w:rFonts w:eastAsia="SimSun"/>
          <w:lang w:val="en-PH"/>
        </w:rPr>
      </w:pPr>
      <w:r w:rsidRPr="002B3F36">
        <w:rPr>
          <w:rFonts w:eastAsia="SimSun"/>
          <w:lang w:val="en-PH"/>
        </w:rPr>
        <w:t>Impact Assessment</w:t>
      </w:r>
    </w:p>
    <w:p w14:paraId="19F3513B" w14:textId="215F8282" w:rsidR="000F5B76" w:rsidRPr="002B3F36" w:rsidRDefault="006D523A">
      <w:pPr>
        <w:pStyle w:val="ReportBodyPar"/>
      </w:pPr>
      <w:r w:rsidRPr="002B3F36">
        <w:t xml:space="preserve">The </w:t>
      </w:r>
      <w:r w:rsidRPr="002B3F36">
        <w:rPr>
          <w:rStyle w:val="ReportBodyParChar"/>
        </w:rPr>
        <w:t xml:space="preserve">Project’s water-related impacts are expected to be localized. Camps and auxiliary plants represent discrete point sources, while bridge and culvert works pose short-term turbidity risks during </w:t>
      </w:r>
      <w:r w:rsidRPr="002B3F36">
        <w:t xml:space="preserve">construction. </w:t>
      </w:r>
    </w:p>
    <w:p w14:paraId="41819CDC" w14:textId="0FA5FD43" w:rsidR="00D34729" w:rsidRPr="00A846C7" w:rsidRDefault="00D34729" w:rsidP="00D50A14">
      <w:pPr>
        <w:pStyle w:val="ReportBodyPar"/>
      </w:pPr>
      <w:r w:rsidRPr="00A846C7">
        <w:lastRenderedPageBreak/>
        <w:t>The depth of groundwater varies across different sections of the road. If surface water levels rise, the work may impact their quality.</w:t>
      </w:r>
      <w:r w:rsidR="00D50A14" w:rsidRPr="00A846C7">
        <w:t xml:space="preserve"> </w:t>
      </w:r>
      <w:r w:rsidRPr="00A846C7">
        <w:t>Water for domestic use during the operation of the contractor's camps will be brought from the water supply systems of nearby settlements.</w:t>
      </w:r>
    </w:p>
    <w:p w14:paraId="418F6CB9" w14:textId="77777777" w:rsidR="00D50A14" w:rsidRPr="00A846C7" w:rsidRDefault="00D50A14" w:rsidP="00F47182">
      <w:pPr>
        <w:pStyle w:val="ReportBodyPar"/>
      </w:pPr>
    </w:p>
    <w:p w14:paraId="246B6CD4" w14:textId="364ABCEA" w:rsidR="00D34729" w:rsidRPr="00A846C7" w:rsidRDefault="00D34729" w:rsidP="00D50A14">
      <w:pPr>
        <w:pStyle w:val="ReportBodyPar"/>
      </w:pPr>
      <w:r w:rsidRPr="00A846C7">
        <w:t>The quality of drinking water and the water intake for drinking purposes (if necessary) must comply with the requirements of the Sanitary Rules "Sanitary and Epidemiological Requirements for Water Sources, Water Intake Points for Domestic and Drinking Purposes, Domestic and Drinking Water Supply, and Cultural and Domestic Water Use Sites and the Safety of Water Bodies," approved by Order No. 209 of the Minister of National Economy of the Republic of Kazakhstan dated March 16, 2015.</w:t>
      </w:r>
    </w:p>
    <w:p w14:paraId="6C3E3053" w14:textId="77777777" w:rsidR="00D50A14" w:rsidRPr="00A846C7" w:rsidRDefault="00D50A14" w:rsidP="00F47182">
      <w:pPr>
        <w:pStyle w:val="ReportBodyPar"/>
      </w:pPr>
    </w:p>
    <w:p w14:paraId="19925213" w14:textId="6BC18446" w:rsidR="000F5B76" w:rsidRPr="00A846C7" w:rsidRDefault="00D34729" w:rsidP="00F47182">
      <w:pPr>
        <w:pStyle w:val="ReportBodyPar"/>
      </w:pPr>
      <w:r w:rsidRPr="00A846C7">
        <w:t>Bottled water of appropriate quality will be supplied for drinking purposes.</w:t>
      </w:r>
      <w:r w:rsidR="00D50A14" w:rsidRPr="00A846C7">
        <w:t xml:space="preserve"> </w:t>
      </w:r>
      <w:r w:rsidRPr="00A846C7">
        <w:t>Water consumption for domestic use during construction will be approximately 18,802.5 m³, drinking water 1,504.2 m³, and shower water 135,378 m³. The consumption of technical-quality water for irrigation of compacted soil and dust suppression is 248,037.45 m³/per period. Water will be taken from the nearest water source (river) after obtaining the appropriate permits.</w:t>
      </w:r>
      <w:r w:rsidR="00D50A14" w:rsidRPr="00A846C7">
        <w:t xml:space="preserve"> </w:t>
      </w:r>
    </w:p>
    <w:p w14:paraId="68E13A95" w14:textId="77777777" w:rsidR="00D34729" w:rsidRPr="00A846C7" w:rsidRDefault="00D34729" w:rsidP="00F47182">
      <w:pPr>
        <w:pStyle w:val="ReportBodyPar"/>
      </w:pPr>
      <w:r w:rsidRPr="00A846C7">
        <w:t>Efficient water use is a key environmental protection measure.</w:t>
      </w:r>
    </w:p>
    <w:p w14:paraId="23914E82" w14:textId="77777777" w:rsidR="00D34729" w:rsidRPr="00A846C7" w:rsidRDefault="00D34729" w:rsidP="00F47182">
      <w:pPr>
        <w:pStyle w:val="ReportBodyPar"/>
      </w:pPr>
    </w:p>
    <w:p w14:paraId="187D85AE" w14:textId="77777777" w:rsidR="00D34729" w:rsidRPr="00A846C7" w:rsidRDefault="00D34729" w:rsidP="00D34729">
      <w:pPr>
        <w:pStyle w:val="ReportBodyPar"/>
        <w:spacing w:before="120"/>
        <w:rPr>
          <w:rStyle w:val="ReportBodyParChar"/>
          <w:i/>
          <w:iCs/>
        </w:rPr>
      </w:pPr>
      <w:r w:rsidRPr="00A846C7">
        <w:rPr>
          <w:rStyle w:val="ReportBodyParChar"/>
          <w:i/>
          <w:iCs/>
        </w:rPr>
        <w:t>Operation</w:t>
      </w:r>
    </w:p>
    <w:p w14:paraId="227E1D62" w14:textId="6C4EF701" w:rsidR="00D34729" w:rsidRPr="00A846C7" w:rsidRDefault="00D34729" w:rsidP="00F82096">
      <w:pPr>
        <w:pStyle w:val="ReportBodyPar"/>
      </w:pPr>
      <w:r w:rsidRPr="00A846C7">
        <w:t>The total water consumption during operation will be 784.75 m³ for household needs and 62.78 m³ for drinking water. Water of the appropriate quality will be collected at the terminal stations.</w:t>
      </w:r>
    </w:p>
    <w:p w14:paraId="5B3A02C7" w14:textId="77777777" w:rsidR="00D34729" w:rsidRPr="00A846C7" w:rsidRDefault="00D34729" w:rsidP="00F82096">
      <w:pPr>
        <w:pStyle w:val="ReportBodyPar"/>
      </w:pPr>
    </w:p>
    <w:p w14:paraId="5B8985C0" w14:textId="77777777" w:rsidR="00D34729" w:rsidRPr="00A846C7" w:rsidRDefault="00D34729" w:rsidP="00D34729">
      <w:pPr>
        <w:pStyle w:val="ReportBodyPar"/>
        <w:spacing w:before="120"/>
        <w:rPr>
          <w:rStyle w:val="ReportBodyParChar"/>
          <w:i/>
          <w:iCs/>
        </w:rPr>
      </w:pPr>
      <w:r w:rsidRPr="00A846C7">
        <w:rPr>
          <w:rStyle w:val="ReportBodyParChar"/>
          <w:i/>
          <w:iCs/>
        </w:rPr>
        <w:t>Road crossing water obstacles</w:t>
      </w:r>
    </w:p>
    <w:p w14:paraId="45DD0173" w14:textId="77777777" w:rsidR="00D34729" w:rsidRPr="00A846C7" w:rsidRDefault="00D34729" w:rsidP="00F82096">
      <w:pPr>
        <w:pStyle w:val="ReportBodyPar"/>
      </w:pPr>
      <w:r w:rsidRPr="00A846C7">
        <w:t>Impacts on the coastal area and the hydrogeological environment will be associated with the deepening of structures, driving and pouring of piles when crossing water obstacles, etc. Work in the coastal zone will comply with the legal requirements of the Republic of Kazakhstan. Discharge of wastewater and waste into rivers is not envisaged.</w:t>
      </w:r>
    </w:p>
    <w:p w14:paraId="4A8D656E" w14:textId="77777777" w:rsidR="00D34729" w:rsidRPr="00A846C7" w:rsidRDefault="00D34729" w:rsidP="00F82096">
      <w:pPr>
        <w:pStyle w:val="ReportBodyPar"/>
      </w:pPr>
    </w:p>
    <w:p w14:paraId="2D78FFD5" w14:textId="77777777" w:rsidR="00D34729" w:rsidRPr="00A846C7" w:rsidRDefault="00D34729" w:rsidP="00D34729">
      <w:pPr>
        <w:pStyle w:val="ReportBodyPar"/>
        <w:spacing w:before="120"/>
        <w:rPr>
          <w:rStyle w:val="ReportBodyParChar"/>
          <w:i/>
          <w:iCs/>
        </w:rPr>
      </w:pPr>
      <w:r w:rsidRPr="00A846C7">
        <w:rPr>
          <w:rStyle w:val="ReportBodyParChar"/>
          <w:i/>
          <w:iCs/>
        </w:rPr>
        <w:t>Lack of water for construction and dust suppression</w:t>
      </w:r>
    </w:p>
    <w:p w14:paraId="15FB642D" w14:textId="0C4B6AFD" w:rsidR="00D34729" w:rsidRPr="00A846C7" w:rsidRDefault="00D34729" w:rsidP="00D50A14">
      <w:pPr>
        <w:pStyle w:val="ReportBodyPar"/>
      </w:pPr>
      <w:r w:rsidRPr="00A846C7">
        <w:rPr>
          <w:rStyle w:val="ReportBodyParChar"/>
        </w:rPr>
        <w:t xml:space="preserve">Given the </w:t>
      </w:r>
      <w:r w:rsidRPr="00A846C7">
        <w:t>arid climate and the limited availability of surface water sources, as well as the large population centers located within the area, there remains a high risk of water shortages during construction. This issue must be addressed in appropriate documents, with additional studies conducted to mitigate these risks.</w:t>
      </w:r>
    </w:p>
    <w:p w14:paraId="44541126" w14:textId="77777777" w:rsidR="00D50A14" w:rsidRPr="00A846C7" w:rsidRDefault="00D50A14" w:rsidP="00F82096">
      <w:pPr>
        <w:pStyle w:val="ReportBodyPar"/>
      </w:pPr>
    </w:p>
    <w:p w14:paraId="683EC4FF" w14:textId="77777777" w:rsidR="00D34729" w:rsidRPr="002B3F36" w:rsidRDefault="00D34729" w:rsidP="00F82096">
      <w:pPr>
        <w:pStyle w:val="ReportBodyPar"/>
      </w:pPr>
      <w:r w:rsidRPr="00A846C7">
        <w:t>Water intake locations will be determined at the design stage. Water intake must be approved by the executive authority. The volume of water intake must not negatively impact the water balance of the river or groundwater sources for residential areas.</w:t>
      </w:r>
    </w:p>
    <w:p w14:paraId="138CDCFA" w14:textId="34CC0661" w:rsidR="00D34729" w:rsidRPr="002B3F36" w:rsidRDefault="00D34729">
      <w:pPr>
        <w:pStyle w:val="ReportBodyPar"/>
      </w:pPr>
    </w:p>
    <w:p w14:paraId="3FC36AA3" w14:textId="45FC8544" w:rsidR="00F16A0A" w:rsidRPr="002B3F36" w:rsidRDefault="004E6D4A" w:rsidP="00F16A0A">
      <w:pPr>
        <w:pStyle w:val="ReportBodyTextNogap"/>
      </w:pPr>
      <w:r w:rsidRPr="002B3F36">
        <w:t xml:space="preserve">The Project poses direct risks of water-quality contamination and over-extraction, with environmental receptors affected and nearby households potentially impacted where livestock rely on natural sources. At individual water points, any contamination would generally be of medium-term duration and local extent, targeting specific resources rather than the wider area. Because construction activities require regular water use, the exposure frequency may be daily or near-continuous throughout the works. Using the Significance of Impact Matrix, the receiving environment is assessed as medium sensitivity—heightened during dry periods—combined with a medium impact magnitude, resulting in an overall Moderate significance (pre-mitigation). By contrast, contractor camps (and associated water-use/handling areas) present higher risk due to concentrated abstraction, storage, and wastewater generation; receptors there register medium to high sensitivity and medium to </w:t>
      </w:r>
      <w:r w:rsidRPr="002B3F36">
        <w:lastRenderedPageBreak/>
        <w:t>large magnitude, yielding Moderate to Major significance (pre-mitigation). Accordingly, stricter controls are warranted at camps (e.g., abstraction caps, source protection, sediment/oil separation, wastewater treatment, discharge monitoring, and contingency measures) to reduce residual risk to acceptable levels.</w:t>
      </w:r>
    </w:p>
    <w:p w14:paraId="7B336DEF" w14:textId="30C94D7A" w:rsidR="00F16A0A" w:rsidRPr="002B3F36" w:rsidRDefault="00F16A0A">
      <w:pPr>
        <w:pStyle w:val="ReportBodyPar"/>
      </w:pPr>
    </w:p>
    <w:p w14:paraId="5982EF96" w14:textId="77777777" w:rsidR="00CE155A" w:rsidRPr="002B3F36" w:rsidRDefault="00CE155A">
      <w:pPr>
        <w:pStyle w:val="ReportBodyPar"/>
      </w:pPr>
    </w:p>
    <w:p w14:paraId="0A3EE8D9" w14:textId="1D5CFE1A" w:rsidR="006D523A" w:rsidRPr="002B3F36" w:rsidRDefault="006D523A" w:rsidP="00474C7B">
      <w:pPr>
        <w:pStyle w:val="ReportBodyPar"/>
        <w:rPr>
          <w:rStyle w:val="ReportBodyParChar"/>
        </w:rPr>
      </w:pPr>
      <w:r w:rsidRPr="002B3F36">
        <w:rPr>
          <w:rStyle w:val="ReportBodyParChar"/>
        </w:rPr>
        <w:t>Without controls, contamination could result from fuel and lubricant spills, cement washout, or poorly sited camps. Given the length of the railway corridor, the spatial footprint is significant; however, with proper siting, engineering, and treatment measures, overall impacts are expected to be minor in magnitude but moderate in risk</w:t>
      </w:r>
      <w:r w:rsidR="004E4191" w:rsidRPr="002B3F36">
        <w:rPr>
          <w:rStyle w:val="ReportBodyParChar"/>
        </w:rPr>
        <w:t xml:space="preserve"> (as per Level of Significance Table)</w:t>
      </w:r>
      <w:r w:rsidRPr="002B3F36">
        <w:rPr>
          <w:rStyle w:val="ReportBodyParChar"/>
        </w:rPr>
        <w:t>, necessitating routine monitoring and adaptive management.</w:t>
      </w:r>
    </w:p>
    <w:p w14:paraId="2D444184" w14:textId="77777777" w:rsidR="00474C7B" w:rsidRPr="002B3F36" w:rsidRDefault="00474C7B" w:rsidP="00474C7B">
      <w:pPr>
        <w:pStyle w:val="ReportBodyPar"/>
        <w:rPr>
          <w:rStyle w:val="ReportBodyParChar"/>
        </w:rPr>
      </w:pPr>
    </w:p>
    <w:p w14:paraId="2A778ACD" w14:textId="3E126B93" w:rsidR="006D523A" w:rsidRPr="002B3F36" w:rsidRDefault="006D523A" w:rsidP="0051430B">
      <w:pPr>
        <w:pStyle w:val="DiaList12"/>
        <w:rPr>
          <w:rFonts w:eastAsia="SimSun"/>
          <w:lang w:val="en-PH"/>
        </w:rPr>
      </w:pPr>
      <w:r w:rsidRPr="002B3F36">
        <w:rPr>
          <w:rFonts w:eastAsia="SimSun"/>
          <w:lang w:val="en-PH"/>
        </w:rPr>
        <w:t>Mitigation Measures</w:t>
      </w:r>
    </w:p>
    <w:p w14:paraId="47149644" w14:textId="77777777" w:rsidR="006D523A" w:rsidRPr="002B3F36" w:rsidRDefault="006D523A" w:rsidP="00474C7B">
      <w:pPr>
        <w:pStyle w:val="aff9"/>
        <w:spacing w:before="0" w:beforeAutospacing="0" w:after="0" w:afterAutospacing="0"/>
        <w:rPr>
          <w:rFonts w:ascii="Arial" w:hAnsi="Arial" w:cs="Arial"/>
        </w:rPr>
      </w:pPr>
      <w:r w:rsidRPr="002B3F36">
        <w:rPr>
          <w:rStyle w:val="affffb"/>
        </w:rPr>
        <w:t>Water Resource Conservation</w:t>
      </w:r>
    </w:p>
    <w:p w14:paraId="7BD58697" w14:textId="77777777" w:rsidR="006D523A" w:rsidRPr="002B3F36" w:rsidRDefault="006D523A" w:rsidP="009B4CDB">
      <w:pPr>
        <w:pStyle w:val="aff9"/>
        <w:numPr>
          <w:ilvl w:val="0"/>
          <w:numId w:val="143"/>
        </w:numPr>
        <w:spacing w:before="0" w:beforeAutospacing="0"/>
        <w:rPr>
          <w:rFonts w:ascii="Arial" w:hAnsi="Arial" w:cs="Arial"/>
        </w:rPr>
      </w:pPr>
      <w:r w:rsidRPr="002B3F36">
        <w:rPr>
          <w:rFonts w:ascii="Arial" w:hAnsi="Arial" w:cs="Arial"/>
        </w:rPr>
        <w:t xml:space="preserve">Develop a </w:t>
      </w:r>
      <w:r w:rsidRPr="002B3F36">
        <w:rPr>
          <w:rStyle w:val="affffb"/>
        </w:rPr>
        <w:t>Water Resources Management Plan (WRMP)</w:t>
      </w:r>
      <w:r w:rsidRPr="002B3F36">
        <w:rPr>
          <w:rFonts w:ascii="Arial" w:hAnsi="Arial" w:cs="Arial"/>
        </w:rPr>
        <w:t xml:space="preserve"> before works commence, covering abstraction volumes, sources, meters, and reuse loops.</w:t>
      </w:r>
    </w:p>
    <w:p w14:paraId="49995188" w14:textId="77777777" w:rsidR="006D523A" w:rsidRPr="002B3F36" w:rsidRDefault="006D523A" w:rsidP="009B4CDB">
      <w:pPr>
        <w:pStyle w:val="aff9"/>
        <w:numPr>
          <w:ilvl w:val="0"/>
          <w:numId w:val="143"/>
        </w:numPr>
        <w:spacing w:before="0" w:beforeAutospacing="0"/>
        <w:rPr>
          <w:rFonts w:ascii="Arial" w:hAnsi="Arial" w:cs="Arial"/>
        </w:rPr>
      </w:pPr>
      <w:r w:rsidRPr="002B3F36">
        <w:rPr>
          <w:rFonts w:ascii="Arial" w:hAnsi="Arial" w:cs="Arial"/>
        </w:rPr>
        <w:t xml:space="preserve">Obtain all necessary approvals for water intake, ensuring abstraction does not reduce </w:t>
      </w:r>
      <w:r w:rsidRPr="002B3F36">
        <w:rPr>
          <w:rStyle w:val="affffb"/>
        </w:rPr>
        <w:t>community water supply</w:t>
      </w:r>
      <w:r w:rsidRPr="002B3F36">
        <w:rPr>
          <w:rFonts w:ascii="Arial" w:hAnsi="Arial" w:cs="Arial"/>
        </w:rPr>
        <w:t xml:space="preserve"> or compromise </w:t>
      </w:r>
      <w:r w:rsidRPr="002B3F36">
        <w:rPr>
          <w:rStyle w:val="affffb"/>
        </w:rPr>
        <w:t>ecological flows</w:t>
      </w:r>
      <w:r w:rsidRPr="002B3F36">
        <w:rPr>
          <w:rFonts w:ascii="Arial" w:hAnsi="Arial" w:cs="Arial"/>
        </w:rPr>
        <w:t>.</w:t>
      </w:r>
    </w:p>
    <w:p w14:paraId="19D99FDB" w14:textId="77777777" w:rsidR="006D523A" w:rsidRPr="002B3F36" w:rsidRDefault="006D523A" w:rsidP="009B4CDB">
      <w:pPr>
        <w:pStyle w:val="aff9"/>
        <w:numPr>
          <w:ilvl w:val="0"/>
          <w:numId w:val="143"/>
        </w:numPr>
        <w:rPr>
          <w:rFonts w:ascii="Arial" w:hAnsi="Arial" w:cs="Arial"/>
        </w:rPr>
      </w:pPr>
      <w:r w:rsidRPr="002B3F36">
        <w:rPr>
          <w:rFonts w:ascii="Arial" w:hAnsi="Arial" w:cs="Arial"/>
        </w:rPr>
        <w:t>Install meters and maintain detailed abstraction logs for accountability.</w:t>
      </w:r>
    </w:p>
    <w:p w14:paraId="4CD6590B" w14:textId="77777777" w:rsidR="006D523A" w:rsidRPr="002B3F36" w:rsidRDefault="006D523A" w:rsidP="00116B36">
      <w:pPr>
        <w:pStyle w:val="aff9"/>
        <w:spacing w:before="0" w:beforeAutospacing="0" w:after="0" w:afterAutospacing="0"/>
        <w:rPr>
          <w:rFonts w:ascii="Arial" w:hAnsi="Arial" w:cs="Arial"/>
        </w:rPr>
      </w:pPr>
      <w:r w:rsidRPr="002B3F36">
        <w:rPr>
          <w:rStyle w:val="affffb"/>
        </w:rPr>
        <w:t>Water Quality Protection</w:t>
      </w:r>
    </w:p>
    <w:p w14:paraId="5622D595" w14:textId="77777777" w:rsidR="006D523A" w:rsidRPr="002B3F36" w:rsidRDefault="006D523A" w:rsidP="009B4CDB">
      <w:pPr>
        <w:pStyle w:val="aff9"/>
        <w:numPr>
          <w:ilvl w:val="0"/>
          <w:numId w:val="144"/>
        </w:numPr>
        <w:spacing w:before="0" w:beforeAutospacing="0" w:after="0" w:afterAutospacing="0"/>
        <w:rPr>
          <w:rFonts w:ascii="Arial" w:hAnsi="Arial" w:cs="Arial"/>
        </w:rPr>
      </w:pPr>
      <w:r w:rsidRPr="002B3F36">
        <w:rPr>
          <w:rStyle w:val="affffb"/>
        </w:rPr>
        <w:t>Buffers</w:t>
      </w:r>
      <w:r w:rsidRPr="002B3F36">
        <w:rPr>
          <w:rFonts w:ascii="Arial" w:hAnsi="Arial" w:cs="Arial"/>
        </w:rPr>
        <w:t>: Maintain protective setbacks between camps/plants and waterbodies; preserve riparian vegetation as natural filters.</w:t>
      </w:r>
    </w:p>
    <w:p w14:paraId="1168A620" w14:textId="77777777" w:rsidR="006D523A" w:rsidRPr="002B3F36" w:rsidRDefault="006D523A" w:rsidP="009B4CDB">
      <w:pPr>
        <w:pStyle w:val="aff9"/>
        <w:numPr>
          <w:ilvl w:val="0"/>
          <w:numId w:val="144"/>
        </w:numPr>
        <w:spacing w:before="0" w:beforeAutospacing="0" w:after="0" w:afterAutospacing="0"/>
        <w:rPr>
          <w:rFonts w:ascii="Arial" w:hAnsi="Arial" w:cs="Arial"/>
        </w:rPr>
      </w:pPr>
      <w:r w:rsidRPr="002B3F36">
        <w:rPr>
          <w:rStyle w:val="affffb"/>
        </w:rPr>
        <w:t>Fuel and chemical controls</w:t>
      </w:r>
      <w:r w:rsidRPr="002B3F36">
        <w:rPr>
          <w:rFonts w:ascii="Arial" w:hAnsi="Arial" w:cs="Arial"/>
        </w:rPr>
        <w:t>: Store in bunded and roofed areas; carry out refueling on impermeable hardstands equipped with oil–water separators; maintain spill kits and trained responders (aligned with PS3 hazardous materials management).</w:t>
      </w:r>
    </w:p>
    <w:p w14:paraId="76B9C9CD" w14:textId="77777777" w:rsidR="006D523A" w:rsidRPr="002B3F36" w:rsidRDefault="006D523A" w:rsidP="009B4CDB">
      <w:pPr>
        <w:pStyle w:val="aff9"/>
        <w:numPr>
          <w:ilvl w:val="0"/>
          <w:numId w:val="144"/>
        </w:numPr>
        <w:rPr>
          <w:rFonts w:ascii="Arial" w:hAnsi="Arial" w:cs="Arial"/>
        </w:rPr>
      </w:pPr>
      <w:r w:rsidRPr="002B3F36">
        <w:rPr>
          <w:rStyle w:val="affffb"/>
        </w:rPr>
        <w:t>Sanitation</w:t>
      </w:r>
      <w:r w:rsidRPr="002B3F36">
        <w:rPr>
          <w:rFonts w:ascii="Arial" w:hAnsi="Arial" w:cs="Arial"/>
        </w:rPr>
        <w:t>: Connect camps to septic tanks or wastewater treatment plants; desludge portable toilets regularly via licensed haulers. Provide portable toilets at remote worksites; prohibit direct discharge of untreated wastewater.</w:t>
      </w:r>
    </w:p>
    <w:p w14:paraId="507FB5CF" w14:textId="77777777" w:rsidR="006D523A" w:rsidRPr="002B3F36" w:rsidRDefault="006D523A" w:rsidP="009B4CDB">
      <w:pPr>
        <w:pStyle w:val="aff9"/>
        <w:numPr>
          <w:ilvl w:val="0"/>
          <w:numId w:val="144"/>
        </w:numPr>
        <w:rPr>
          <w:rFonts w:ascii="Arial" w:hAnsi="Arial" w:cs="Arial"/>
        </w:rPr>
      </w:pPr>
      <w:r w:rsidRPr="002B3F36">
        <w:rPr>
          <w:rStyle w:val="affffb"/>
        </w:rPr>
        <w:t>Process water management</w:t>
      </w:r>
      <w:r w:rsidRPr="002B3F36">
        <w:rPr>
          <w:rFonts w:ascii="Arial" w:hAnsi="Arial" w:cs="Arial"/>
        </w:rPr>
        <w:t>: Settle silt-laden water before reuse or safe discharge; capture and treat concrete/cement washout in lined pits; prohibit discharge of oily or alkaline wash water.</w:t>
      </w:r>
    </w:p>
    <w:p w14:paraId="4E6E953F" w14:textId="662E3FEC" w:rsidR="006D523A" w:rsidRPr="002B3F36" w:rsidRDefault="006D523A" w:rsidP="009B4CDB">
      <w:pPr>
        <w:pStyle w:val="aff9"/>
        <w:numPr>
          <w:ilvl w:val="0"/>
          <w:numId w:val="144"/>
        </w:numPr>
        <w:rPr>
          <w:rFonts w:ascii="Arial" w:hAnsi="Arial" w:cs="Arial"/>
        </w:rPr>
      </w:pPr>
      <w:r w:rsidRPr="002B3F36">
        <w:rPr>
          <w:rStyle w:val="affffb"/>
        </w:rPr>
        <w:t>Siting controls</w:t>
      </w:r>
      <w:r w:rsidRPr="002B3F36">
        <w:rPr>
          <w:rFonts w:ascii="Arial" w:hAnsi="Arial" w:cs="Arial"/>
        </w:rPr>
        <w:t>: Locate cement, and crushing plants away from aquifer recharge zones and watercourses; line and curb wash bays to prevent infiltration.</w:t>
      </w:r>
    </w:p>
    <w:p w14:paraId="036083EE" w14:textId="77777777" w:rsidR="006D523A" w:rsidRPr="002B3F36" w:rsidRDefault="006D523A" w:rsidP="00116B36">
      <w:pPr>
        <w:pStyle w:val="aff9"/>
        <w:spacing w:before="0" w:beforeAutospacing="0" w:after="0" w:afterAutospacing="0"/>
        <w:rPr>
          <w:rFonts w:ascii="Arial" w:hAnsi="Arial" w:cs="Arial"/>
        </w:rPr>
      </w:pPr>
      <w:r w:rsidRPr="002B3F36">
        <w:rPr>
          <w:rStyle w:val="affffb"/>
        </w:rPr>
        <w:t>Monitoring and Compliance</w:t>
      </w:r>
    </w:p>
    <w:p w14:paraId="28B20679" w14:textId="77777777" w:rsidR="006D523A" w:rsidRPr="002B3F36" w:rsidRDefault="006D523A" w:rsidP="009B4CDB">
      <w:pPr>
        <w:pStyle w:val="aff9"/>
        <w:numPr>
          <w:ilvl w:val="0"/>
          <w:numId w:val="145"/>
        </w:numPr>
        <w:spacing w:before="0" w:beforeAutospacing="0"/>
        <w:rPr>
          <w:rFonts w:ascii="Arial" w:hAnsi="Arial" w:cs="Arial"/>
        </w:rPr>
      </w:pPr>
      <w:r w:rsidRPr="002B3F36">
        <w:rPr>
          <w:rFonts w:ascii="Arial" w:hAnsi="Arial" w:cs="Arial"/>
        </w:rPr>
        <w:t>Conduct routine field inspections of abstraction points, storage areas, and wastewater facilities.</w:t>
      </w:r>
    </w:p>
    <w:p w14:paraId="50AF0E99" w14:textId="77777777" w:rsidR="006D523A" w:rsidRPr="002B3F36" w:rsidRDefault="006D523A" w:rsidP="009B4CDB">
      <w:pPr>
        <w:pStyle w:val="aff9"/>
        <w:numPr>
          <w:ilvl w:val="0"/>
          <w:numId w:val="145"/>
        </w:numPr>
        <w:spacing w:before="0" w:beforeAutospacing="0"/>
        <w:rPr>
          <w:rFonts w:ascii="Arial" w:hAnsi="Arial" w:cs="Arial"/>
        </w:rPr>
      </w:pPr>
      <w:r w:rsidRPr="002B3F36">
        <w:rPr>
          <w:rFonts w:ascii="Arial" w:hAnsi="Arial" w:cs="Arial"/>
        </w:rPr>
        <w:t xml:space="preserve">Undertake </w:t>
      </w:r>
      <w:r w:rsidRPr="002B3F36">
        <w:rPr>
          <w:rStyle w:val="affffb"/>
        </w:rPr>
        <w:t>periodic laboratory sampling</w:t>
      </w:r>
      <w:r w:rsidRPr="002B3F36">
        <w:rPr>
          <w:rFonts w:ascii="Arial" w:hAnsi="Arial" w:cs="Arial"/>
        </w:rPr>
        <w:t xml:space="preserve"> at representative upstream and downstream monitoring points, as well as camp outfalls.</w:t>
      </w:r>
    </w:p>
    <w:p w14:paraId="66CFD7B9" w14:textId="77777777" w:rsidR="006D523A" w:rsidRPr="002B3F36" w:rsidRDefault="006D523A" w:rsidP="009B4CDB">
      <w:pPr>
        <w:pStyle w:val="aff9"/>
        <w:numPr>
          <w:ilvl w:val="0"/>
          <w:numId w:val="145"/>
        </w:numPr>
        <w:rPr>
          <w:rFonts w:ascii="Arial" w:hAnsi="Arial" w:cs="Arial"/>
        </w:rPr>
      </w:pPr>
      <w:r w:rsidRPr="002B3F36">
        <w:rPr>
          <w:rFonts w:ascii="Arial" w:hAnsi="Arial" w:cs="Arial"/>
        </w:rPr>
        <w:t xml:space="preserve">Implement </w:t>
      </w:r>
      <w:r w:rsidRPr="002B3F36">
        <w:rPr>
          <w:rStyle w:val="affffb"/>
        </w:rPr>
        <w:t>Corrective and Preventive Actions (CAPA)</w:t>
      </w:r>
      <w:r w:rsidRPr="002B3F36">
        <w:rPr>
          <w:rFonts w:ascii="Arial" w:hAnsi="Arial" w:cs="Arial"/>
        </w:rPr>
        <w:t xml:space="preserve"> if exceedances of national or lender water quality standards are detected.</w:t>
      </w:r>
    </w:p>
    <w:p w14:paraId="4E93D3BC" w14:textId="58145EAA" w:rsidR="006D523A" w:rsidRPr="002B3F36" w:rsidRDefault="006D523A" w:rsidP="00116B36">
      <w:pPr>
        <w:pStyle w:val="ReportBodyPar"/>
      </w:pPr>
      <w:r w:rsidRPr="002B3F36">
        <w:t>By integrating these conservation and protection measures, the Project will ensure sustainable water use, prevent contamination of surface and groundwater resources, and comply with national regulations and international good practice.</w:t>
      </w:r>
    </w:p>
    <w:p w14:paraId="20808B0F" w14:textId="77777777" w:rsidR="00116B36" w:rsidRPr="002B3F36" w:rsidRDefault="00116B36" w:rsidP="00116B36">
      <w:pPr>
        <w:pStyle w:val="ReportBodyPar"/>
      </w:pPr>
    </w:p>
    <w:p w14:paraId="7FAF2E01" w14:textId="3A2DE853" w:rsidR="00F61F8E" w:rsidRPr="002B3F36" w:rsidRDefault="000F264B" w:rsidP="005A68AD">
      <w:pPr>
        <w:pStyle w:val="31"/>
      </w:pPr>
      <w:bookmarkStart w:id="2456" w:name="_Toc210589512"/>
      <w:r w:rsidRPr="002B3F36">
        <w:t>Air Quality</w:t>
      </w:r>
      <w:bookmarkEnd w:id="2450"/>
      <w:bookmarkEnd w:id="2451"/>
      <w:bookmarkEnd w:id="2452"/>
      <w:bookmarkEnd w:id="2453"/>
      <w:bookmarkEnd w:id="2454"/>
      <w:bookmarkEnd w:id="2455"/>
      <w:bookmarkEnd w:id="2456"/>
    </w:p>
    <w:p w14:paraId="0E369CA2" w14:textId="2B297466" w:rsidR="00116B36" w:rsidRPr="002B3F36" w:rsidRDefault="00116B36" w:rsidP="00116B36">
      <w:pPr>
        <w:pStyle w:val="ReportBodyPar"/>
      </w:pPr>
    </w:p>
    <w:p w14:paraId="70633C67" w14:textId="400E6248" w:rsidR="00116B36" w:rsidRPr="002B3F36" w:rsidRDefault="00116B36" w:rsidP="00116B36">
      <w:pPr>
        <w:pStyle w:val="ReportBodyPar"/>
      </w:pPr>
      <w:r w:rsidRPr="002B3F36">
        <w:t xml:space="preserve">Construction activities for the railway project, including earthworks, material handling, plant operations, and transport, have the potential to degrade air quality through dust generation, </w:t>
      </w:r>
      <w:r w:rsidRPr="002B3F36">
        <w:lastRenderedPageBreak/>
        <w:t xml:space="preserve">combustion emissions, and odors. In line with </w:t>
      </w:r>
      <w:r w:rsidR="00163238" w:rsidRPr="002B3F36">
        <w:t>WB PS</w:t>
      </w:r>
      <w:r w:rsidRPr="002B3F36">
        <w:t>3 on resource efficiency and pollution prevention and Kazakhstan’s Environmental Code (2021), the Project will implement engineering, administrative, and monitoring controls to minimize particulate matter, emissions, and nuisance impacts, ensuring compliance with national air quality standards and international best practice.</w:t>
      </w:r>
    </w:p>
    <w:p w14:paraId="57BB1E05" w14:textId="77777777" w:rsidR="00116B36" w:rsidRPr="002B3F36" w:rsidRDefault="00116B36" w:rsidP="00116B36">
      <w:pPr>
        <w:pStyle w:val="ReportBodyPar"/>
      </w:pPr>
    </w:p>
    <w:p w14:paraId="2E8EDDDE" w14:textId="77777777" w:rsidR="006D523A" w:rsidRPr="002B3F36" w:rsidRDefault="006D523A" w:rsidP="0051430B">
      <w:pPr>
        <w:pStyle w:val="DiaList12"/>
        <w:rPr>
          <w:rFonts w:eastAsia="SimSun"/>
          <w:lang w:val="en-PH"/>
        </w:rPr>
      </w:pPr>
      <w:bookmarkStart w:id="2457" w:name="_Toc169094786"/>
      <w:bookmarkStart w:id="2458" w:name="_Toc208973871"/>
      <w:bookmarkStart w:id="2459" w:name="_Toc208974071"/>
      <w:bookmarkStart w:id="2460" w:name="_Toc208974271"/>
      <w:bookmarkStart w:id="2461" w:name="_Toc208974474"/>
      <w:bookmarkStart w:id="2462" w:name="_Toc208974679"/>
      <w:r w:rsidRPr="002B3F36">
        <w:rPr>
          <w:rFonts w:eastAsia="SimSun"/>
          <w:lang w:val="en-PH"/>
        </w:rPr>
        <w:t>Origin of Impact</w:t>
      </w:r>
    </w:p>
    <w:p w14:paraId="39E25DBF" w14:textId="77777777" w:rsidR="006D523A" w:rsidRPr="002B3F36" w:rsidRDefault="006D523A" w:rsidP="00116B36">
      <w:pPr>
        <w:pStyle w:val="ReportBodyPar"/>
      </w:pPr>
      <w:r w:rsidRPr="002B3F36">
        <w:t>Construction of the railway and associated facilities has the potential to adversely affect ambient air quality through multiple pathways:</w:t>
      </w:r>
    </w:p>
    <w:p w14:paraId="3C3348E5" w14:textId="5DC4E0AE" w:rsidR="006D523A" w:rsidRPr="002B3F36" w:rsidRDefault="006D523A" w:rsidP="009B4CDB">
      <w:pPr>
        <w:pStyle w:val="aff9"/>
        <w:numPr>
          <w:ilvl w:val="0"/>
          <w:numId w:val="146"/>
        </w:numPr>
        <w:spacing w:before="0" w:beforeAutospacing="0"/>
        <w:rPr>
          <w:rFonts w:ascii="Arial" w:hAnsi="Arial" w:cs="Arial"/>
        </w:rPr>
      </w:pPr>
      <w:r w:rsidRPr="002B3F36">
        <w:rPr>
          <w:rStyle w:val="affffb"/>
        </w:rPr>
        <w:t>Dust and particulate matter (PM</w:t>
      </w:r>
      <w:r w:rsidRPr="002B3F36">
        <w:rPr>
          <w:rStyle w:val="affffb"/>
          <w:rFonts w:ascii="Cambria Math" w:hAnsi="Cambria Math" w:cs="Cambria Math"/>
        </w:rPr>
        <w:t>₁₀</w:t>
      </w:r>
      <w:r w:rsidRPr="002B3F36">
        <w:rPr>
          <w:rStyle w:val="affffb"/>
        </w:rPr>
        <w:t>, PM</w:t>
      </w:r>
      <w:r w:rsidRPr="002B3F36">
        <w:rPr>
          <w:rStyle w:val="affffb"/>
          <w:rFonts w:ascii="Cambria Math" w:hAnsi="Cambria Math" w:cs="Cambria Math"/>
        </w:rPr>
        <w:t>₂</w:t>
      </w:r>
      <w:r w:rsidRPr="002B3F36">
        <w:rPr>
          <w:rStyle w:val="affffb"/>
        </w:rPr>
        <w:t>.</w:t>
      </w:r>
      <w:r w:rsidRPr="002B3F36">
        <w:rPr>
          <w:rStyle w:val="affffb"/>
          <w:rFonts w:ascii="Cambria Math" w:hAnsi="Cambria Math" w:cs="Cambria Math"/>
        </w:rPr>
        <w:t>₅</w:t>
      </w:r>
      <w:r w:rsidRPr="002B3F36">
        <w:rPr>
          <w:rStyle w:val="affffb"/>
        </w:rPr>
        <w:t>, TSP)</w:t>
      </w:r>
      <w:r w:rsidRPr="002B3F36">
        <w:rPr>
          <w:rFonts w:ascii="Arial" w:hAnsi="Arial" w:cs="Arial"/>
        </w:rPr>
        <w:t xml:space="preserve">: generated by earthworks (grading, excavation), ballast handling, unpaved </w:t>
      </w:r>
      <w:r w:rsidR="002B7808" w:rsidRPr="002B3F36">
        <w:rPr>
          <w:rFonts w:ascii="Arial" w:hAnsi="Arial" w:cs="Arial"/>
        </w:rPr>
        <w:t xml:space="preserve">access </w:t>
      </w:r>
      <w:r w:rsidRPr="002B3F36">
        <w:rPr>
          <w:rFonts w:ascii="Arial" w:hAnsi="Arial" w:cs="Arial"/>
        </w:rPr>
        <w:t>road traffic, quarrying, crushing, and stockpiles.</w:t>
      </w:r>
    </w:p>
    <w:p w14:paraId="1680513C" w14:textId="05D6B1BB" w:rsidR="006D523A" w:rsidRPr="002B3F36" w:rsidRDefault="006D523A" w:rsidP="009B4CDB">
      <w:pPr>
        <w:pStyle w:val="aff9"/>
        <w:numPr>
          <w:ilvl w:val="0"/>
          <w:numId w:val="146"/>
        </w:numPr>
        <w:rPr>
          <w:rFonts w:ascii="Arial" w:hAnsi="Arial" w:cs="Arial"/>
        </w:rPr>
      </w:pPr>
      <w:r w:rsidRPr="002B3F36">
        <w:rPr>
          <w:rStyle w:val="affffb"/>
        </w:rPr>
        <w:t>Combustion emissions (SO</w:t>
      </w:r>
      <w:r w:rsidRPr="002B3F36">
        <w:rPr>
          <w:rStyle w:val="affffb"/>
          <w:rFonts w:ascii="Cambria Math" w:hAnsi="Cambria Math" w:cs="Cambria Math"/>
        </w:rPr>
        <w:t>₂</w:t>
      </w:r>
      <w:r w:rsidRPr="002B3F36">
        <w:rPr>
          <w:rStyle w:val="affffb"/>
        </w:rPr>
        <w:t>, NOₓ, CO, CO</w:t>
      </w:r>
      <w:r w:rsidRPr="002B3F36">
        <w:rPr>
          <w:rStyle w:val="affffb"/>
          <w:rFonts w:ascii="Cambria Math" w:hAnsi="Cambria Math" w:cs="Cambria Math"/>
        </w:rPr>
        <w:t>₂</w:t>
      </w:r>
      <w:r w:rsidRPr="002B3F36">
        <w:rPr>
          <w:rStyle w:val="affffb"/>
        </w:rPr>
        <w:t>, PM)</w:t>
      </w:r>
      <w:r w:rsidRPr="002B3F36">
        <w:rPr>
          <w:rFonts w:ascii="Arial" w:hAnsi="Arial" w:cs="Arial"/>
        </w:rPr>
        <w:t>: released from construction equipment such as bulldozers, excavators, trucks, generators, cement batching plants, and welding or painting operations.</w:t>
      </w:r>
    </w:p>
    <w:p w14:paraId="53B92EAE" w14:textId="293A0037" w:rsidR="006D523A" w:rsidRPr="002B3F36" w:rsidRDefault="006D523A" w:rsidP="009B4CDB">
      <w:pPr>
        <w:pStyle w:val="aff9"/>
        <w:numPr>
          <w:ilvl w:val="0"/>
          <w:numId w:val="146"/>
        </w:numPr>
        <w:rPr>
          <w:rFonts w:ascii="Arial" w:hAnsi="Arial" w:cs="Arial"/>
        </w:rPr>
      </w:pPr>
      <w:r w:rsidRPr="002B3F36">
        <w:rPr>
          <w:rStyle w:val="affffb"/>
        </w:rPr>
        <w:t>Odors and fumes</w:t>
      </w:r>
      <w:r w:rsidRPr="002B3F36">
        <w:rPr>
          <w:rFonts w:ascii="Arial" w:hAnsi="Arial" w:cs="Arial"/>
        </w:rPr>
        <w:t>: emitted from paint and solvent use, and diesel exhaust at laydown areas and plant sites.</w:t>
      </w:r>
    </w:p>
    <w:p w14:paraId="0240B8C9" w14:textId="77777777" w:rsidR="006D523A" w:rsidRPr="002B3F36" w:rsidRDefault="006D523A" w:rsidP="0051430B">
      <w:pPr>
        <w:pStyle w:val="DiaList12"/>
        <w:rPr>
          <w:rFonts w:eastAsia="SimSun"/>
          <w:lang w:val="en-PH"/>
        </w:rPr>
      </w:pPr>
      <w:r w:rsidRPr="002B3F36">
        <w:rPr>
          <w:rFonts w:eastAsia="SimSun"/>
          <w:lang w:val="en-PH"/>
        </w:rPr>
        <w:t>Impact Assessment</w:t>
      </w:r>
    </w:p>
    <w:p w14:paraId="07FD95E5" w14:textId="210A7C73" w:rsidR="006D523A" w:rsidRPr="002B3F36" w:rsidRDefault="006D523A" w:rsidP="00D50A14">
      <w:pPr>
        <w:pStyle w:val="ReportBodyPar"/>
      </w:pPr>
      <w:r w:rsidRPr="002B3F36">
        <w:t xml:space="preserve">The </w:t>
      </w:r>
      <w:r w:rsidRPr="002B3F36">
        <w:rPr>
          <w:rStyle w:val="affffb"/>
        </w:rPr>
        <w:t>central Kazakh steppe</w:t>
      </w:r>
      <w:r w:rsidRPr="002B3F36">
        <w:t xml:space="preserve"> is characterized by </w:t>
      </w:r>
      <w:r w:rsidRPr="002B3F36">
        <w:rPr>
          <w:rStyle w:val="affffb"/>
        </w:rPr>
        <w:t xml:space="preserve">arid, windy summers and </w:t>
      </w:r>
      <w:r w:rsidR="00662145" w:rsidRPr="002B3F36">
        <w:rPr>
          <w:rStyle w:val="affffb"/>
        </w:rPr>
        <w:t>long-haul</w:t>
      </w:r>
      <w:r w:rsidRPr="002B3F36">
        <w:rPr>
          <w:rStyle w:val="affffb"/>
        </w:rPr>
        <w:t xml:space="preserve"> distances</w:t>
      </w:r>
      <w:r w:rsidRPr="002B3F36">
        <w:t xml:space="preserve">, conditions that heighten dust generation, particularly along unpaved access roads and active work fronts. While settlements are generally dispersed (with denser clusters toward </w:t>
      </w:r>
      <w:r w:rsidR="003A184C">
        <w:t>Karagandy</w:t>
      </w:r>
      <w:r w:rsidRPr="002B3F36">
        <w:t xml:space="preserve">), </w:t>
      </w:r>
      <w:r w:rsidRPr="002B3F36">
        <w:rPr>
          <w:rStyle w:val="affffb"/>
        </w:rPr>
        <w:t>community exposure</w:t>
      </w:r>
      <w:r w:rsidRPr="002B3F36">
        <w:t xml:space="preserve"> is expected to be </w:t>
      </w:r>
      <w:r w:rsidRPr="002B3F36">
        <w:rPr>
          <w:rStyle w:val="affffb"/>
        </w:rPr>
        <w:t>localized and intermittent</w:t>
      </w:r>
      <w:r w:rsidRPr="002B3F36">
        <w:t xml:space="preserve">, whereas </w:t>
      </w:r>
      <w:r w:rsidRPr="002B3F36">
        <w:rPr>
          <w:rStyle w:val="affffb"/>
          <w:b w:val="0"/>
        </w:rPr>
        <w:t>worker exposure</w:t>
      </w:r>
      <w:r w:rsidRPr="002B3F36">
        <w:t xml:space="preserve"> near work faces and plants could be frequent.</w:t>
      </w:r>
    </w:p>
    <w:p w14:paraId="18A7B162" w14:textId="77777777" w:rsidR="00D50A14" w:rsidRPr="002B3F36" w:rsidRDefault="00D50A14">
      <w:pPr>
        <w:pStyle w:val="ReportBodyPar"/>
      </w:pPr>
    </w:p>
    <w:p w14:paraId="07254245" w14:textId="744CAA01" w:rsidR="00B236F2" w:rsidRPr="00A846C7" w:rsidRDefault="00B236F2" w:rsidP="00D50A14">
      <w:pPr>
        <w:pStyle w:val="ReportBodyPar"/>
      </w:pPr>
      <w:r w:rsidRPr="00A846C7">
        <w:t>Approximately 30 units of transport and equipment (at various sites) may be simultaneously involved in construction. Construction work will result in the emission of approximately 17 types of pollutants into the atmosphere of varying hazard categories (hazard classes 2-4), including:</w:t>
      </w:r>
    </w:p>
    <w:p w14:paraId="3B6C16D3" w14:textId="6E6EBA26" w:rsidR="00B236F2" w:rsidRPr="00A846C7" w:rsidRDefault="00B236F2" w:rsidP="00F82096">
      <w:pPr>
        <w:pStyle w:val="Bullet12"/>
      </w:pPr>
      <w:r w:rsidRPr="00A846C7">
        <w:t>nitrogen oxides, soot, sulfur dioxide, hydrogen sulfide, carbon monoxide, and others during the operation of diesel generators, special-purpose machinery, and equipment;</w:t>
      </w:r>
    </w:p>
    <w:p w14:paraId="3CB47A9D" w14:textId="02DD3349" w:rsidR="00B236F2" w:rsidRPr="00A846C7" w:rsidRDefault="00B236F2" w:rsidP="00F82096">
      <w:pPr>
        <w:pStyle w:val="Bullet12"/>
      </w:pPr>
      <w:r w:rsidRPr="00A846C7">
        <w:t>hydrocarbons, propane, benzopyrene, white spirit, iron oxides, manganese and its compounds, fluoride compounds, and others during welding and other work.</w:t>
      </w:r>
    </w:p>
    <w:p w14:paraId="72D0AA54" w14:textId="7B0523CD" w:rsidR="00B236F2" w:rsidRPr="00A846C7" w:rsidRDefault="00B236F2" w:rsidP="00AA3632">
      <w:pPr>
        <w:pStyle w:val="Bullet12"/>
      </w:pPr>
      <w:r w:rsidRPr="00A846C7">
        <w:t>more than 90% of emissions will be dust emissions during road construction, soil handling and storage, loading and unloading operations, etc.</w:t>
      </w:r>
    </w:p>
    <w:p w14:paraId="329FF40B" w14:textId="77777777" w:rsidR="00AA3632" w:rsidRPr="00A846C7" w:rsidRDefault="00AA3632" w:rsidP="00F82096">
      <w:pPr>
        <w:pStyle w:val="ReportBodyPar"/>
      </w:pPr>
    </w:p>
    <w:p w14:paraId="4A235BCA" w14:textId="14155BF5" w:rsidR="00B236F2" w:rsidRPr="00A846C7" w:rsidRDefault="00B236F2" w:rsidP="00AA3632">
      <w:pPr>
        <w:pStyle w:val="ReportBodyPar"/>
      </w:pPr>
      <w:r w:rsidRPr="00A846C7">
        <w:t>According to preliminary data, approximately 500 tons of pollutants per year will be emitted into the atmosphere in accordance with Kazakhstani methodologies (ZOND and the Report on Potential Impacts of Local Companies). The largest volume of emissions is inorganic dust (20-70%).</w:t>
      </w:r>
    </w:p>
    <w:p w14:paraId="1275834C" w14:textId="77777777" w:rsidR="00AA3632" w:rsidRPr="00A846C7" w:rsidRDefault="00AA3632" w:rsidP="00F82096">
      <w:pPr>
        <w:pStyle w:val="ReportBodyPar"/>
      </w:pPr>
    </w:p>
    <w:p w14:paraId="49853737" w14:textId="1D635854" w:rsidR="00B236F2" w:rsidRPr="00A846C7" w:rsidRDefault="00B236F2">
      <w:pPr>
        <w:pStyle w:val="ReportBodyPar"/>
      </w:pPr>
      <w:r w:rsidRPr="00A846C7">
        <w:t>Since all the work will be carried out by several teams performing different tasks and scattered along the entire road, a preliminary calculation of the dispersion of pollutants during construction was conducted on a provisionally selected site of 5,000 by 5,000 m for dust (2908 - Inorganic dust containing silicon dioxide, in %: - 70-20) and a summation group (nitrogen dioxide and sulfur dioxide).</w:t>
      </w:r>
    </w:p>
    <w:p w14:paraId="0740558D" w14:textId="77777777" w:rsidR="000F5B76" w:rsidRPr="00A846C7" w:rsidRDefault="000F5B76" w:rsidP="00F82096">
      <w:pPr>
        <w:pStyle w:val="ReportBodyPar"/>
      </w:pPr>
    </w:p>
    <w:p w14:paraId="16A402DD" w14:textId="029E502B" w:rsidR="00B236F2" w:rsidRPr="00A846C7" w:rsidRDefault="00B236F2" w:rsidP="00AA3632">
      <w:pPr>
        <w:pStyle w:val="ReportBodyPar"/>
      </w:pPr>
      <w:r w:rsidRPr="00A846C7">
        <w:t>The air pollution level was calculated using the Unified Program for Calculating Atmospheric Pollution (UPRZA) "Era", version 3.0. The program implements the main dependencies and provisions of the "Methodology for calculating ground-level concentrations of harmful substances in the atmospheric air contained in enterprise emissions" - RND 211.2.01.01.-</w:t>
      </w:r>
      <w:r w:rsidRPr="00A846C7">
        <w:lastRenderedPageBreak/>
        <w:t>97. The "Era" program, developed by Logos-Plus, Novosibirsk, has been approved by the Main Geophysical Observatory named after A.I. Voeikov and is recommended for use without restrictions in design, etc. (approved for calculations in the Republic of Kazakhstan).</w:t>
      </w:r>
    </w:p>
    <w:p w14:paraId="0E762AD6" w14:textId="77777777" w:rsidR="00AA3632" w:rsidRPr="00A846C7" w:rsidRDefault="00AA3632" w:rsidP="00F82096">
      <w:pPr>
        <w:pStyle w:val="ReportBodyPar"/>
      </w:pPr>
    </w:p>
    <w:p w14:paraId="22A4430C" w14:textId="0F3B56BB" w:rsidR="00B236F2" w:rsidRPr="00A846C7" w:rsidRDefault="00B236F2" w:rsidP="00F82096">
      <w:pPr>
        <w:pStyle w:val="ReportBodyPar"/>
      </w:pPr>
      <w:r w:rsidRPr="00A846C7">
        <w:t>Pollutant concentrations at each point were determined based on modeling results combined with background measurements by the Kazhydromet of the Republic of Kazakhstan.</w:t>
      </w:r>
      <w:r w:rsidR="00AA3632" w:rsidRPr="00A846C7">
        <w:t xml:space="preserve"> </w:t>
      </w:r>
      <w:r w:rsidRPr="00A846C7">
        <w:t>Two approaches were used to conduct a potential impact assessment.</w:t>
      </w:r>
    </w:p>
    <w:p w14:paraId="12ACEE84" w14:textId="77777777" w:rsidR="00B236F2" w:rsidRPr="00A846C7" w:rsidRDefault="00B236F2" w:rsidP="00F82096">
      <w:pPr>
        <w:pStyle w:val="Bullet12"/>
      </w:pPr>
      <w:r w:rsidRPr="00A846C7">
        <w:t>- The first is the excess of design/standard limits. If pollutant concentrations exceed design limits by 0-25%, 25-50%, or more than 50% for a given recipient, the impact is defined as low, medium, and high, respectively.</w:t>
      </w:r>
    </w:p>
    <w:p w14:paraId="0F46F88D" w14:textId="77777777" w:rsidR="00B236F2" w:rsidRPr="00A846C7" w:rsidRDefault="00B236F2" w:rsidP="00F82096">
      <w:pPr>
        <w:pStyle w:val="Bullet12"/>
      </w:pPr>
      <w:r w:rsidRPr="00A846C7">
        <w:t>- The second is the excess of hygienic standards of the Republic of Kazakhstan (regarding standards for the work area (MPC of the work zone) and the population) in nearby populated areas (1.5 km).</w:t>
      </w:r>
    </w:p>
    <w:p w14:paraId="30B9EE59" w14:textId="77777777" w:rsidR="00B236F2" w:rsidRPr="00A846C7" w:rsidRDefault="00B236F2" w:rsidP="00F82096">
      <w:pPr>
        <w:pStyle w:val="ReportBodyPar"/>
      </w:pPr>
    </w:p>
    <w:p w14:paraId="67F99DDA" w14:textId="77777777" w:rsidR="00B236F2" w:rsidRPr="00A846C7" w:rsidRDefault="00B236F2" w:rsidP="00F82096">
      <w:pPr>
        <w:pStyle w:val="ReportBodyPar"/>
      </w:pPr>
      <w:r w:rsidRPr="00A846C7">
        <w:t>The safe level for the population is defined in the Orders: "On Approval of Hygienic Standards for Atmospheric Air in Urban and Rural Settlements, on the Territories of Industrial Organizations" (dated August 2, 2022, No. ҚР ДСМ-70), "On Approval of the Sanitary Rules "Sanitary and Epidemiological Requirements for Industrial Buildings and Structures"" (dated August 3, 2021, No. ҚР ДСМ-72), and GOST 12.1.005-88 SSBT "General Sanitary and Hygienic Requirements for Workplace Air."</w:t>
      </w:r>
    </w:p>
    <w:p w14:paraId="6E29A602" w14:textId="77777777" w:rsidR="00B236F2" w:rsidRPr="00A846C7" w:rsidRDefault="00B236F2" w:rsidP="00F82096">
      <w:pPr>
        <w:pStyle w:val="ReportBodyPar"/>
      </w:pPr>
    </w:p>
    <w:p w14:paraId="4ED2978E" w14:textId="77777777" w:rsidR="00B236F2" w:rsidRPr="00A846C7" w:rsidRDefault="00B236F2" w:rsidP="00B236F2">
      <w:pPr>
        <w:pStyle w:val="ReportBodyPar"/>
        <w:spacing w:before="120"/>
        <w:rPr>
          <w:i/>
          <w:iCs/>
        </w:rPr>
      </w:pPr>
      <w:r w:rsidRPr="00A846C7">
        <w:rPr>
          <w:i/>
          <w:iCs/>
        </w:rPr>
        <w:t>Results:</w:t>
      </w:r>
    </w:p>
    <w:p w14:paraId="000D141B" w14:textId="77777777" w:rsidR="00B236F2" w:rsidRPr="00A846C7" w:rsidRDefault="00B236F2" w:rsidP="00F82096">
      <w:pPr>
        <w:pStyle w:val="ReportBodyPar"/>
      </w:pPr>
      <w:r w:rsidRPr="00A846C7">
        <w:t>The proposed options for the use of diesel equipment do not anticipate exceeding the technological emission characteristics.</w:t>
      </w:r>
    </w:p>
    <w:p w14:paraId="10C90A68" w14:textId="77777777" w:rsidR="00B236F2" w:rsidRPr="00A846C7" w:rsidRDefault="00B236F2" w:rsidP="00F82096">
      <w:pPr>
        <w:pStyle w:val="ReportBodyPar"/>
      </w:pPr>
      <w:r w:rsidRPr="00A846C7">
        <w:t>At the work site, the maximum calculated value, in accordance with the MACw.z (the most stringent of the standards), may be:</w:t>
      </w:r>
    </w:p>
    <w:p w14:paraId="0BA0ECE9" w14:textId="727AF3A9" w:rsidR="00B236F2" w:rsidRPr="00A846C7" w:rsidRDefault="00B236F2" w:rsidP="00F82096">
      <w:pPr>
        <w:pStyle w:val="Bullet12"/>
      </w:pPr>
      <w:r w:rsidRPr="00A846C7">
        <w:t>for nitrogen dioxide - 0.4333 mg/m3 (0.217 MACw.z);</w:t>
      </w:r>
    </w:p>
    <w:p w14:paraId="37AD5F76" w14:textId="71E28F48" w:rsidR="00B236F2" w:rsidRPr="00A846C7" w:rsidRDefault="00B236F2" w:rsidP="00F82096">
      <w:pPr>
        <w:pStyle w:val="Bullet12"/>
      </w:pPr>
      <w:r w:rsidRPr="00A846C7">
        <w:t>for NOx - 0.4333 mg/m3 (0.259 MACw.z);</w:t>
      </w:r>
    </w:p>
    <w:p w14:paraId="1133F7B9" w14:textId="1B9FA4C9" w:rsidR="00B236F2" w:rsidRPr="00A846C7" w:rsidRDefault="00B236F2" w:rsidP="00F82096">
      <w:pPr>
        <w:pStyle w:val="Bullet12"/>
      </w:pPr>
      <w:r w:rsidRPr="00A846C7">
        <w:t>for sulfur dioxide - 0.1444 mg/m3 (0.0144 MACw.z);</w:t>
      </w:r>
    </w:p>
    <w:p w14:paraId="11B32AE8" w14:textId="56816E96" w:rsidR="00B236F2" w:rsidRPr="00A846C7" w:rsidRDefault="00AA3632" w:rsidP="00F82096">
      <w:pPr>
        <w:pStyle w:val="Bullet12"/>
      </w:pPr>
      <w:r w:rsidRPr="00A846C7">
        <w:t>f</w:t>
      </w:r>
      <w:r w:rsidR="00B236F2" w:rsidRPr="00A846C7">
        <w:t>or carbon monoxide - 0.3614 mg/m3 (0.0181 MACw.z);</w:t>
      </w:r>
    </w:p>
    <w:p w14:paraId="2181D0B0" w14:textId="3E7C59D7" w:rsidR="00B236F2" w:rsidRPr="00A846C7" w:rsidRDefault="00B236F2" w:rsidP="00F82096">
      <w:pPr>
        <w:pStyle w:val="Bullet12"/>
      </w:pPr>
      <w:r w:rsidRPr="00A846C7">
        <w:t>for inorganic dust with a SiO2 content of 70-20% - 22.4822 mg/m3 (3.747 MACw.z). The use of personal protective equipment is required for personnel. Based on dust dispersion results (2908 Inorganic dust with SiO2 content: 70-20%) and summation group "07(31) 0301 0330" "Nitrogen dioxide plus sulfur dioxide" in the nearest populated area, Karazhal (1.5 km from the construction site), pollutant concentrations will be below the RK health standards.</w:t>
      </w:r>
    </w:p>
    <w:p w14:paraId="188E799D" w14:textId="77777777" w:rsidR="00AA3632" w:rsidRPr="00A846C7" w:rsidRDefault="00AA3632" w:rsidP="00AA3632">
      <w:pPr>
        <w:pStyle w:val="ReportBodyPar"/>
      </w:pPr>
    </w:p>
    <w:p w14:paraId="0C2FB194" w14:textId="0A3E7155" w:rsidR="00B236F2" w:rsidRPr="00A846C7" w:rsidRDefault="00B236F2" w:rsidP="00F82096">
      <w:pPr>
        <w:pStyle w:val="ReportBodyPar"/>
      </w:pPr>
      <w:r w:rsidRPr="00A846C7">
        <w:t>In the worst-case scenario, involving several excavators, loading and unloading operations, and storage, the value of 1 MPC Nm for dust will be reached at a distance of 800-1000 m from the construction site. Dust suppression is required.</w:t>
      </w:r>
    </w:p>
    <w:p w14:paraId="1CBC32BD" w14:textId="77777777" w:rsidR="00B236F2" w:rsidRPr="00A846C7" w:rsidRDefault="00B236F2" w:rsidP="00F82096">
      <w:pPr>
        <w:pStyle w:val="ReportBodyPar"/>
      </w:pPr>
    </w:p>
    <w:p w14:paraId="7AF34A6F" w14:textId="77777777" w:rsidR="00B236F2" w:rsidRPr="00A846C7" w:rsidRDefault="00B236F2" w:rsidP="00F82096">
      <w:pPr>
        <w:pStyle w:val="ReportBodyPar"/>
      </w:pPr>
      <w:r w:rsidRPr="00A846C7">
        <w:t>The main risks associated with such air pollution and dust levels include exposure to personnel (requiring dust protection), reduced visibility during vehicle movement, and dust-related negative impacts on soil, vegetation, and wildlife in the surrounding area. Dust suppression and the use of personal protective equipment (PPE) are required.</w:t>
      </w:r>
    </w:p>
    <w:p w14:paraId="627B72FE" w14:textId="77777777" w:rsidR="00B236F2" w:rsidRPr="00A846C7" w:rsidRDefault="00B236F2" w:rsidP="00F82096">
      <w:pPr>
        <w:pStyle w:val="ReportBodyPar"/>
      </w:pPr>
    </w:p>
    <w:p w14:paraId="34F75F0E" w14:textId="77777777" w:rsidR="00B236F2" w:rsidRPr="00A846C7" w:rsidRDefault="00B236F2" w:rsidP="00F82096">
      <w:pPr>
        <w:pStyle w:val="ReportBodyPar"/>
        <w:rPr>
          <w:i/>
          <w:iCs/>
        </w:rPr>
      </w:pPr>
      <w:r w:rsidRPr="00A846C7">
        <w:rPr>
          <w:i/>
          <w:iCs/>
        </w:rPr>
        <w:t>Operation</w:t>
      </w:r>
    </w:p>
    <w:p w14:paraId="11065B54" w14:textId="66A44FDE" w:rsidR="00B236F2" w:rsidRPr="00A846C7" w:rsidRDefault="00B236F2" w:rsidP="00F47182">
      <w:pPr>
        <w:pStyle w:val="ReportBodyPar"/>
      </w:pPr>
      <w:r w:rsidRPr="00A846C7">
        <w:t>During railway operation, the impact on the atmosphere will be associated with the combustion of fuel in the locomotive's furnace. Nitrogen oxides, soot, sulfur dioxide, and carbon oxides will be emitted into the atmosphere.</w:t>
      </w:r>
    </w:p>
    <w:p w14:paraId="4898F23B" w14:textId="77777777" w:rsidR="00AA3632" w:rsidRPr="00A846C7" w:rsidRDefault="00AA3632" w:rsidP="00F82096">
      <w:pPr>
        <w:pStyle w:val="ReportBodyPar"/>
      </w:pPr>
    </w:p>
    <w:p w14:paraId="3BEA64AE" w14:textId="2E91A191" w:rsidR="00B236F2" w:rsidRPr="00A846C7" w:rsidRDefault="00B236F2" w:rsidP="00F47182">
      <w:pPr>
        <w:pStyle w:val="ReportBodyPar"/>
      </w:pPr>
      <w:r w:rsidRPr="00A846C7">
        <w:lastRenderedPageBreak/>
        <w:t>An approximate calculation of pollutant emissions was performed for a 366-km route with an average speed of 120 km/h, fuel consumption of 400 l/100 km, and taking into account one hour of idling (42 kg/h) per trip. Annual fuel consumption is assumed to be 32 tons. (Methodological guidelines for calculating pollutant emissions into the atmosphere from diesel locomotives. Ministry of Ecology of the Republic of Kazakhstan).</w:t>
      </w:r>
    </w:p>
    <w:p w14:paraId="23F0133D" w14:textId="77777777" w:rsidR="00AA3632" w:rsidRPr="00A846C7" w:rsidRDefault="00AA3632" w:rsidP="00F82096">
      <w:pPr>
        <w:pStyle w:val="ReportBodyPar"/>
      </w:pPr>
    </w:p>
    <w:p w14:paraId="2A2545C6" w14:textId="4C1EE3A6" w:rsidR="00B236F2" w:rsidRPr="00A846C7" w:rsidRDefault="00B236F2" w:rsidP="00AA3632">
      <w:pPr>
        <w:pStyle w:val="ReportBodyPar"/>
      </w:pPr>
      <w:r w:rsidRPr="00A846C7">
        <w:t>The following will be emitted into the atmosphere: CO</w:t>
      </w:r>
      <w:r w:rsidRPr="00A846C7">
        <w:rPr>
          <w:rFonts w:ascii="Cambria Math" w:hAnsi="Cambria Math" w:cs="Cambria Math"/>
        </w:rPr>
        <w:t>₂</w:t>
      </w:r>
      <w:r w:rsidRPr="00A846C7">
        <w:t xml:space="preserve"> per trip - 521.96 kg; NOₓ per trip - 1.23 kg; HC per trip - 0.067 kg, PM per trip - 0.022 kg, CO per trip - 0.981 kg, SO</w:t>
      </w:r>
      <w:r w:rsidRPr="00A846C7">
        <w:rPr>
          <w:rFonts w:ascii="Cambria Math" w:hAnsi="Cambria Math" w:cs="Cambria Math"/>
        </w:rPr>
        <w:t>₂</w:t>
      </w:r>
      <w:r w:rsidRPr="00A846C7">
        <w:t xml:space="preserve"> (10 mg/kg) - 0.0033 kg, SO</w:t>
      </w:r>
      <w:r w:rsidRPr="00A846C7">
        <w:rPr>
          <w:rFonts w:ascii="Cambria Math" w:hAnsi="Cambria Math" w:cs="Cambria Math"/>
        </w:rPr>
        <w:t>₂</w:t>
      </w:r>
      <w:r w:rsidRPr="00A846C7">
        <w:t xml:space="preserve"> (350 mg/kg) - 0.116 kg, CO</w:t>
      </w:r>
      <w:r w:rsidRPr="00A846C7">
        <w:rPr>
          <w:rFonts w:ascii="Cambria Math" w:hAnsi="Cambria Math" w:cs="Cambria Math"/>
        </w:rPr>
        <w:t>₂</w:t>
      </w:r>
      <w:r w:rsidRPr="00A846C7">
        <w:t xml:space="preserve"> per year - 101.104 kg, NOₓ per year - 238.0 kg. The emission will be from a high and hot source moving at an average speed of approximately 70 km/h. Dispersion will occur within a 50-100 m corridor. The impact significance will be within the low/insignificant range.</w:t>
      </w:r>
    </w:p>
    <w:p w14:paraId="58104500" w14:textId="77777777" w:rsidR="00AA3632" w:rsidRPr="00A846C7" w:rsidRDefault="00AA3632" w:rsidP="00F82096">
      <w:pPr>
        <w:pStyle w:val="ReportBodyPar"/>
      </w:pPr>
    </w:p>
    <w:p w14:paraId="5B224831" w14:textId="438F75C8" w:rsidR="00B236F2" w:rsidRPr="00A846C7" w:rsidRDefault="00B236F2" w:rsidP="00F82096">
      <w:pPr>
        <w:pStyle w:val="ReportBodyPar"/>
      </w:pPr>
      <w:r w:rsidRPr="00A846C7">
        <w:t>Calculations of pollutant emissions at the terminal stations are already included in current environmental documents and are permitted by environmental documents and procedures in force in the Republic of Kazakhstan.</w:t>
      </w:r>
      <w:r w:rsidR="00AA3632" w:rsidRPr="00A846C7">
        <w:t xml:space="preserve"> </w:t>
      </w:r>
      <w:r w:rsidRPr="00A846C7">
        <w:t>The impact magnitude is expected to be determined from low to medium during the construction phase and "low" during the operational phase.</w:t>
      </w:r>
    </w:p>
    <w:p w14:paraId="4D3865A1" w14:textId="77777777" w:rsidR="00B236F2" w:rsidRPr="00A846C7" w:rsidRDefault="00B236F2" w:rsidP="00F82096">
      <w:pPr>
        <w:pStyle w:val="ReportBodyPar"/>
      </w:pPr>
    </w:p>
    <w:p w14:paraId="079FA590" w14:textId="77777777" w:rsidR="00B236F2" w:rsidRPr="00A846C7" w:rsidRDefault="00B236F2" w:rsidP="00B236F2">
      <w:pPr>
        <w:pStyle w:val="ReportBodyPar"/>
        <w:spacing w:before="120"/>
        <w:rPr>
          <w:i/>
        </w:rPr>
      </w:pPr>
      <w:r w:rsidRPr="00A846C7">
        <w:rPr>
          <w:i/>
        </w:rPr>
        <w:t>Taking into account background pollution</w:t>
      </w:r>
    </w:p>
    <w:p w14:paraId="129F3126" w14:textId="532636E1" w:rsidR="00B236F2" w:rsidRPr="00A846C7" w:rsidRDefault="00B236F2" w:rsidP="00AA3632">
      <w:pPr>
        <w:pStyle w:val="ReportBodyPar"/>
      </w:pPr>
      <w:r w:rsidRPr="00A846C7">
        <w:t>The railway construction site is located in Zone II, with a moderate air pollution potential, meaning the climatic conditions are very favorable for the dispersion of harmful substances into the atmosphere. There are no large population centers or industrial centers in the area, and vehicle traffic levels are low, so the impact of pollutant emissions from mobile sources on air quality is extremely minor. Industrial development in the region is weak, so the impact on air quality from stationary sources is also minor.</w:t>
      </w:r>
    </w:p>
    <w:p w14:paraId="7C144035" w14:textId="77777777" w:rsidR="00AA3632" w:rsidRPr="00A846C7" w:rsidRDefault="00AA3632" w:rsidP="00F82096">
      <w:pPr>
        <w:pStyle w:val="ReportBodyPar"/>
      </w:pPr>
    </w:p>
    <w:p w14:paraId="002D3C40" w14:textId="77777777" w:rsidR="00B236F2" w:rsidRPr="002B3F36" w:rsidRDefault="00B236F2" w:rsidP="00F82096">
      <w:pPr>
        <w:pStyle w:val="ReportBodyPar"/>
      </w:pPr>
      <w:r w:rsidRPr="00A846C7">
        <w:t>The road construction will generally have a low to moderate impact on air quality for populated areas along the route. The closer the construction sites are to a populated area or residential area, the more significant the impact is expected. However, under adverse meteorological conditions and certain climatic (wind, heat) and technical conditions (the presence of numerous operating vehicles near residential areas and public spaces, etc.), the impact may be moderate. For protected areas, the impact on air quality will also be considered low.</w:t>
      </w:r>
    </w:p>
    <w:p w14:paraId="3E99C68A" w14:textId="46DEC010" w:rsidR="00AD1D41" w:rsidRPr="002B3F36" w:rsidRDefault="00AD1D41">
      <w:pPr>
        <w:pStyle w:val="ReportBodyPar"/>
      </w:pPr>
    </w:p>
    <w:p w14:paraId="5AD70231" w14:textId="639ECE21" w:rsidR="00F16A0A" w:rsidRPr="002B3F36" w:rsidRDefault="00767B81" w:rsidP="00F16A0A">
      <w:pPr>
        <w:pStyle w:val="ReportBodyTextNogap"/>
      </w:pPr>
      <w:r w:rsidRPr="002B3F36">
        <w:t>The Project presents direct air-quality risks from dust and equipment emissions. Along the linear alignment, exposures are expected to be short-term and highly localized (point-specific), as works move progressively; thus, events are not anticipated to be daily or continuous at any single location. Applying the Significance of Impact Matrix, the receiving environment along the alignment is assessed as Low sensitivity (typical dispersive/assimilative capacity at discrete points) with small magnitude, yielding an overall Minor significance (pre-mitigation). In contrast, contractors’ maintenance yards concentrate mobile and stationary sources; intermittent surges in exhaust and fumes may occur, and workers constitute Medium–High sensitivity receptors. With Medium–Large magnitude, this setting results in Moderate to Major significance (pre-mitigation). Accordingly, stricter controls are required at maintenance yards (e.g., preventive maintenance, idling limits, ventilation/extraction, enclosed fueling, particulate capture for workshops, traffic management, and periodic ambient/occupational monitoring) to drive residual risk to acceptable levels</w:t>
      </w:r>
      <w:r w:rsidR="004E6D4A" w:rsidRPr="002B3F36">
        <w:t>.</w:t>
      </w:r>
    </w:p>
    <w:p w14:paraId="571E3118" w14:textId="53925541" w:rsidR="00AD1D41" w:rsidRPr="002B3F36" w:rsidRDefault="00AD1D41" w:rsidP="00F82096">
      <w:pPr>
        <w:pStyle w:val="ReportBodyPar"/>
      </w:pPr>
    </w:p>
    <w:p w14:paraId="1CFC84A7" w14:textId="77777777" w:rsidR="006D523A" w:rsidRPr="002B3F36" w:rsidRDefault="006D523A" w:rsidP="0051430B">
      <w:pPr>
        <w:pStyle w:val="DiaList12"/>
        <w:rPr>
          <w:rFonts w:eastAsia="SimSun"/>
          <w:lang w:val="en-PH"/>
        </w:rPr>
      </w:pPr>
      <w:r w:rsidRPr="002B3F36">
        <w:rPr>
          <w:rFonts w:eastAsia="SimSun"/>
          <w:lang w:val="en-PH"/>
        </w:rPr>
        <w:t>Mitigation Measures</w:t>
      </w:r>
    </w:p>
    <w:p w14:paraId="1E79BCA5" w14:textId="77777777" w:rsidR="006D523A" w:rsidRPr="002B3F36" w:rsidRDefault="006D523A" w:rsidP="00116B36">
      <w:pPr>
        <w:pStyle w:val="aff9"/>
        <w:spacing w:after="0" w:afterAutospacing="0"/>
        <w:rPr>
          <w:rFonts w:ascii="Arial" w:hAnsi="Arial" w:cs="Arial"/>
        </w:rPr>
      </w:pPr>
      <w:r w:rsidRPr="002B3F36">
        <w:rPr>
          <w:rStyle w:val="affffb"/>
        </w:rPr>
        <w:lastRenderedPageBreak/>
        <w:t>A. Planning and Baseline</w:t>
      </w:r>
    </w:p>
    <w:p w14:paraId="3F46CA17" w14:textId="77777777" w:rsidR="006D523A" w:rsidRPr="002B3F36" w:rsidRDefault="006D523A" w:rsidP="009B4CDB">
      <w:pPr>
        <w:pStyle w:val="aff9"/>
        <w:numPr>
          <w:ilvl w:val="0"/>
          <w:numId w:val="147"/>
        </w:numPr>
        <w:spacing w:before="0" w:beforeAutospacing="0"/>
        <w:rPr>
          <w:rFonts w:ascii="Arial" w:hAnsi="Arial" w:cs="Arial"/>
        </w:rPr>
      </w:pPr>
      <w:r w:rsidRPr="002B3F36">
        <w:rPr>
          <w:rFonts w:ascii="Arial" w:hAnsi="Arial" w:cs="Arial"/>
        </w:rPr>
        <w:t xml:space="preserve">Develop a </w:t>
      </w:r>
      <w:r w:rsidRPr="002B3F36">
        <w:rPr>
          <w:rStyle w:val="affffb"/>
        </w:rPr>
        <w:t>site-specific Air Quality Management Plan (AQMP)</w:t>
      </w:r>
      <w:r w:rsidRPr="002B3F36">
        <w:rPr>
          <w:rFonts w:ascii="Arial" w:hAnsi="Arial" w:cs="Arial"/>
        </w:rPr>
        <w:t xml:space="preserve"> prior to construction, covering emission sources, sensitive receptors, control measures, monitoring protocols, trigger thresholds, and responsibilities.</w:t>
      </w:r>
    </w:p>
    <w:p w14:paraId="19C3A2C5" w14:textId="77777777" w:rsidR="006D523A" w:rsidRPr="002B3F36" w:rsidRDefault="006D523A" w:rsidP="009B4CDB">
      <w:pPr>
        <w:pStyle w:val="aff9"/>
        <w:numPr>
          <w:ilvl w:val="0"/>
          <w:numId w:val="147"/>
        </w:numPr>
        <w:spacing w:before="0" w:beforeAutospacing="0"/>
        <w:rPr>
          <w:rFonts w:ascii="Arial" w:hAnsi="Arial" w:cs="Arial"/>
        </w:rPr>
      </w:pPr>
      <w:r w:rsidRPr="002B3F36">
        <w:rPr>
          <w:rFonts w:ascii="Arial" w:hAnsi="Arial" w:cs="Arial"/>
        </w:rPr>
        <w:t xml:space="preserve">Establish baseline measurements of ambient </w:t>
      </w:r>
      <w:r w:rsidRPr="002B3F36">
        <w:rPr>
          <w:rStyle w:val="affffb"/>
        </w:rPr>
        <w:t>PM</w:t>
      </w:r>
      <w:r w:rsidRPr="002B3F36">
        <w:rPr>
          <w:rStyle w:val="affffb"/>
          <w:rFonts w:ascii="Cambria Math" w:hAnsi="Cambria Math" w:cs="Cambria Math"/>
          <w:b w:val="0"/>
        </w:rPr>
        <w:t>₁₀</w:t>
      </w:r>
      <w:r w:rsidRPr="002B3F36">
        <w:rPr>
          <w:rStyle w:val="affffb"/>
        </w:rPr>
        <w:t>/PM</w:t>
      </w:r>
      <w:r w:rsidRPr="002B3F36">
        <w:rPr>
          <w:rStyle w:val="affffb"/>
          <w:rFonts w:ascii="Cambria Math" w:hAnsi="Cambria Math" w:cs="Cambria Math"/>
        </w:rPr>
        <w:t>₂</w:t>
      </w:r>
      <w:r w:rsidRPr="002B3F36">
        <w:rPr>
          <w:rStyle w:val="affffb"/>
        </w:rPr>
        <w:t>.</w:t>
      </w:r>
      <w:r w:rsidRPr="002B3F36">
        <w:rPr>
          <w:rStyle w:val="affffb"/>
          <w:rFonts w:ascii="Cambria Math" w:hAnsi="Cambria Math" w:cs="Cambria Math"/>
        </w:rPr>
        <w:t>₅</w:t>
      </w:r>
      <w:r w:rsidRPr="002B3F36">
        <w:rPr>
          <w:rFonts w:ascii="Arial" w:hAnsi="Arial" w:cs="Arial"/>
        </w:rPr>
        <w:t xml:space="preserve"> (and NOₓ where plants will operate) at representative sites and nearest receptors before major earthworks and plant commissioning.</w:t>
      </w:r>
    </w:p>
    <w:p w14:paraId="0148299A" w14:textId="77777777" w:rsidR="006D523A" w:rsidRPr="002B3F36" w:rsidRDefault="006D523A" w:rsidP="00116B36">
      <w:pPr>
        <w:pStyle w:val="aff9"/>
        <w:spacing w:after="0" w:afterAutospacing="0"/>
        <w:rPr>
          <w:rFonts w:ascii="Arial" w:hAnsi="Arial" w:cs="Arial"/>
        </w:rPr>
      </w:pPr>
      <w:r w:rsidRPr="002B3F36">
        <w:rPr>
          <w:rStyle w:val="affffb"/>
        </w:rPr>
        <w:t>B. Engineering Controls</w:t>
      </w:r>
    </w:p>
    <w:p w14:paraId="487097BE" w14:textId="36AC63B1" w:rsidR="006D523A" w:rsidRPr="002B3F36" w:rsidRDefault="006D523A" w:rsidP="009B4CDB">
      <w:pPr>
        <w:pStyle w:val="aff9"/>
        <w:numPr>
          <w:ilvl w:val="0"/>
          <w:numId w:val="148"/>
        </w:numPr>
        <w:spacing w:before="0" w:beforeAutospacing="0"/>
        <w:rPr>
          <w:rFonts w:ascii="Arial" w:hAnsi="Arial" w:cs="Arial"/>
        </w:rPr>
      </w:pPr>
      <w:r w:rsidRPr="002B3F36">
        <w:rPr>
          <w:rFonts w:ascii="Arial" w:hAnsi="Arial" w:cs="Arial"/>
        </w:rPr>
        <w:t xml:space="preserve">Apply </w:t>
      </w:r>
      <w:r w:rsidRPr="002B3F36">
        <w:rPr>
          <w:rStyle w:val="affffb"/>
        </w:rPr>
        <w:t>dust suppression</w:t>
      </w:r>
      <w:r w:rsidRPr="002B3F36">
        <w:rPr>
          <w:rFonts w:ascii="Arial" w:hAnsi="Arial" w:cs="Arial"/>
        </w:rPr>
        <w:t xml:space="preserve"> (e.g., water spraying) on unpaved access roads and active earthworks, targeting damp</w:t>
      </w:r>
      <w:r w:rsidR="00605704" w:rsidRPr="002B3F36">
        <w:rPr>
          <w:rFonts w:ascii="Arial" w:hAnsi="Arial" w:cs="Arial"/>
        </w:rPr>
        <w:t xml:space="preserve"> (</w:t>
      </w:r>
      <w:r w:rsidRPr="002B3F36">
        <w:rPr>
          <w:rFonts w:ascii="Arial" w:hAnsi="Arial" w:cs="Arial"/>
        </w:rPr>
        <w:t>not runoff</w:t>
      </w:r>
      <w:r w:rsidR="00605704" w:rsidRPr="002B3F36">
        <w:rPr>
          <w:rFonts w:ascii="Arial" w:hAnsi="Arial" w:cs="Arial"/>
        </w:rPr>
        <w:t xml:space="preserve">) </w:t>
      </w:r>
      <w:r w:rsidRPr="002B3F36">
        <w:rPr>
          <w:rFonts w:ascii="Arial" w:hAnsi="Arial" w:cs="Arial"/>
        </w:rPr>
        <w:t>conditions. Increase frequency during high winds and temporarily halt works if dust cannot be controlled.</w:t>
      </w:r>
    </w:p>
    <w:p w14:paraId="227A209A" w14:textId="77777777" w:rsidR="006D523A" w:rsidRPr="002B3F36" w:rsidRDefault="006D523A" w:rsidP="009B4CDB">
      <w:pPr>
        <w:pStyle w:val="aff9"/>
        <w:numPr>
          <w:ilvl w:val="0"/>
          <w:numId w:val="148"/>
        </w:numPr>
        <w:spacing w:before="0" w:beforeAutospacing="0"/>
        <w:rPr>
          <w:rFonts w:ascii="Arial" w:hAnsi="Arial" w:cs="Arial"/>
        </w:rPr>
      </w:pPr>
      <w:r w:rsidRPr="002B3F36">
        <w:rPr>
          <w:rFonts w:ascii="Arial" w:hAnsi="Arial" w:cs="Arial"/>
        </w:rPr>
        <w:t xml:space="preserve">Stabilize high-use haul routes through </w:t>
      </w:r>
      <w:r w:rsidRPr="002B3F36">
        <w:rPr>
          <w:rStyle w:val="affffb"/>
        </w:rPr>
        <w:t>graveling, chemical stabilizers, or paving</w:t>
      </w:r>
      <w:r w:rsidRPr="002B3F36">
        <w:rPr>
          <w:rFonts w:ascii="Arial" w:hAnsi="Arial" w:cs="Arial"/>
        </w:rPr>
        <w:t xml:space="preserve"> where justified by traffic intensity.</w:t>
      </w:r>
    </w:p>
    <w:p w14:paraId="42418B50" w14:textId="77777777" w:rsidR="006D523A" w:rsidRPr="002B3F36" w:rsidRDefault="006D523A" w:rsidP="009B4CDB">
      <w:pPr>
        <w:pStyle w:val="aff9"/>
        <w:numPr>
          <w:ilvl w:val="0"/>
          <w:numId w:val="148"/>
        </w:numPr>
        <w:rPr>
          <w:rFonts w:ascii="Arial" w:hAnsi="Arial" w:cs="Arial"/>
        </w:rPr>
      </w:pPr>
      <w:r w:rsidRPr="002B3F36">
        <w:rPr>
          <w:rFonts w:ascii="Arial" w:hAnsi="Arial" w:cs="Arial"/>
        </w:rPr>
        <w:t>Manage stockpiles by limiting heights, orienting to prevailing winds, covering or seeding exposed surfaces, and installing windbreaks. Enclose fine material stockpiles where feasible.</w:t>
      </w:r>
    </w:p>
    <w:p w14:paraId="678A4DF5" w14:textId="77777777" w:rsidR="006D523A" w:rsidRPr="002B3F36" w:rsidRDefault="006D523A" w:rsidP="009B4CDB">
      <w:pPr>
        <w:pStyle w:val="aff9"/>
        <w:numPr>
          <w:ilvl w:val="0"/>
          <w:numId w:val="148"/>
        </w:numPr>
        <w:rPr>
          <w:rFonts w:ascii="Arial" w:hAnsi="Arial" w:cs="Arial"/>
        </w:rPr>
      </w:pPr>
      <w:r w:rsidRPr="002B3F36">
        <w:rPr>
          <w:rFonts w:ascii="Arial" w:hAnsi="Arial" w:cs="Arial"/>
        </w:rPr>
        <w:t xml:space="preserve">Cover trucks during material transport, avoid overfilling, and install </w:t>
      </w:r>
      <w:r w:rsidRPr="002B3F36">
        <w:rPr>
          <w:rStyle w:val="affffb"/>
        </w:rPr>
        <w:t>wheel-wash facilities</w:t>
      </w:r>
      <w:r w:rsidRPr="002B3F36">
        <w:rPr>
          <w:rFonts w:ascii="Arial" w:hAnsi="Arial" w:cs="Arial"/>
        </w:rPr>
        <w:t xml:space="preserve"> at site exits.</w:t>
      </w:r>
    </w:p>
    <w:p w14:paraId="3FDD9E4C" w14:textId="4B79733F" w:rsidR="006D523A" w:rsidRPr="002B3F36" w:rsidRDefault="006D523A" w:rsidP="009B4CDB">
      <w:pPr>
        <w:pStyle w:val="aff9"/>
        <w:numPr>
          <w:ilvl w:val="0"/>
          <w:numId w:val="148"/>
        </w:numPr>
        <w:rPr>
          <w:rFonts w:ascii="Arial" w:hAnsi="Arial" w:cs="Arial"/>
        </w:rPr>
      </w:pPr>
      <w:r w:rsidRPr="002B3F36">
        <w:rPr>
          <w:rFonts w:ascii="Arial" w:hAnsi="Arial" w:cs="Arial"/>
        </w:rPr>
        <w:t xml:space="preserve">Fit crushers and conveyors with </w:t>
      </w:r>
      <w:r w:rsidRPr="002B3F36">
        <w:rPr>
          <w:rStyle w:val="affffb"/>
        </w:rPr>
        <w:t>enclosures and dust collectors</w:t>
      </w:r>
      <w:r w:rsidRPr="002B3F36">
        <w:rPr>
          <w:rFonts w:ascii="Arial" w:hAnsi="Arial" w:cs="Arial"/>
        </w:rPr>
        <w:t xml:space="preserve"> (bag filters or cyclones) and maintain capture efficiency. Ensure cement plants operate with compliant burners, dryers, and filters, and are sited with adequate setbacks, preferably downwind of sensitive receptors.</w:t>
      </w:r>
    </w:p>
    <w:p w14:paraId="340EB1D6" w14:textId="77777777" w:rsidR="006D523A" w:rsidRPr="002B3F36" w:rsidRDefault="006D523A" w:rsidP="009B4CDB">
      <w:pPr>
        <w:pStyle w:val="aff9"/>
        <w:numPr>
          <w:ilvl w:val="0"/>
          <w:numId w:val="148"/>
        </w:numPr>
        <w:rPr>
          <w:rFonts w:ascii="Arial" w:hAnsi="Arial" w:cs="Arial"/>
        </w:rPr>
      </w:pPr>
      <w:r w:rsidRPr="002B3F36">
        <w:rPr>
          <w:rFonts w:ascii="Arial" w:hAnsi="Arial" w:cs="Arial"/>
        </w:rPr>
        <w:t xml:space="preserve">Use </w:t>
      </w:r>
      <w:r w:rsidRPr="002B3F36">
        <w:rPr>
          <w:rStyle w:val="affffb"/>
        </w:rPr>
        <w:t>adequate stack heights</w:t>
      </w:r>
      <w:r w:rsidRPr="002B3F36">
        <w:rPr>
          <w:rFonts w:ascii="Arial" w:hAnsi="Arial" w:cs="Arial"/>
        </w:rPr>
        <w:t xml:space="preserve"> for generators and plants; ensure engines run on low-sulfur diesel where available; maintain equipment to minimize visible smoke.</w:t>
      </w:r>
    </w:p>
    <w:p w14:paraId="32C92B9F" w14:textId="77777777" w:rsidR="006D523A" w:rsidRPr="002B3F36" w:rsidRDefault="006D523A" w:rsidP="00116B36">
      <w:pPr>
        <w:pStyle w:val="aff9"/>
        <w:spacing w:before="0" w:beforeAutospacing="0" w:after="0" w:afterAutospacing="0"/>
        <w:rPr>
          <w:rFonts w:ascii="Arial" w:hAnsi="Arial" w:cs="Arial"/>
        </w:rPr>
      </w:pPr>
      <w:r w:rsidRPr="002B3F36">
        <w:rPr>
          <w:rStyle w:val="affffb"/>
        </w:rPr>
        <w:t>C. Administrative Controls</w:t>
      </w:r>
    </w:p>
    <w:p w14:paraId="6A9B342C" w14:textId="77777777" w:rsidR="006D523A" w:rsidRPr="002B3F36" w:rsidRDefault="006D523A" w:rsidP="009B4CDB">
      <w:pPr>
        <w:pStyle w:val="aff9"/>
        <w:numPr>
          <w:ilvl w:val="0"/>
          <w:numId w:val="149"/>
        </w:numPr>
        <w:spacing w:before="0" w:beforeAutospacing="0"/>
        <w:rPr>
          <w:rFonts w:ascii="Arial" w:hAnsi="Arial" w:cs="Arial"/>
        </w:rPr>
      </w:pPr>
      <w:r w:rsidRPr="002B3F36">
        <w:rPr>
          <w:rFonts w:ascii="Arial" w:hAnsi="Arial" w:cs="Arial"/>
        </w:rPr>
        <w:t xml:space="preserve">Enforce </w:t>
      </w:r>
      <w:r w:rsidRPr="002B3F36">
        <w:rPr>
          <w:rStyle w:val="affffb"/>
        </w:rPr>
        <w:t>speed limits</w:t>
      </w:r>
      <w:r w:rsidRPr="002B3F36">
        <w:rPr>
          <w:rFonts w:ascii="Arial" w:hAnsi="Arial" w:cs="Arial"/>
        </w:rPr>
        <w:t xml:space="preserve"> on site and haul routes; implement one-way systems where feasible; limit idling to ≤3 minutes.</w:t>
      </w:r>
    </w:p>
    <w:p w14:paraId="5F2D6BC7" w14:textId="77777777" w:rsidR="006D523A" w:rsidRPr="002B3F36" w:rsidRDefault="006D523A" w:rsidP="009B4CDB">
      <w:pPr>
        <w:pStyle w:val="aff9"/>
        <w:numPr>
          <w:ilvl w:val="0"/>
          <w:numId w:val="149"/>
        </w:numPr>
        <w:rPr>
          <w:rFonts w:ascii="Arial" w:hAnsi="Arial" w:cs="Arial"/>
        </w:rPr>
      </w:pPr>
      <w:r w:rsidRPr="002B3F36">
        <w:rPr>
          <w:rFonts w:ascii="Arial" w:hAnsi="Arial" w:cs="Arial"/>
        </w:rPr>
        <w:t>Schedule high-dust activities during calmer weather conditions; apply stop-work criteria for severe wind events.</w:t>
      </w:r>
    </w:p>
    <w:p w14:paraId="6C8C8B6E" w14:textId="77777777" w:rsidR="006D523A" w:rsidRPr="002B3F36" w:rsidRDefault="006D523A" w:rsidP="009B4CDB">
      <w:pPr>
        <w:pStyle w:val="aff9"/>
        <w:numPr>
          <w:ilvl w:val="0"/>
          <w:numId w:val="149"/>
        </w:numPr>
        <w:rPr>
          <w:rFonts w:ascii="Arial" w:hAnsi="Arial" w:cs="Arial"/>
        </w:rPr>
      </w:pPr>
      <w:r w:rsidRPr="002B3F36">
        <w:rPr>
          <w:rFonts w:ascii="Arial" w:hAnsi="Arial" w:cs="Arial"/>
        </w:rPr>
        <w:t>Prohibit open burning of waste; use LPG or kerosene for camp kitchens and ban fuelwood.</w:t>
      </w:r>
    </w:p>
    <w:p w14:paraId="66CDE881" w14:textId="77777777" w:rsidR="006D523A" w:rsidRPr="002B3F36" w:rsidRDefault="006D523A" w:rsidP="009B4CDB">
      <w:pPr>
        <w:pStyle w:val="aff9"/>
        <w:numPr>
          <w:ilvl w:val="0"/>
          <w:numId w:val="149"/>
        </w:numPr>
        <w:rPr>
          <w:rFonts w:ascii="Arial" w:hAnsi="Arial" w:cs="Arial"/>
        </w:rPr>
      </w:pPr>
      <w:r w:rsidRPr="002B3F36">
        <w:rPr>
          <w:rFonts w:ascii="Arial" w:hAnsi="Arial" w:cs="Arial"/>
        </w:rPr>
        <w:t xml:space="preserve">Implement a preventive </w:t>
      </w:r>
      <w:r w:rsidRPr="002B3F36">
        <w:rPr>
          <w:rStyle w:val="affffb"/>
        </w:rPr>
        <w:t>equipment maintenance program</w:t>
      </w:r>
      <w:r w:rsidRPr="002B3F36">
        <w:rPr>
          <w:rFonts w:ascii="Arial" w:hAnsi="Arial" w:cs="Arial"/>
        </w:rPr>
        <w:t>, including regular emissions inspections; remove non-compliant equipment from service until repaired.</w:t>
      </w:r>
    </w:p>
    <w:p w14:paraId="045D8C49" w14:textId="77777777" w:rsidR="006D523A" w:rsidRPr="002B3F36" w:rsidRDefault="006D523A" w:rsidP="009B4CDB">
      <w:pPr>
        <w:pStyle w:val="aff9"/>
        <w:numPr>
          <w:ilvl w:val="0"/>
          <w:numId w:val="149"/>
        </w:numPr>
        <w:rPr>
          <w:rFonts w:ascii="Arial" w:hAnsi="Arial" w:cs="Arial"/>
        </w:rPr>
      </w:pPr>
      <w:r w:rsidRPr="002B3F36">
        <w:rPr>
          <w:rFonts w:ascii="Arial" w:hAnsi="Arial" w:cs="Arial"/>
        </w:rPr>
        <w:t xml:space="preserve">Adopt </w:t>
      </w:r>
      <w:r w:rsidRPr="002B3F36">
        <w:rPr>
          <w:rStyle w:val="affffb"/>
        </w:rPr>
        <w:t>standard operating procedures (SOPs)</w:t>
      </w:r>
      <w:r w:rsidRPr="002B3F36">
        <w:rPr>
          <w:rFonts w:ascii="Arial" w:hAnsi="Arial" w:cs="Arial"/>
        </w:rPr>
        <w:t xml:space="preserve"> for material handling, including reduced drop heights and wet suppression at transfer points.</w:t>
      </w:r>
    </w:p>
    <w:p w14:paraId="13DB83D2" w14:textId="77777777" w:rsidR="006D523A" w:rsidRPr="002B3F36" w:rsidRDefault="006D523A" w:rsidP="00116B36">
      <w:pPr>
        <w:pStyle w:val="aff9"/>
        <w:spacing w:before="0" w:beforeAutospacing="0" w:after="0" w:afterAutospacing="0"/>
        <w:rPr>
          <w:rFonts w:ascii="Arial" w:hAnsi="Arial" w:cs="Arial"/>
        </w:rPr>
      </w:pPr>
      <w:r w:rsidRPr="002B3F36">
        <w:rPr>
          <w:rStyle w:val="affffb"/>
        </w:rPr>
        <w:t>D. Personal Protection</w:t>
      </w:r>
    </w:p>
    <w:p w14:paraId="675CC4B6" w14:textId="77777777" w:rsidR="006D523A" w:rsidRPr="002B3F36" w:rsidRDefault="006D523A" w:rsidP="009B4CDB">
      <w:pPr>
        <w:pStyle w:val="aff9"/>
        <w:numPr>
          <w:ilvl w:val="0"/>
          <w:numId w:val="150"/>
        </w:numPr>
        <w:spacing w:before="0" w:beforeAutospacing="0"/>
        <w:rPr>
          <w:rFonts w:ascii="Arial" w:hAnsi="Arial" w:cs="Arial"/>
        </w:rPr>
      </w:pPr>
      <w:r w:rsidRPr="002B3F36">
        <w:rPr>
          <w:rFonts w:ascii="Arial" w:hAnsi="Arial" w:cs="Arial"/>
        </w:rPr>
        <w:t xml:space="preserve">Provide </w:t>
      </w:r>
      <w:r w:rsidRPr="002B3F36">
        <w:rPr>
          <w:rStyle w:val="affffb"/>
        </w:rPr>
        <w:t>respiratory protective equipment</w:t>
      </w:r>
      <w:r w:rsidRPr="002B3F36">
        <w:rPr>
          <w:rFonts w:ascii="Arial" w:hAnsi="Arial" w:cs="Arial"/>
        </w:rPr>
        <w:t xml:space="preserve"> for workers performing high-dust tasks.</w:t>
      </w:r>
    </w:p>
    <w:p w14:paraId="6CF36783" w14:textId="77777777" w:rsidR="006D523A" w:rsidRPr="002B3F36" w:rsidRDefault="006D523A" w:rsidP="009B4CDB">
      <w:pPr>
        <w:pStyle w:val="aff9"/>
        <w:numPr>
          <w:ilvl w:val="0"/>
          <w:numId w:val="150"/>
        </w:numPr>
        <w:spacing w:before="0" w:beforeAutospacing="0"/>
        <w:rPr>
          <w:rFonts w:ascii="Arial" w:hAnsi="Arial" w:cs="Arial"/>
        </w:rPr>
      </w:pPr>
      <w:r w:rsidRPr="002B3F36">
        <w:rPr>
          <w:rFonts w:ascii="Arial" w:hAnsi="Arial" w:cs="Arial"/>
        </w:rPr>
        <w:t>Rotate crews to limit exposure durations.</w:t>
      </w:r>
    </w:p>
    <w:p w14:paraId="50D6EDEC" w14:textId="77777777" w:rsidR="006D523A" w:rsidRPr="002B3F36" w:rsidRDefault="006D523A" w:rsidP="009B4CDB">
      <w:pPr>
        <w:pStyle w:val="aff9"/>
        <w:numPr>
          <w:ilvl w:val="0"/>
          <w:numId w:val="150"/>
        </w:numPr>
        <w:spacing w:before="0" w:beforeAutospacing="0"/>
        <w:rPr>
          <w:rFonts w:ascii="Arial" w:hAnsi="Arial" w:cs="Arial"/>
        </w:rPr>
      </w:pPr>
      <w:r w:rsidRPr="002B3F36">
        <w:rPr>
          <w:rFonts w:ascii="Arial" w:hAnsi="Arial" w:cs="Arial"/>
        </w:rPr>
        <w:t xml:space="preserve">Implement </w:t>
      </w:r>
      <w:r w:rsidRPr="002B3F36">
        <w:rPr>
          <w:rStyle w:val="affffb"/>
        </w:rPr>
        <w:t>heat stress protocols</w:t>
      </w:r>
      <w:r w:rsidRPr="002B3F36">
        <w:rPr>
          <w:rFonts w:ascii="Arial" w:hAnsi="Arial" w:cs="Arial"/>
        </w:rPr>
        <w:t xml:space="preserve"> during summer months to reduce compounded health risks.</w:t>
      </w:r>
    </w:p>
    <w:p w14:paraId="60724EC6" w14:textId="77777777" w:rsidR="006D523A" w:rsidRPr="002B3F36" w:rsidRDefault="006D523A" w:rsidP="00116B36">
      <w:pPr>
        <w:pStyle w:val="aff9"/>
        <w:spacing w:before="0" w:beforeAutospacing="0" w:after="0" w:afterAutospacing="0"/>
        <w:rPr>
          <w:rFonts w:ascii="Arial" w:hAnsi="Arial" w:cs="Arial"/>
        </w:rPr>
      </w:pPr>
      <w:r w:rsidRPr="002B3F36">
        <w:rPr>
          <w:rStyle w:val="affffb"/>
        </w:rPr>
        <w:t>E. Monitoring, Triggers, and KPIs</w:t>
      </w:r>
    </w:p>
    <w:p w14:paraId="1C44EC2E" w14:textId="77777777" w:rsidR="006D523A" w:rsidRPr="002B3F36" w:rsidRDefault="006D523A" w:rsidP="009B4CDB">
      <w:pPr>
        <w:pStyle w:val="aff9"/>
        <w:numPr>
          <w:ilvl w:val="0"/>
          <w:numId w:val="151"/>
        </w:numPr>
        <w:spacing w:before="0" w:beforeAutospacing="0" w:after="0" w:afterAutospacing="0"/>
        <w:rPr>
          <w:rFonts w:ascii="Arial" w:hAnsi="Arial" w:cs="Arial"/>
        </w:rPr>
      </w:pPr>
      <w:r w:rsidRPr="002B3F36">
        <w:rPr>
          <w:rFonts w:ascii="Arial" w:hAnsi="Arial" w:cs="Arial"/>
        </w:rPr>
        <w:t xml:space="preserve">Conduct </w:t>
      </w:r>
      <w:r w:rsidRPr="002B3F36">
        <w:rPr>
          <w:rStyle w:val="affffb"/>
        </w:rPr>
        <w:t>ambient air monitoring</w:t>
      </w:r>
      <w:r w:rsidRPr="002B3F36">
        <w:rPr>
          <w:rFonts w:ascii="Arial" w:hAnsi="Arial" w:cs="Arial"/>
        </w:rPr>
        <w:t xml:space="preserve"> (PM</w:t>
      </w:r>
      <w:r w:rsidRPr="002B3F36">
        <w:rPr>
          <w:rFonts w:ascii="Cambria Math" w:hAnsi="Cambria Math" w:cs="Cambria Math"/>
        </w:rPr>
        <w:t>₁₀</w:t>
      </w:r>
      <w:r w:rsidRPr="002B3F36">
        <w:rPr>
          <w:rFonts w:ascii="Arial" w:hAnsi="Arial" w:cs="Arial"/>
        </w:rPr>
        <w:t>/PM</w:t>
      </w:r>
      <w:r w:rsidRPr="002B3F36">
        <w:rPr>
          <w:rFonts w:ascii="Cambria Math" w:hAnsi="Cambria Math" w:cs="Cambria Math"/>
        </w:rPr>
        <w:t>₂</w:t>
      </w:r>
      <w:r w:rsidRPr="002B3F36">
        <w:rPr>
          <w:rFonts w:ascii="Arial" w:hAnsi="Arial" w:cs="Arial"/>
        </w:rPr>
        <w:t>.</w:t>
      </w:r>
      <w:r w:rsidRPr="002B3F36">
        <w:rPr>
          <w:rFonts w:ascii="Cambria Math" w:hAnsi="Cambria Math" w:cs="Cambria Math"/>
        </w:rPr>
        <w:t>₅</w:t>
      </w:r>
      <w:r w:rsidRPr="002B3F36">
        <w:rPr>
          <w:rFonts w:ascii="Arial" w:hAnsi="Arial" w:cs="Arial"/>
        </w:rPr>
        <w:t>, and NOₓ/SO</w:t>
      </w:r>
      <w:r w:rsidRPr="002B3F36">
        <w:rPr>
          <w:rFonts w:ascii="Cambria Math" w:hAnsi="Cambria Math" w:cs="Cambria Math"/>
        </w:rPr>
        <w:t>₂</w:t>
      </w:r>
      <w:r w:rsidRPr="002B3F36">
        <w:rPr>
          <w:rFonts w:ascii="Arial" w:hAnsi="Arial" w:cs="Arial"/>
        </w:rPr>
        <w:t xml:space="preserve"> where plants operate) at site boundaries and nearest receptors.</w:t>
      </w:r>
    </w:p>
    <w:p w14:paraId="1B2569EB" w14:textId="77777777" w:rsidR="006D523A" w:rsidRPr="002B3F36" w:rsidRDefault="006D523A" w:rsidP="009B4CDB">
      <w:pPr>
        <w:pStyle w:val="aff9"/>
        <w:numPr>
          <w:ilvl w:val="0"/>
          <w:numId w:val="151"/>
        </w:numPr>
        <w:spacing w:before="0" w:beforeAutospacing="0" w:after="0" w:afterAutospacing="0"/>
        <w:rPr>
          <w:rFonts w:ascii="Arial" w:hAnsi="Arial" w:cs="Arial"/>
        </w:rPr>
      </w:pPr>
      <w:r w:rsidRPr="002B3F36">
        <w:rPr>
          <w:rFonts w:ascii="Arial" w:hAnsi="Arial" w:cs="Arial"/>
        </w:rPr>
        <w:t xml:space="preserve">Perform daily </w:t>
      </w:r>
      <w:r w:rsidRPr="002B3F36">
        <w:rPr>
          <w:rStyle w:val="affffb"/>
        </w:rPr>
        <w:t>visual dust inspections</w:t>
      </w:r>
      <w:r w:rsidRPr="002B3F36">
        <w:rPr>
          <w:rFonts w:ascii="Arial" w:hAnsi="Arial" w:cs="Arial"/>
        </w:rPr>
        <w:t>; log water-cart runs, baghouse pressure drops, and maintenance actions.</w:t>
      </w:r>
    </w:p>
    <w:p w14:paraId="055D219C" w14:textId="77777777" w:rsidR="006D523A" w:rsidRPr="002B3F36" w:rsidRDefault="006D523A" w:rsidP="009B4CDB">
      <w:pPr>
        <w:pStyle w:val="aff9"/>
        <w:numPr>
          <w:ilvl w:val="0"/>
          <w:numId w:val="151"/>
        </w:numPr>
        <w:rPr>
          <w:rFonts w:ascii="Arial" w:hAnsi="Arial" w:cs="Arial"/>
        </w:rPr>
      </w:pPr>
      <w:r w:rsidRPr="002B3F36">
        <w:rPr>
          <w:rFonts w:ascii="Arial" w:hAnsi="Arial" w:cs="Arial"/>
        </w:rPr>
        <w:t xml:space="preserve">Establish </w:t>
      </w:r>
      <w:r w:rsidRPr="002B3F36">
        <w:rPr>
          <w:rStyle w:val="affffb"/>
        </w:rPr>
        <w:t>triggered responses</w:t>
      </w:r>
      <w:r w:rsidRPr="002B3F36">
        <w:rPr>
          <w:rFonts w:ascii="Arial" w:hAnsi="Arial" w:cs="Arial"/>
        </w:rPr>
        <w:t xml:space="preserve"> for off-site dust plumes, high wind alerts, or air quality exceedances, including intensified suppression, activity rescheduling, or installation of additional barriers.</w:t>
      </w:r>
    </w:p>
    <w:p w14:paraId="60DF0ADA" w14:textId="77777777" w:rsidR="006D523A" w:rsidRPr="002B3F36" w:rsidRDefault="006D523A" w:rsidP="009B4CDB">
      <w:pPr>
        <w:pStyle w:val="aff9"/>
        <w:numPr>
          <w:ilvl w:val="0"/>
          <w:numId w:val="151"/>
        </w:numPr>
        <w:rPr>
          <w:rFonts w:ascii="Arial" w:hAnsi="Arial" w:cs="Arial"/>
        </w:rPr>
      </w:pPr>
      <w:r w:rsidRPr="002B3F36">
        <w:rPr>
          <w:rFonts w:ascii="Arial" w:hAnsi="Arial" w:cs="Arial"/>
        </w:rPr>
        <w:lastRenderedPageBreak/>
        <w:t>Track key performance indicators (KPIs): number of exceedances, percentage of days meeting suppression schedules, number of complaints received/resolved, and percentage of equipment operating with valid emissions tags.</w:t>
      </w:r>
    </w:p>
    <w:p w14:paraId="67B03B56" w14:textId="2FDD70D0" w:rsidR="006D523A" w:rsidRPr="002B3F36" w:rsidRDefault="006D523A" w:rsidP="009B4CDB">
      <w:pPr>
        <w:pStyle w:val="aff9"/>
        <w:numPr>
          <w:ilvl w:val="0"/>
          <w:numId w:val="151"/>
        </w:numPr>
        <w:rPr>
          <w:rFonts w:ascii="Arial" w:hAnsi="Arial" w:cs="Arial"/>
        </w:rPr>
      </w:pPr>
      <w:r w:rsidRPr="002B3F36">
        <w:rPr>
          <w:rFonts w:ascii="Arial" w:hAnsi="Arial" w:cs="Arial"/>
        </w:rPr>
        <w:t xml:space="preserve">Report monthly air quality summaries to the Engineer and </w:t>
      </w:r>
      <w:r w:rsidR="00464922" w:rsidRPr="002B3F36">
        <w:rPr>
          <w:rFonts w:ascii="Arial" w:hAnsi="Arial" w:cs="Arial"/>
        </w:rPr>
        <w:t>KTZ</w:t>
      </w:r>
      <w:r w:rsidRPr="002B3F36">
        <w:rPr>
          <w:rFonts w:ascii="Arial" w:hAnsi="Arial" w:cs="Arial"/>
        </w:rPr>
        <w:t>, including corrective and preventive action (CAPA) tracking.</w:t>
      </w:r>
    </w:p>
    <w:p w14:paraId="6EE152E4" w14:textId="77777777" w:rsidR="006D523A" w:rsidRPr="002B3F36" w:rsidRDefault="006D523A" w:rsidP="00116B36">
      <w:pPr>
        <w:pStyle w:val="aff9"/>
        <w:spacing w:before="0" w:beforeAutospacing="0" w:after="0" w:afterAutospacing="0"/>
        <w:rPr>
          <w:rFonts w:ascii="Arial" w:hAnsi="Arial" w:cs="Arial"/>
        </w:rPr>
      </w:pPr>
      <w:r w:rsidRPr="002B3F36">
        <w:rPr>
          <w:rStyle w:val="affffb"/>
        </w:rPr>
        <w:t>F. Greenhouse Gas and Efficiency Co-Benefits</w:t>
      </w:r>
    </w:p>
    <w:p w14:paraId="5535F04F" w14:textId="77777777" w:rsidR="006D523A" w:rsidRPr="002B3F36" w:rsidRDefault="006D523A" w:rsidP="009B4CDB">
      <w:pPr>
        <w:pStyle w:val="aff9"/>
        <w:numPr>
          <w:ilvl w:val="0"/>
          <w:numId w:val="152"/>
        </w:numPr>
        <w:spacing w:before="0" w:beforeAutospacing="0" w:after="0" w:afterAutospacing="0"/>
        <w:rPr>
          <w:rFonts w:ascii="Arial" w:hAnsi="Arial" w:cs="Arial"/>
        </w:rPr>
      </w:pPr>
      <w:r w:rsidRPr="002B3F36">
        <w:rPr>
          <w:rFonts w:ascii="Arial" w:hAnsi="Arial" w:cs="Arial"/>
        </w:rPr>
        <w:t>Optimize haul logistics and material sourcing to minimize fuel consumption.</w:t>
      </w:r>
    </w:p>
    <w:p w14:paraId="1150EDBB" w14:textId="77777777" w:rsidR="006D523A" w:rsidRPr="002B3F36" w:rsidRDefault="006D523A" w:rsidP="009B4CDB">
      <w:pPr>
        <w:pStyle w:val="aff9"/>
        <w:numPr>
          <w:ilvl w:val="0"/>
          <w:numId w:val="152"/>
        </w:numPr>
        <w:spacing w:before="0" w:beforeAutospacing="0" w:after="0" w:afterAutospacing="0"/>
        <w:rPr>
          <w:rFonts w:ascii="Arial" w:hAnsi="Arial" w:cs="Arial"/>
        </w:rPr>
      </w:pPr>
      <w:r w:rsidRPr="002B3F36">
        <w:rPr>
          <w:rFonts w:ascii="Arial" w:hAnsi="Arial" w:cs="Arial"/>
        </w:rPr>
        <w:t>Consolidate deliveries to reduce traffic volumes.</w:t>
      </w:r>
    </w:p>
    <w:p w14:paraId="68BCC90B" w14:textId="77777777" w:rsidR="006D523A" w:rsidRPr="002B3F36" w:rsidRDefault="006D523A" w:rsidP="009B4CDB">
      <w:pPr>
        <w:pStyle w:val="aff9"/>
        <w:numPr>
          <w:ilvl w:val="0"/>
          <w:numId w:val="152"/>
        </w:numPr>
        <w:rPr>
          <w:rFonts w:ascii="Arial" w:hAnsi="Arial" w:cs="Arial"/>
        </w:rPr>
      </w:pPr>
      <w:r w:rsidRPr="002B3F36">
        <w:rPr>
          <w:rFonts w:ascii="Arial" w:hAnsi="Arial" w:cs="Arial"/>
        </w:rPr>
        <w:t>Ensure engines and equipment are well-tuned to reduce unnecessary fuel burn.</w:t>
      </w:r>
    </w:p>
    <w:p w14:paraId="2D7987FC" w14:textId="1C50C976" w:rsidR="006D523A" w:rsidRPr="002B3F36" w:rsidRDefault="006D523A" w:rsidP="00605704">
      <w:pPr>
        <w:pStyle w:val="ReportBodyPar"/>
      </w:pPr>
      <w:r w:rsidRPr="002B3F36">
        <w:t>Explore hybrid or electric equipment options where feasible to further reduce emissions.</w:t>
      </w:r>
    </w:p>
    <w:p w14:paraId="624D80AB" w14:textId="77777777" w:rsidR="00605704" w:rsidRPr="002B3F36" w:rsidRDefault="00605704" w:rsidP="00605704">
      <w:pPr>
        <w:pStyle w:val="ReportBodyPar"/>
      </w:pPr>
    </w:p>
    <w:p w14:paraId="2A6291FC" w14:textId="62B6E4DA" w:rsidR="006D523A" w:rsidRPr="002B3F36" w:rsidRDefault="006D523A" w:rsidP="00605704">
      <w:pPr>
        <w:pStyle w:val="ReportBodyPar"/>
      </w:pPr>
      <w:r w:rsidRPr="002B3F36">
        <w:t>By applying these measures, the Project will ensure compliance with air quality standards, minimize impacts on workers and communities, and demonstrate alignment with international good practice for air quality management.</w:t>
      </w:r>
    </w:p>
    <w:p w14:paraId="1D767044" w14:textId="77777777" w:rsidR="00605704" w:rsidRPr="002B3F36" w:rsidRDefault="00605704" w:rsidP="00605704">
      <w:pPr>
        <w:pStyle w:val="ReportBodyPar"/>
      </w:pPr>
    </w:p>
    <w:p w14:paraId="25DF2CDE" w14:textId="644D2D0F" w:rsidR="00F61F8E" w:rsidRPr="002B3F36" w:rsidRDefault="000F264B" w:rsidP="005A68AD">
      <w:pPr>
        <w:pStyle w:val="31"/>
      </w:pPr>
      <w:bookmarkStart w:id="2463" w:name="_Toc210589513"/>
      <w:r w:rsidRPr="002B3F36">
        <w:t>Noise</w:t>
      </w:r>
      <w:bookmarkEnd w:id="2457"/>
      <w:bookmarkEnd w:id="2458"/>
      <w:bookmarkEnd w:id="2459"/>
      <w:bookmarkEnd w:id="2460"/>
      <w:bookmarkEnd w:id="2461"/>
      <w:bookmarkEnd w:id="2462"/>
      <w:bookmarkEnd w:id="2463"/>
    </w:p>
    <w:p w14:paraId="7FC6829E" w14:textId="738307CB" w:rsidR="00116B36" w:rsidRPr="002B3F36" w:rsidRDefault="00116B36" w:rsidP="00116B36">
      <w:pPr>
        <w:pStyle w:val="ReportBodyPar"/>
      </w:pPr>
    </w:p>
    <w:p w14:paraId="04CEF29B" w14:textId="12A7E909" w:rsidR="00116B36" w:rsidRPr="002B3F36" w:rsidRDefault="00F81545" w:rsidP="00116B36">
      <w:pPr>
        <w:pStyle w:val="ReportBodyPar"/>
      </w:pPr>
      <w:r w:rsidRPr="002B3F36">
        <w:t xml:space="preserve">Construction activities involving heavy machinery, material handling, and auxiliary plants will generate intermittent and localized noise, potentially affecting workers, nearby communities, and wildlife. In line with </w:t>
      </w:r>
      <w:r w:rsidR="00163238" w:rsidRPr="002B3F36">
        <w:t>WB PS</w:t>
      </w:r>
      <w:r w:rsidRPr="002B3F36">
        <w:t>3 on resource efficiency and pollution prevention and Kazakhstan’s Environmental Code (2021), the Project will implement engineering, administrative, and monitoring controls to minimize noise emissions, ensure compliance with national limits and WB EHS guidelines, and reduce impacts on sensitive receptors.</w:t>
      </w:r>
    </w:p>
    <w:p w14:paraId="5BC469DF" w14:textId="77777777" w:rsidR="00F81545" w:rsidRPr="002B3F36" w:rsidRDefault="00F81545" w:rsidP="00116B36">
      <w:pPr>
        <w:pStyle w:val="ReportBodyPar"/>
      </w:pPr>
    </w:p>
    <w:p w14:paraId="1DC35EED" w14:textId="77777777" w:rsidR="00385F08" w:rsidRPr="002B3F36" w:rsidRDefault="00385F08" w:rsidP="00116B36">
      <w:pPr>
        <w:pStyle w:val="DiaList12"/>
        <w:rPr>
          <w:rFonts w:eastAsia="Times New Roman"/>
          <w:lang w:eastAsia="en-US"/>
        </w:rPr>
      </w:pPr>
      <w:r w:rsidRPr="002B3F36">
        <w:rPr>
          <w:rFonts w:eastAsia="Times New Roman"/>
          <w:lang w:eastAsia="en-US"/>
        </w:rPr>
        <w:t>Origin of Impact</w:t>
      </w:r>
    </w:p>
    <w:p w14:paraId="6B1D7DA4" w14:textId="77777777" w:rsidR="00385F08" w:rsidRPr="002B3F36" w:rsidRDefault="00385F08" w:rsidP="00116B36">
      <w:pPr>
        <w:pStyle w:val="aff9"/>
        <w:spacing w:before="0" w:beforeAutospacing="0" w:after="0" w:afterAutospacing="0"/>
        <w:jc w:val="both"/>
        <w:rPr>
          <w:rFonts w:ascii="Arial" w:hAnsi="Arial" w:cs="Arial"/>
        </w:rPr>
      </w:pPr>
      <w:r w:rsidRPr="002B3F36">
        <w:rPr>
          <w:rFonts w:ascii="Arial" w:hAnsi="Arial" w:cs="Arial"/>
        </w:rPr>
        <w:t>During construction, noise will arise from:</w:t>
      </w:r>
    </w:p>
    <w:p w14:paraId="6569EAB9" w14:textId="77777777" w:rsidR="00385F08" w:rsidRPr="002B3F36" w:rsidRDefault="00385F08" w:rsidP="009B4CDB">
      <w:pPr>
        <w:pStyle w:val="aff9"/>
        <w:numPr>
          <w:ilvl w:val="0"/>
          <w:numId w:val="110"/>
        </w:numPr>
        <w:spacing w:before="0" w:beforeAutospacing="0" w:after="0" w:afterAutospacing="0"/>
        <w:jc w:val="both"/>
        <w:rPr>
          <w:rFonts w:ascii="Arial" w:hAnsi="Arial" w:cs="Arial"/>
        </w:rPr>
      </w:pPr>
      <w:r w:rsidRPr="002B3F36">
        <w:rPr>
          <w:rFonts w:ascii="Arial" w:hAnsi="Arial" w:cs="Arial"/>
          <w:b/>
        </w:rPr>
        <w:t>Heavy mobile plant and trucks</w:t>
      </w:r>
      <w:r w:rsidRPr="002B3F36">
        <w:rPr>
          <w:rFonts w:ascii="Arial" w:hAnsi="Arial" w:cs="Arial"/>
        </w:rPr>
        <w:t xml:space="preserve"> on access roads and haul routes (dozers, graders, excavators, dump trucks).</w:t>
      </w:r>
    </w:p>
    <w:p w14:paraId="2B5E95A6" w14:textId="5791AD27" w:rsidR="00385F08" w:rsidRPr="002B3F36" w:rsidRDefault="00385F08" w:rsidP="009B4CDB">
      <w:pPr>
        <w:pStyle w:val="aff9"/>
        <w:numPr>
          <w:ilvl w:val="0"/>
          <w:numId w:val="110"/>
        </w:numPr>
        <w:jc w:val="both"/>
        <w:rPr>
          <w:rFonts w:ascii="Arial" w:hAnsi="Arial" w:cs="Arial"/>
        </w:rPr>
      </w:pPr>
      <w:r w:rsidRPr="002B3F36">
        <w:rPr>
          <w:rFonts w:ascii="Arial" w:hAnsi="Arial" w:cs="Arial"/>
          <w:b/>
        </w:rPr>
        <w:t>Fixed and semi-fixed plant</w:t>
      </w:r>
      <w:r w:rsidRPr="002B3F36">
        <w:rPr>
          <w:rFonts w:ascii="Arial" w:hAnsi="Arial" w:cs="Arial"/>
        </w:rPr>
        <w:t xml:space="preserve"> at auxiliary facilities (crushing/</w:t>
      </w:r>
      <w:r w:rsidR="00733889" w:rsidRPr="002B3F36">
        <w:rPr>
          <w:rFonts w:ascii="Arial" w:hAnsi="Arial" w:cs="Arial"/>
        </w:rPr>
        <w:t xml:space="preserve"> cement </w:t>
      </w:r>
      <w:r w:rsidRPr="002B3F36">
        <w:rPr>
          <w:rFonts w:ascii="Arial" w:hAnsi="Arial" w:cs="Arial"/>
        </w:rPr>
        <w:t>batching plants, generators, workshops).</w:t>
      </w:r>
    </w:p>
    <w:p w14:paraId="669FBDFF" w14:textId="77777777" w:rsidR="00385F08" w:rsidRPr="002B3F36" w:rsidRDefault="00385F08" w:rsidP="009B4CDB">
      <w:pPr>
        <w:pStyle w:val="aff9"/>
        <w:numPr>
          <w:ilvl w:val="0"/>
          <w:numId w:val="110"/>
        </w:numPr>
        <w:jc w:val="both"/>
        <w:rPr>
          <w:rFonts w:ascii="Arial" w:hAnsi="Arial" w:cs="Arial"/>
        </w:rPr>
      </w:pPr>
      <w:r w:rsidRPr="002B3F36">
        <w:rPr>
          <w:rFonts w:ascii="Arial" w:hAnsi="Arial" w:cs="Arial"/>
          <w:b/>
        </w:rPr>
        <w:t>Civil works activities</w:t>
      </w:r>
      <w:r w:rsidRPr="002B3F36">
        <w:rPr>
          <w:rFonts w:ascii="Arial" w:hAnsi="Arial" w:cs="Arial"/>
        </w:rPr>
        <w:t xml:space="preserve"> (earthworks, bridge/culvert construction, impact tools, occasional blasting or piling where applicable).</w:t>
      </w:r>
    </w:p>
    <w:p w14:paraId="1948BE6C" w14:textId="0AAC8817" w:rsidR="00385F08" w:rsidRPr="002B3F36" w:rsidRDefault="00385F08" w:rsidP="009B4CDB">
      <w:pPr>
        <w:pStyle w:val="aff9"/>
        <w:numPr>
          <w:ilvl w:val="0"/>
          <w:numId w:val="110"/>
        </w:numPr>
        <w:jc w:val="both"/>
        <w:rPr>
          <w:rFonts w:ascii="Arial" w:hAnsi="Arial" w:cs="Arial"/>
        </w:rPr>
      </w:pPr>
      <w:r w:rsidRPr="002B3F36">
        <w:rPr>
          <w:rFonts w:ascii="Arial" w:hAnsi="Arial" w:cs="Arial"/>
          <w:b/>
        </w:rPr>
        <w:t>Construction traffic</w:t>
      </w:r>
      <w:r w:rsidRPr="002B3F36">
        <w:rPr>
          <w:rFonts w:ascii="Arial" w:hAnsi="Arial" w:cs="Arial"/>
        </w:rPr>
        <w:t xml:space="preserve"> passing near settlements and sensitive receptors (dwellings, schools, clinics), and </w:t>
      </w:r>
      <w:r w:rsidRPr="002B3F36">
        <w:rPr>
          <w:rFonts w:ascii="Arial" w:hAnsi="Arial" w:cs="Arial"/>
          <w:b/>
        </w:rPr>
        <w:t>night-time activities</w:t>
      </w:r>
      <w:r w:rsidR="00733889" w:rsidRPr="002B3F36">
        <w:rPr>
          <w:rFonts w:ascii="Arial" w:hAnsi="Arial" w:cs="Arial"/>
          <w:b/>
        </w:rPr>
        <w:t>,</w:t>
      </w:r>
      <w:r w:rsidRPr="002B3F36">
        <w:rPr>
          <w:rFonts w:ascii="Arial" w:hAnsi="Arial" w:cs="Arial"/>
        </w:rPr>
        <w:t xml:space="preserve"> if scheduled.</w:t>
      </w:r>
    </w:p>
    <w:p w14:paraId="16BE0676" w14:textId="77777777" w:rsidR="00385F08" w:rsidRPr="002B3F36" w:rsidRDefault="00385F08" w:rsidP="00116B36">
      <w:pPr>
        <w:pStyle w:val="DiaList12"/>
        <w:rPr>
          <w:rFonts w:eastAsia="SimSun"/>
          <w:lang w:val="en-PH"/>
        </w:rPr>
      </w:pPr>
      <w:r w:rsidRPr="002B3F36">
        <w:rPr>
          <w:rFonts w:eastAsia="SimSun"/>
          <w:lang w:val="en-PH"/>
        </w:rPr>
        <w:t>Impact Assessment</w:t>
      </w:r>
    </w:p>
    <w:p w14:paraId="419C40FB" w14:textId="24AD5E3C" w:rsidR="00B236F2" w:rsidRPr="002B3F36" w:rsidRDefault="00385F08" w:rsidP="00116B36">
      <w:pPr>
        <w:pStyle w:val="aff9"/>
        <w:spacing w:before="0" w:beforeAutospacing="0" w:after="0" w:afterAutospacing="0"/>
        <w:jc w:val="both"/>
        <w:rPr>
          <w:rFonts w:ascii="Arial" w:hAnsi="Arial" w:cs="Arial"/>
        </w:rPr>
      </w:pPr>
      <w:r w:rsidRPr="002B3F36">
        <w:rPr>
          <w:rFonts w:ascii="Arial" w:hAnsi="Arial" w:cs="Arial"/>
        </w:rPr>
        <w:t>Construction noise will be localized and intermittent, peaking near active fronts and auxiliary facilities. Poor maintenance or techniques (e.g., dropping materials, unnecessary idling, tonal reversing alarms) can elevate levels.</w:t>
      </w:r>
    </w:p>
    <w:p w14:paraId="70E3D479" w14:textId="77777777" w:rsidR="00B236F2" w:rsidRPr="00A846C7" w:rsidRDefault="00B236F2" w:rsidP="00B236F2">
      <w:pPr>
        <w:pStyle w:val="aff9"/>
        <w:jc w:val="both"/>
        <w:rPr>
          <w:rFonts w:ascii="Arial" w:hAnsi="Arial" w:cs="Arial"/>
          <w:i/>
        </w:rPr>
      </w:pPr>
      <w:r w:rsidRPr="00A846C7">
        <w:rPr>
          <w:rFonts w:ascii="Arial" w:hAnsi="Arial" w:cs="Arial"/>
          <w:i/>
        </w:rPr>
        <w:t>Construction</w:t>
      </w:r>
    </w:p>
    <w:p w14:paraId="6F5B2914" w14:textId="4242B640" w:rsidR="00B236F2" w:rsidRPr="00A846C7" w:rsidRDefault="00B236F2" w:rsidP="00AA3632">
      <w:pPr>
        <w:pStyle w:val="ReportBodyPar"/>
      </w:pPr>
      <w:r w:rsidRPr="00A846C7">
        <w:t>Noise is an integral part of all construction work. The movement of vehicles, special vehicles, equipment, quarry operations, and material handling generate noise in various ranges and volumes. The noisiest noise is generated by heavy equipment and vehicles. Construction work will be carried out during the daytime.</w:t>
      </w:r>
    </w:p>
    <w:p w14:paraId="14568FFE" w14:textId="77777777" w:rsidR="00AA3632" w:rsidRPr="00A846C7" w:rsidRDefault="00AA3632" w:rsidP="00F82096">
      <w:pPr>
        <w:pStyle w:val="ReportBodyPar"/>
      </w:pPr>
    </w:p>
    <w:p w14:paraId="1743DFAD" w14:textId="57DEB579" w:rsidR="00B236F2" w:rsidRPr="00A846C7" w:rsidRDefault="00B236F2" w:rsidP="00AA3632">
      <w:pPr>
        <w:pStyle w:val="ReportBodyPar"/>
      </w:pPr>
      <w:r w:rsidRPr="00A846C7">
        <w:t xml:space="preserve">Calculations of sound propagation from the simultaneous operation of an excavator, bulldozer, and KAMAZ truck (partial simultaneity) were conducted in accordance with GOST </w:t>
      </w:r>
      <w:r w:rsidRPr="00A846C7">
        <w:lastRenderedPageBreak/>
        <w:t>31295.1-2005 for sound pressure levels L, dB, in octave frequency bands of 31.5; 63, 125, 250, 500, 1000, 2000, 4000, and 8000 Hz.</w:t>
      </w:r>
    </w:p>
    <w:p w14:paraId="15E4D7A0" w14:textId="47032B1E" w:rsidR="00AA3632" w:rsidRPr="00A846C7" w:rsidRDefault="00AA3632" w:rsidP="00AA3632">
      <w:pPr>
        <w:pStyle w:val="ReportBodyPar"/>
      </w:pPr>
    </w:p>
    <w:p w14:paraId="21E8A99F" w14:textId="6E25135A" w:rsidR="00B236F2" w:rsidRPr="002B3F36" w:rsidRDefault="00AA3632" w:rsidP="00F47182">
      <w:pPr>
        <w:pStyle w:val="CaptionTable"/>
      </w:pPr>
      <w:bookmarkStart w:id="2464" w:name="_Toc210589578"/>
      <w:r w:rsidRPr="002B3F36">
        <w:t xml:space="preserve">Table </w:t>
      </w:r>
      <w:r w:rsidRPr="002B3F36">
        <w:rPr>
          <w:b w:val="0"/>
          <w:bCs w:val="0"/>
          <w:noProof/>
        </w:rPr>
        <w:fldChar w:fldCharType="begin"/>
      </w:r>
      <w:r w:rsidRPr="002B3F36">
        <w:rPr>
          <w:b w:val="0"/>
          <w:bCs w:val="0"/>
        </w:rPr>
        <w:instrText xml:space="preserve"> SEQ Table \* ARABIC </w:instrText>
      </w:r>
      <w:r w:rsidRPr="002B3F36">
        <w:rPr>
          <w:b w:val="0"/>
          <w:bCs w:val="0"/>
          <w:noProof/>
        </w:rPr>
        <w:fldChar w:fldCharType="separate"/>
      </w:r>
      <w:r w:rsidR="00A023DA">
        <w:rPr>
          <w:b w:val="0"/>
          <w:bCs w:val="0"/>
          <w:noProof/>
        </w:rPr>
        <w:t>34</w:t>
      </w:r>
      <w:r w:rsidRPr="002B3F36">
        <w:rPr>
          <w:b w:val="0"/>
          <w:bCs w:val="0"/>
          <w:noProof/>
        </w:rPr>
        <w:fldChar w:fldCharType="end"/>
      </w:r>
      <w:r w:rsidRPr="002B3F36">
        <w:t xml:space="preserve">: Sound </w:t>
      </w:r>
      <w:r w:rsidR="00767B81" w:rsidRPr="002B3F36">
        <w:t>L</w:t>
      </w:r>
      <w:r w:rsidRPr="002B3F36">
        <w:t xml:space="preserve">evels of </w:t>
      </w:r>
      <w:r w:rsidR="00767B81" w:rsidRPr="002B3F36">
        <w:t>N</w:t>
      </w:r>
      <w:r w:rsidRPr="002B3F36">
        <w:t>oise-</w:t>
      </w:r>
      <w:r w:rsidR="00767B81" w:rsidRPr="002B3F36">
        <w:t>G</w:t>
      </w:r>
      <w:r w:rsidRPr="002B3F36">
        <w:t xml:space="preserve">enerating equipment by </w:t>
      </w:r>
      <w:r w:rsidR="00767B81" w:rsidRPr="002B3F36">
        <w:t>A</w:t>
      </w:r>
      <w:r w:rsidRPr="002B3F36">
        <w:t>nalogs</w:t>
      </w:r>
      <w:bookmarkEnd w:id="2464"/>
    </w:p>
    <w:tbl>
      <w:tblPr>
        <w:tblStyle w:val="TableGrid2"/>
        <w:tblW w:w="5000" w:type="pct"/>
        <w:tblLook w:val="04A0" w:firstRow="1" w:lastRow="0" w:firstColumn="1" w:lastColumn="0" w:noHBand="0" w:noVBand="1"/>
      </w:tblPr>
      <w:tblGrid>
        <w:gridCol w:w="2374"/>
        <w:gridCol w:w="695"/>
        <w:gridCol w:w="503"/>
        <w:gridCol w:w="630"/>
        <w:gridCol w:w="630"/>
        <w:gridCol w:w="630"/>
        <w:gridCol w:w="758"/>
        <w:gridCol w:w="758"/>
        <w:gridCol w:w="758"/>
        <w:gridCol w:w="758"/>
        <w:gridCol w:w="1216"/>
      </w:tblGrid>
      <w:tr w:rsidR="00B236F2" w:rsidRPr="002B3F36" w14:paraId="71A19553" w14:textId="77777777" w:rsidTr="00F47182">
        <w:trPr>
          <w:tblHeader/>
        </w:trPr>
        <w:tc>
          <w:tcPr>
            <w:tcW w:w="0" w:type="auto"/>
            <w:vMerge w:val="restart"/>
            <w:shd w:val="clear" w:color="auto" w:fill="F2F2F2" w:themeFill="background1" w:themeFillShade="F2"/>
            <w:hideMark/>
          </w:tcPr>
          <w:p w14:paraId="75BFEDF5"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Sound source, dBA</w:t>
            </w:r>
          </w:p>
        </w:tc>
        <w:tc>
          <w:tcPr>
            <w:tcW w:w="0" w:type="auto"/>
            <w:shd w:val="clear" w:color="auto" w:fill="F2F2F2" w:themeFill="background1" w:themeFillShade="F2"/>
          </w:tcPr>
          <w:p w14:paraId="5F18CEDB" w14:textId="77777777" w:rsidR="00B236F2" w:rsidRPr="00A846C7" w:rsidRDefault="00B236F2">
            <w:pPr>
              <w:spacing w:before="10" w:after="10"/>
              <w:jc w:val="center"/>
              <w:rPr>
                <w:rFonts w:ascii="Arial" w:eastAsia="Times New Roman" w:hAnsi="Arial" w:cs="Arial"/>
                <w:b/>
                <w:sz w:val="20"/>
                <w:szCs w:val="20"/>
                <w:lang w:val="ru-RU" w:eastAsia="ru-RU"/>
              </w:rPr>
            </w:pPr>
          </w:p>
        </w:tc>
        <w:tc>
          <w:tcPr>
            <w:tcW w:w="0" w:type="auto"/>
            <w:gridSpan w:val="9"/>
            <w:shd w:val="clear" w:color="auto" w:fill="F2F2F2" w:themeFill="background1" w:themeFillShade="F2"/>
            <w:hideMark/>
          </w:tcPr>
          <w:p w14:paraId="55C49554" w14:textId="6307569A" w:rsidR="00B236F2" w:rsidRPr="00A846C7" w:rsidRDefault="00B236F2">
            <w:pPr>
              <w:spacing w:before="10" w:after="10"/>
              <w:jc w:val="center"/>
              <w:rPr>
                <w:rFonts w:ascii="Arial" w:eastAsia="Times New Roman" w:hAnsi="Arial" w:cs="Arial"/>
                <w:b/>
                <w:sz w:val="20"/>
                <w:szCs w:val="20"/>
                <w:lang w:eastAsia="ru-RU"/>
              </w:rPr>
            </w:pPr>
            <w:r w:rsidRPr="00A846C7">
              <w:rPr>
                <w:rFonts w:ascii="Arial" w:eastAsia="Times New Roman" w:hAnsi="Arial" w:cs="Arial"/>
                <w:b/>
                <w:sz w:val="20"/>
                <w:szCs w:val="20"/>
                <w:lang w:eastAsia="ru-RU"/>
              </w:rPr>
              <w:t>Octave frequency bands, Hz</w:t>
            </w:r>
            <w:r w:rsidR="00767B81" w:rsidRPr="00A846C7">
              <w:rPr>
                <w:rFonts w:ascii="Arial" w:eastAsia="Times New Roman" w:hAnsi="Arial" w:cs="Arial"/>
                <w:b/>
                <w:sz w:val="20"/>
                <w:szCs w:val="20"/>
                <w:lang w:eastAsia="ru-RU"/>
              </w:rPr>
              <w:t xml:space="preserve"> (</w:t>
            </w:r>
            <w:r w:rsidR="00767B81" w:rsidRPr="002B3F36">
              <w:rPr>
                <w:rFonts w:ascii="Arial" w:eastAsia="Times New Roman" w:hAnsi="Arial" w:cs="Arial"/>
                <w:b/>
                <w:sz w:val="20"/>
                <w:szCs w:val="20"/>
                <w:lang w:eastAsia="ru-RU"/>
              </w:rPr>
              <w:t>at 10 m)</w:t>
            </w:r>
          </w:p>
        </w:tc>
      </w:tr>
      <w:tr w:rsidR="009F4BDA" w:rsidRPr="002B3F36" w14:paraId="0CF21988" w14:textId="77777777" w:rsidTr="00AA3632">
        <w:trPr>
          <w:tblHeader/>
        </w:trPr>
        <w:tc>
          <w:tcPr>
            <w:tcW w:w="0" w:type="auto"/>
            <w:vMerge/>
            <w:shd w:val="clear" w:color="auto" w:fill="F2F2F2" w:themeFill="background1" w:themeFillShade="F2"/>
            <w:hideMark/>
          </w:tcPr>
          <w:p w14:paraId="5EEA7AE0" w14:textId="77777777" w:rsidR="00B236F2" w:rsidRPr="00A846C7" w:rsidRDefault="00B236F2">
            <w:pPr>
              <w:rPr>
                <w:rFonts w:ascii="Arial" w:eastAsia="Times New Roman" w:hAnsi="Arial" w:cs="Arial"/>
                <w:b/>
                <w:sz w:val="20"/>
                <w:szCs w:val="20"/>
                <w:lang w:eastAsia="ru-RU"/>
              </w:rPr>
            </w:pPr>
          </w:p>
        </w:tc>
        <w:tc>
          <w:tcPr>
            <w:tcW w:w="0" w:type="auto"/>
            <w:shd w:val="clear" w:color="auto" w:fill="F2F2F2" w:themeFill="background1" w:themeFillShade="F2"/>
            <w:hideMark/>
          </w:tcPr>
          <w:p w14:paraId="6478C89A"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31,5</w:t>
            </w:r>
          </w:p>
        </w:tc>
        <w:tc>
          <w:tcPr>
            <w:tcW w:w="0" w:type="auto"/>
            <w:shd w:val="clear" w:color="auto" w:fill="F2F2F2" w:themeFill="background1" w:themeFillShade="F2"/>
            <w:hideMark/>
          </w:tcPr>
          <w:p w14:paraId="08B4A500"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63</w:t>
            </w:r>
          </w:p>
        </w:tc>
        <w:tc>
          <w:tcPr>
            <w:tcW w:w="0" w:type="auto"/>
            <w:shd w:val="clear" w:color="auto" w:fill="F2F2F2" w:themeFill="background1" w:themeFillShade="F2"/>
            <w:hideMark/>
          </w:tcPr>
          <w:p w14:paraId="152A9771"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125</w:t>
            </w:r>
          </w:p>
        </w:tc>
        <w:tc>
          <w:tcPr>
            <w:tcW w:w="0" w:type="auto"/>
            <w:shd w:val="clear" w:color="auto" w:fill="F2F2F2" w:themeFill="background1" w:themeFillShade="F2"/>
            <w:hideMark/>
          </w:tcPr>
          <w:p w14:paraId="1E00847F"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250</w:t>
            </w:r>
          </w:p>
        </w:tc>
        <w:tc>
          <w:tcPr>
            <w:tcW w:w="0" w:type="auto"/>
            <w:shd w:val="clear" w:color="auto" w:fill="F2F2F2" w:themeFill="background1" w:themeFillShade="F2"/>
            <w:hideMark/>
          </w:tcPr>
          <w:p w14:paraId="14E7C9B1"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500</w:t>
            </w:r>
          </w:p>
        </w:tc>
        <w:tc>
          <w:tcPr>
            <w:tcW w:w="0" w:type="auto"/>
            <w:shd w:val="clear" w:color="auto" w:fill="F2F2F2" w:themeFill="background1" w:themeFillShade="F2"/>
            <w:hideMark/>
          </w:tcPr>
          <w:p w14:paraId="1B313EB4"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1000</w:t>
            </w:r>
          </w:p>
        </w:tc>
        <w:tc>
          <w:tcPr>
            <w:tcW w:w="0" w:type="auto"/>
            <w:shd w:val="clear" w:color="auto" w:fill="F2F2F2" w:themeFill="background1" w:themeFillShade="F2"/>
            <w:hideMark/>
          </w:tcPr>
          <w:p w14:paraId="4B3F4A18"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2000</w:t>
            </w:r>
          </w:p>
        </w:tc>
        <w:tc>
          <w:tcPr>
            <w:tcW w:w="0" w:type="auto"/>
            <w:shd w:val="clear" w:color="auto" w:fill="F2F2F2" w:themeFill="background1" w:themeFillShade="F2"/>
            <w:hideMark/>
          </w:tcPr>
          <w:p w14:paraId="560A583A"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4000</w:t>
            </w:r>
          </w:p>
        </w:tc>
        <w:tc>
          <w:tcPr>
            <w:tcW w:w="0" w:type="auto"/>
            <w:shd w:val="clear" w:color="auto" w:fill="F2F2F2" w:themeFill="background1" w:themeFillShade="F2"/>
            <w:hideMark/>
          </w:tcPr>
          <w:p w14:paraId="65E79D48"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8000</w:t>
            </w:r>
          </w:p>
        </w:tc>
        <w:tc>
          <w:tcPr>
            <w:tcW w:w="0" w:type="auto"/>
            <w:shd w:val="clear" w:color="auto" w:fill="F2F2F2" w:themeFill="background1" w:themeFillShade="F2"/>
            <w:hideMark/>
          </w:tcPr>
          <w:p w14:paraId="0189C8CC"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eastAsia="ru-RU"/>
              </w:rPr>
              <w:t>Laeq</w:t>
            </w:r>
            <w:r w:rsidRPr="00A846C7">
              <w:rPr>
                <w:rFonts w:ascii="Arial" w:eastAsia="Times New Roman" w:hAnsi="Arial" w:cs="Arial"/>
                <w:b/>
                <w:sz w:val="20"/>
                <w:szCs w:val="20"/>
                <w:lang w:val="ru-RU" w:eastAsia="ru-RU"/>
              </w:rPr>
              <w:t xml:space="preserve">, </w:t>
            </w:r>
            <w:r w:rsidRPr="00A846C7">
              <w:rPr>
                <w:rFonts w:ascii="Arial" w:eastAsia="Times New Roman" w:hAnsi="Arial" w:cs="Arial"/>
                <w:b/>
                <w:sz w:val="20"/>
                <w:szCs w:val="20"/>
                <w:lang w:eastAsia="ru-RU"/>
              </w:rPr>
              <w:t>dB</w:t>
            </w:r>
            <w:r w:rsidRPr="00A846C7">
              <w:rPr>
                <w:rFonts w:ascii="Arial" w:eastAsia="Times New Roman" w:hAnsi="Arial" w:cs="Arial"/>
                <w:b/>
                <w:sz w:val="20"/>
                <w:szCs w:val="20"/>
                <w:lang w:val="ru-RU" w:eastAsia="ru-RU"/>
              </w:rPr>
              <w:t xml:space="preserve"> </w:t>
            </w:r>
          </w:p>
          <w:p w14:paraId="1DE8F455" w14:textId="77777777" w:rsidR="00B236F2" w:rsidRPr="00A846C7" w:rsidRDefault="00B236F2">
            <w:pPr>
              <w:spacing w:before="10" w:after="10"/>
              <w:jc w:val="center"/>
              <w:rPr>
                <w:rFonts w:ascii="Arial" w:eastAsia="Times New Roman" w:hAnsi="Arial" w:cs="Arial"/>
                <w:b/>
                <w:sz w:val="20"/>
                <w:szCs w:val="20"/>
                <w:lang w:val="ru-RU" w:eastAsia="ru-RU"/>
              </w:rPr>
            </w:pPr>
            <w:r w:rsidRPr="00A846C7">
              <w:rPr>
                <w:rFonts w:ascii="Arial" w:eastAsia="Times New Roman" w:hAnsi="Arial" w:cs="Arial"/>
                <w:b/>
                <w:sz w:val="20"/>
                <w:szCs w:val="20"/>
                <w:lang w:val="ru-RU" w:eastAsia="ru-RU"/>
              </w:rPr>
              <w:t>at 10 m</w:t>
            </w:r>
          </w:p>
        </w:tc>
      </w:tr>
      <w:tr w:rsidR="00B236F2" w:rsidRPr="002B3F36" w14:paraId="7C0FB891" w14:textId="77777777" w:rsidTr="00F47182">
        <w:tc>
          <w:tcPr>
            <w:tcW w:w="0" w:type="auto"/>
            <w:hideMark/>
          </w:tcPr>
          <w:p w14:paraId="3ECA1B4F"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Bulldozer*</w:t>
            </w:r>
          </w:p>
        </w:tc>
        <w:tc>
          <w:tcPr>
            <w:tcW w:w="0" w:type="auto"/>
            <w:hideMark/>
          </w:tcPr>
          <w:p w14:paraId="6A867DED"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80</w:t>
            </w:r>
          </w:p>
        </w:tc>
        <w:tc>
          <w:tcPr>
            <w:tcW w:w="0" w:type="auto"/>
            <w:hideMark/>
          </w:tcPr>
          <w:p w14:paraId="4499D58C"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80</w:t>
            </w:r>
          </w:p>
        </w:tc>
        <w:tc>
          <w:tcPr>
            <w:tcW w:w="0" w:type="auto"/>
            <w:hideMark/>
          </w:tcPr>
          <w:p w14:paraId="5CA23DA4"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78</w:t>
            </w:r>
          </w:p>
        </w:tc>
        <w:tc>
          <w:tcPr>
            <w:tcW w:w="0" w:type="auto"/>
            <w:hideMark/>
          </w:tcPr>
          <w:p w14:paraId="572397FD"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71</w:t>
            </w:r>
          </w:p>
        </w:tc>
        <w:tc>
          <w:tcPr>
            <w:tcW w:w="0" w:type="auto"/>
            <w:hideMark/>
          </w:tcPr>
          <w:p w14:paraId="0B8AB5D5"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70</w:t>
            </w:r>
          </w:p>
        </w:tc>
        <w:tc>
          <w:tcPr>
            <w:tcW w:w="0" w:type="auto"/>
            <w:hideMark/>
          </w:tcPr>
          <w:p w14:paraId="636E5596"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74</w:t>
            </w:r>
          </w:p>
        </w:tc>
        <w:tc>
          <w:tcPr>
            <w:tcW w:w="0" w:type="auto"/>
            <w:hideMark/>
          </w:tcPr>
          <w:p w14:paraId="1AD657F3"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68</w:t>
            </w:r>
          </w:p>
        </w:tc>
        <w:tc>
          <w:tcPr>
            <w:tcW w:w="0" w:type="auto"/>
            <w:hideMark/>
          </w:tcPr>
          <w:p w14:paraId="2BF8D3CE"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65</w:t>
            </w:r>
          </w:p>
        </w:tc>
        <w:tc>
          <w:tcPr>
            <w:tcW w:w="0" w:type="auto"/>
            <w:hideMark/>
          </w:tcPr>
          <w:p w14:paraId="03E2471A"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61</w:t>
            </w:r>
          </w:p>
        </w:tc>
        <w:tc>
          <w:tcPr>
            <w:tcW w:w="0" w:type="auto"/>
            <w:hideMark/>
          </w:tcPr>
          <w:p w14:paraId="1ACE6BF1"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77</w:t>
            </w:r>
          </w:p>
        </w:tc>
      </w:tr>
      <w:tr w:rsidR="00B236F2" w:rsidRPr="002B3F36" w14:paraId="52C04B18" w14:textId="77777777" w:rsidTr="00F47182">
        <w:tc>
          <w:tcPr>
            <w:tcW w:w="0" w:type="auto"/>
            <w:hideMark/>
          </w:tcPr>
          <w:p w14:paraId="02287F7A"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Crawler excavator*</w:t>
            </w:r>
          </w:p>
        </w:tc>
        <w:tc>
          <w:tcPr>
            <w:tcW w:w="0" w:type="auto"/>
            <w:hideMark/>
          </w:tcPr>
          <w:p w14:paraId="66AF14E7"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w:t>
            </w:r>
          </w:p>
        </w:tc>
        <w:tc>
          <w:tcPr>
            <w:tcW w:w="0" w:type="auto"/>
            <w:hideMark/>
          </w:tcPr>
          <w:p w14:paraId="65C1DADA"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 xml:space="preserve">84 </w:t>
            </w:r>
          </w:p>
        </w:tc>
        <w:tc>
          <w:tcPr>
            <w:tcW w:w="0" w:type="auto"/>
            <w:hideMark/>
          </w:tcPr>
          <w:p w14:paraId="58F5D47B"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76</w:t>
            </w:r>
          </w:p>
        </w:tc>
        <w:tc>
          <w:tcPr>
            <w:tcW w:w="0" w:type="auto"/>
            <w:hideMark/>
          </w:tcPr>
          <w:p w14:paraId="69E5531D"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67</w:t>
            </w:r>
          </w:p>
        </w:tc>
        <w:tc>
          <w:tcPr>
            <w:tcW w:w="0" w:type="auto"/>
            <w:hideMark/>
          </w:tcPr>
          <w:p w14:paraId="1DB276F9"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64</w:t>
            </w:r>
          </w:p>
        </w:tc>
        <w:tc>
          <w:tcPr>
            <w:tcW w:w="0" w:type="auto"/>
            <w:hideMark/>
          </w:tcPr>
          <w:p w14:paraId="628AF676"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62</w:t>
            </w:r>
          </w:p>
        </w:tc>
        <w:tc>
          <w:tcPr>
            <w:tcW w:w="0" w:type="auto"/>
            <w:hideMark/>
          </w:tcPr>
          <w:p w14:paraId="081DFC11"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59</w:t>
            </w:r>
          </w:p>
        </w:tc>
        <w:tc>
          <w:tcPr>
            <w:tcW w:w="0" w:type="auto"/>
            <w:hideMark/>
          </w:tcPr>
          <w:p w14:paraId="015BBA92"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53</w:t>
            </w:r>
          </w:p>
        </w:tc>
        <w:tc>
          <w:tcPr>
            <w:tcW w:w="0" w:type="auto"/>
            <w:hideMark/>
          </w:tcPr>
          <w:p w14:paraId="371134D4"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43</w:t>
            </w:r>
          </w:p>
        </w:tc>
        <w:tc>
          <w:tcPr>
            <w:tcW w:w="0" w:type="auto"/>
            <w:hideMark/>
          </w:tcPr>
          <w:p w14:paraId="2A246EED"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68</w:t>
            </w:r>
          </w:p>
        </w:tc>
      </w:tr>
      <w:tr w:rsidR="00B236F2" w:rsidRPr="002B3F36" w14:paraId="109FE873" w14:textId="77777777" w:rsidTr="00F47182">
        <w:tc>
          <w:tcPr>
            <w:tcW w:w="0" w:type="auto"/>
            <w:hideMark/>
          </w:tcPr>
          <w:p w14:paraId="360DBF1F"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KAMAZ **</w:t>
            </w:r>
          </w:p>
        </w:tc>
        <w:tc>
          <w:tcPr>
            <w:tcW w:w="0" w:type="auto"/>
            <w:hideMark/>
          </w:tcPr>
          <w:p w14:paraId="4869D536"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76</w:t>
            </w:r>
          </w:p>
        </w:tc>
        <w:tc>
          <w:tcPr>
            <w:tcW w:w="0" w:type="auto"/>
            <w:hideMark/>
          </w:tcPr>
          <w:p w14:paraId="1F25675D"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76</w:t>
            </w:r>
          </w:p>
        </w:tc>
        <w:tc>
          <w:tcPr>
            <w:tcW w:w="0" w:type="auto"/>
            <w:hideMark/>
          </w:tcPr>
          <w:p w14:paraId="78FB2017"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77</w:t>
            </w:r>
          </w:p>
        </w:tc>
        <w:tc>
          <w:tcPr>
            <w:tcW w:w="0" w:type="auto"/>
            <w:hideMark/>
          </w:tcPr>
          <w:p w14:paraId="550B133B"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78</w:t>
            </w:r>
          </w:p>
        </w:tc>
        <w:tc>
          <w:tcPr>
            <w:tcW w:w="0" w:type="auto"/>
            <w:hideMark/>
          </w:tcPr>
          <w:p w14:paraId="24EDA876"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79</w:t>
            </w:r>
          </w:p>
        </w:tc>
        <w:tc>
          <w:tcPr>
            <w:tcW w:w="0" w:type="auto"/>
            <w:hideMark/>
          </w:tcPr>
          <w:p w14:paraId="4C646B2B"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76</w:t>
            </w:r>
          </w:p>
        </w:tc>
        <w:tc>
          <w:tcPr>
            <w:tcW w:w="0" w:type="auto"/>
            <w:hideMark/>
          </w:tcPr>
          <w:p w14:paraId="43702238"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71</w:t>
            </w:r>
          </w:p>
        </w:tc>
        <w:tc>
          <w:tcPr>
            <w:tcW w:w="0" w:type="auto"/>
            <w:hideMark/>
          </w:tcPr>
          <w:p w14:paraId="3FDD90C4"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67</w:t>
            </w:r>
          </w:p>
        </w:tc>
        <w:tc>
          <w:tcPr>
            <w:tcW w:w="0" w:type="auto"/>
            <w:hideMark/>
          </w:tcPr>
          <w:p w14:paraId="3207818D"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70</w:t>
            </w:r>
          </w:p>
        </w:tc>
        <w:tc>
          <w:tcPr>
            <w:tcW w:w="0" w:type="auto"/>
            <w:hideMark/>
          </w:tcPr>
          <w:p w14:paraId="6501C999" w14:textId="77777777" w:rsidR="00B236F2" w:rsidRPr="00A846C7" w:rsidRDefault="00B236F2">
            <w:pPr>
              <w:spacing w:before="10" w:after="10"/>
              <w:jc w:val="center"/>
              <w:rPr>
                <w:rFonts w:ascii="Arial" w:eastAsia="Times New Roman" w:hAnsi="Arial" w:cs="Arial"/>
                <w:sz w:val="20"/>
                <w:szCs w:val="20"/>
                <w:lang w:val="ru-RU" w:eastAsia="ru-RU"/>
              </w:rPr>
            </w:pPr>
            <w:r w:rsidRPr="00A846C7">
              <w:rPr>
                <w:rFonts w:ascii="Arial" w:eastAsia="Times New Roman" w:hAnsi="Arial" w:cs="Arial"/>
                <w:sz w:val="20"/>
                <w:szCs w:val="20"/>
                <w:lang w:val="ru-RU" w:eastAsia="ru-RU"/>
              </w:rPr>
              <w:t>80.7</w:t>
            </w:r>
          </w:p>
        </w:tc>
      </w:tr>
    </w:tbl>
    <w:p w14:paraId="61A52C89" w14:textId="77777777" w:rsidR="00B236F2" w:rsidRPr="00A846C7" w:rsidRDefault="00B236F2" w:rsidP="00F47182">
      <w:pPr>
        <w:pStyle w:val="aff9"/>
        <w:spacing w:before="0" w:beforeAutospacing="0" w:after="0" w:afterAutospacing="0"/>
        <w:jc w:val="both"/>
        <w:rPr>
          <w:rFonts w:ascii="Arial" w:hAnsi="Arial" w:cs="Arial"/>
          <w:i/>
          <w:sz w:val="16"/>
          <w:szCs w:val="16"/>
        </w:rPr>
      </w:pPr>
      <w:r w:rsidRPr="00A846C7">
        <w:rPr>
          <w:rFonts w:ascii="Arial" w:hAnsi="Arial" w:cs="Arial"/>
          <w:i/>
          <w:sz w:val="16"/>
          <w:szCs w:val="16"/>
        </w:rPr>
        <w:t>Sources * BS 5228-1:2009. ** Catalog of Noise Sources and Protective Equipment, 2004</w:t>
      </w:r>
    </w:p>
    <w:p w14:paraId="3333A1E9" w14:textId="77777777" w:rsidR="00AA3632" w:rsidRPr="00A846C7" w:rsidRDefault="00AA3632" w:rsidP="00AA3632">
      <w:pPr>
        <w:pStyle w:val="ReportBodyPar"/>
      </w:pPr>
    </w:p>
    <w:p w14:paraId="737079C0" w14:textId="77777777" w:rsidR="00B236F2" w:rsidRPr="00A846C7" w:rsidRDefault="00B236F2" w:rsidP="00F82096">
      <w:pPr>
        <w:pStyle w:val="ReportBodyPar"/>
      </w:pPr>
      <w:r w:rsidRPr="00A846C7">
        <w:t>Calculations showed that at a distance of approximately 80-100 meters (the construction site), the noise level does not exceed 45 dBA; the nearest populated area is 55 dBA, i.e., the noise level in the area adjacent to residential buildings. This also takes into account that the main noise sources during construction will operate for a short period of time, and that specialized equipment and vehicles will comply with current noise requirements and GOST 33555-2022.</w:t>
      </w:r>
    </w:p>
    <w:p w14:paraId="5F81C58B" w14:textId="77777777" w:rsidR="00B236F2" w:rsidRPr="00A846C7" w:rsidRDefault="00B236F2" w:rsidP="044F26F8">
      <w:pPr>
        <w:pStyle w:val="aff9"/>
        <w:jc w:val="both"/>
        <w:rPr>
          <w:rFonts w:ascii="Arial" w:hAnsi="Arial" w:cs="Arial"/>
          <w:b/>
          <w:i/>
        </w:rPr>
      </w:pPr>
      <w:r w:rsidRPr="00A846C7">
        <w:rPr>
          <w:rFonts w:ascii="Arial" w:hAnsi="Arial" w:cs="Arial"/>
          <w:b/>
          <w:i/>
        </w:rPr>
        <w:t>Noise exposure will be low outside the construction site.</w:t>
      </w:r>
    </w:p>
    <w:p w14:paraId="3CFBB6C2" w14:textId="5619B90C" w:rsidR="00B236F2" w:rsidRPr="00A846C7" w:rsidRDefault="00B236F2" w:rsidP="00F82096">
      <w:pPr>
        <w:pStyle w:val="ReportBodyPar"/>
      </w:pPr>
      <w:r w:rsidRPr="00A846C7">
        <w:t xml:space="preserve">Noise levels at the industrial site will depend on the simultaneous activities performed and are regulated by safety regulations. </w:t>
      </w:r>
      <w:r w:rsidR="00001D53" w:rsidRPr="00001D53">
        <w:t xml:space="preserve">Personal </w:t>
      </w:r>
      <w:r w:rsidR="00001D53">
        <w:t>P</w:t>
      </w:r>
      <w:r w:rsidR="00001D53" w:rsidRPr="00001D53">
        <w:t xml:space="preserve">rotective </w:t>
      </w:r>
      <w:r w:rsidR="00001D53">
        <w:t>E</w:t>
      </w:r>
      <w:r w:rsidR="00001D53" w:rsidRPr="00001D53">
        <w:t xml:space="preserve">quipment </w:t>
      </w:r>
      <w:r w:rsidR="00001D53">
        <w:t>(</w:t>
      </w:r>
      <w:r w:rsidRPr="00A846C7">
        <w:t>PPE</w:t>
      </w:r>
      <w:r w:rsidR="00001D53">
        <w:t>)</w:t>
      </w:r>
      <w:r w:rsidRPr="00A846C7">
        <w:t xml:space="preserve"> may be used if necessary. Noise propagation calculations show that noise during construction work outside the construction site will also be below the standard established for protected areas: the permissible maximum level is 50 dBA (Order of the Minister of Agriculture of the Republic of Kazakhstan dated October 7, 2015, No. 18-02/899 "On approval of standards for noise and other acoustic impacts of artificial origin").</w:t>
      </w:r>
    </w:p>
    <w:p w14:paraId="3E394400" w14:textId="77777777" w:rsidR="00B236F2" w:rsidRPr="00A846C7" w:rsidRDefault="00B236F2" w:rsidP="00B236F2">
      <w:pPr>
        <w:pStyle w:val="aff9"/>
        <w:jc w:val="both"/>
        <w:rPr>
          <w:rFonts w:ascii="Arial" w:hAnsi="Arial" w:cs="Arial"/>
          <w:b/>
          <w:i/>
        </w:rPr>
      </w:pPr>
      <w:r w:rsidRPr="00A846C7">
        <w:rPr>
          <w:rFonts w:ascii="Arial" w:hAnsi="Arial" w:cs="Arial"/>
          <w:b/>
          <w:i/>
        </w:rPr>
        <w:t>Operation</w:t>
      </w:r>
    </w:p>
    <w:p w14:paraId="35F2788F" w14:textId="1DD75723" w:rsidR="00B236F2" w:rsidRPr="00A846C7" w:rsidRDefault="00B236F2" w:rsidP="00AA3632">
      <w:pPr>
        <w:pStyle w:val="ReportBodyPar"/>
      </w:pPr>
      <w:r w:rsidRPr="00A846C7">
        <w:t>The impact of rail transport noise on the environment and passengers is extremely diverse. Three main objects affected by rail transport noise can be identified: residential areas; passengers and service personnel at stations; and passengers and service personnel on trains.</w:t>
      </w:r>
    </w:p>
    <w:p w14:paraId="6936A6D0" w14:textId="77777777" w:rsidR="00AA3632" w:rsidRPr="00A846C7" w:rsidRDefault="00AA3632" w:rsidP="00F82096">
      <w:pPr>
        <w:pStyle w:val="ReportBodyPar"/>
      </w:pPr>
    </w:p>
    <w:p w14:paraId="3207E782" w14:textId="365CEAF1" w:rsidR="00B236F2" w:rsidRPr="00A846C7" w:rsidRDefault="00B236F2" w:rsidP="00F82096">
      <w:pPr>
        <w:pStyle w:val="ReportBodyPar"/>
      </w:pPr>
      <w:r w:rsidRPr="00A846C7">
        <w:t xml:space="preserve">In areas near mainlines and in residential areas, the main sources of environmental noise are: locomotive noise; horn signals; </w:t>
      </w:r>
      <w:r w:rsidR="009D0CE5" w:rsidRPr="00A846C7">
        <w:t>aerodynamic</w:t>
      </w:r>
      <w:r w:rsidRPr="00A846C7">
        <w:t xml:space="preserve"> interactions of rolling stock with the environment (at speeds exceeding 200 km/h); – interaction of the track and rolling stock during movement (noise emission by the wheel-rail system) – or rolling noise; structure-borne noise arising from the transmission of vibration in the wheel-rail system to nearby buildings; machines and mechanisms for the performance of work on the current maintenance and repair of tracks (track machines and mechanisms); auxiliary equipment; industrial enterprises of railway transport (marshalling and freight yards, locomotive and wagon depots); traction substations; railway bridges (when rolling stock moves across them). Table contains the main list of noise sources with their noise characteristics.</w:t>
      </w:r>
    </w:p>
    <w:p w14:paraId="74492CBB" w14:textId="70AA763E" w:rsidR="00B236F2" w:rsidRPr="00A846C7" w:rsidRDefault="00B236F2" w:rsidP="00B236F2">
      <w:pPr>
        <w:pStyle w:val="aff9"/>
        <w:spacing w:before="0" w:beforeAutospacing="0" w:after="0" w:afterAutospacing="0"/>
        <w:jc w:val="both"/>
        <w:rPr>
          <w:rFonts w:ascii="Arial" w:hAnsi="Arial" w:cs="Arial"/>
        </w:rPr>
      </w:pPr>
    </w:p>
    <w:p w14:paraId="56870BF4" w14:textId="01FDC234" w:rsidR="00AA3632" w:rsidRPr="00A846C7" w:rsidRDefault="00AA3632" w:rsidP="00F47182">
      <w:pPr>
        <w:pStyle w:val="CaptionTable"/>
      </w:pPr>
      <w:bookmarkStart w:id="2465" w:name="_Toc210589579"/>
      <w:r w:rsidRPr="002B3F36">
        <w:t xml:space="preserve">Table </w:t>
      </w:r>
      <w:r w:rsidR="00EB4816">
        <w:rPr>
          <w:noProof/>
        </w:rPr>
        <w:fldChar w:fldCharType="begin"/>
      </w:r>
      <w:r w:rsidR="00EB4816">
        <w:rPr>
          <w:noProof/>
        </w:rPr>
        <w:instrText xml:space="preserve"> SEQ Table \* ARABIC </w:instrText>
      </w:r>
      <w:r w:rsidR="00EB4816">
        <w:rPr>
          <w:noProof/>
        </w:rPr>
        <w:fldChar w:fldCharType="separate"/>
      </w:r>
      <w:r w:rsidR="00A023DA">
        <w:rPr>
          <w:noProof/>
        </w:rPr>
        <w:t>35</w:t>
      </w:r>
      <w:r w:rsidR="00EB4816">
        <w:rPr>
          <w:noProof/>
        </w:rPr>
        <w:fldChar w:fldCharType="end"/>
      </w:r>
      <w:r w:rsidRPr="002B3F36">
        <w:t>: Noise Sources and Characteristics</w:t>
      </w:r>
      <w:bookmarkEnd w:id="2465"/>
    </w:p>
    <w:tbl>
      <w:tblPr>
        <w:tblStyle w:val="TableGrid2"/>
        <w:tblW w:w="8639" w:type="dxa"/>
        <w:jc w:val="center"/>
        <w:tblLook w:val="04A0" w:firstRow="1" w:lastRow="0" w:firstColumn="1" w:lastColumn="0" w:noHBand="0" w:noVBand="1"/>
      </w:tblPr>
      <w:tblGrid>
        <w:gridCol w:w="5986"/>
        <w:gridCol w:w="1519"/>
        <w:gridCol w:w="1134"/>
      </w:tblGrid>
      <w:tr w:rsidR="00B236F2" w:rsidRPr="002B3F36" w14:paraId="7D6F665F" w14:textId="77777777" w:rsidTr="00F47182">
        <w:trPr>
          <w:tblHeader/>
          <w:jc w:val="center"/>
        </w:trPr>
        <w:tc>
          <w:tcPr>
            <w:tcW w:w="5986" w:type="dxa"/>
            <w:shd w:val="clear" w:color="auto" w:fill="F2F2F2" w:themeFill="background1" w:themeFillShade="F2"/>
            <w:hideMark/>
          </w:tcPr>
          <w:p w14:paraId="3645FF37" w14:textId="77777777" w:rsidR="00B236F2" w:rsidRPr="00A846C7" w:rsidRDefault="00B236F2">
            <w:pPr>
              <w:pStyle w:val="aff9"/>
              <w:autoSpaceDE w:val="0"/>
              <w:autoSpaceDN w:val="0"/>
              <w:jc w:val="both"/>
              <w:rPr>
                <w:rFonts w:ascii="Arial" w:hAnsi="Arial" w:cs="Arial"/>
                <w:sz w:val="22"/>
                <w:szCs w:val="22"/>
              </w:rPr>
            </w:pPr>
            <w:r w:rsidRPr="00A846C7">
              <w:rPr>
                <w:rFonts w:ascii="Arial" w:hAnsi="Arial" w:cs="Arial"/>
                <w:sz w:val="22"/>
                <w:szCs w:val="22"/>
              </w:rPr>
              <w:t> </w:t>
            </w:r>
            <w:r w:rsidRPr="00A846C7">
              <w:rPr>
                <w:rFonts w:ascii="Arial" w:hAnsi="Arial" w:cs="Arial"/>
                <w:b/>
                <w:bCs/>
                <w:sz w:val="22"/>
                <w:szCs w:val="22"/>
              </w:rPr>
              <w:t xml:space="preserve">Noise Source </w:t>
            </w:r>
          </w:p>
        </w:tc>
        <w:tc>
          <w:tcPr>
            <w:tcW w:w="1519" w:type="dxa"/>
            <w:shd w:val="clear" w:color="auto" w:fill="F2F2F2" w:themeFill="background1" w:themeFillShade="F2"/>
            <w:hideMark/>
          </w:tcPr>
          <w:p w14:paraId="365CAF6E" w14:textId="69C6DA7F" w:rsidR="00B236F2" w:rsidRPr="00A846C7" w:rsidRDefault="00B236F2" w:rsidP="00F47182">
            <w:pPr>
              <w:pStyle w:val="aff9"/>
              <w:autoSpaceDE w:val="0"/>
              <w:autoSpaceDN w:val="0"/>
              <w:jc w:val="center"/>
              <w:rPr>
                <w:rFonts w:ascii="Arial" w:hAnsi="Arial" w:cs="Arial"/>
                <w:sz w:val="22"/>
                <w:szCs w:val="22"/>
              </w:rPr>
            </w:pPr>
            <w:r w:rsidRPr="00A846C7">
              <w:rPr>
                <w:rFonts w:ascii="Arial" w:hAnsi="Arial" w:cs="Arial"/>
                <w:b/>
                <w:bCs/>
                <w:sz w:val="22"/>
                <w:szCs w:val="22"/>
              </w:rPr>
              <w:t>Distance, m</w:t>
            </w:r>
          </w:p>
        </w:tc>
        <w:tc>
          <w:tcPr>
            <w:tcW w:w="1134" w:type="dxa"/>
            <w:shd w:val="clear" w:color="auto" w:fill="F2F2F2" w:themeFill="background1" w:themeFillShade="F2"/>
            <w:hideMark/>
          </w:tcPr>
          <w:p w14:paraId="1CC2EF9F"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b/>
                <w:bCs/>
                <w:sz w:val="22"/>
                <w:szCs w:val="22"/>
                <w:lang w:val="ru-RU"/>
              </w:rPr>
              <w:t>dBA м</w:t>
            </w:r>
          </w:p>
        </w:tc>
      </w:tr>
      <w:tr w:rsidR="00B236F2" w:rsidRPr="002B3F36" w14:paraId="2573CF47" w14:textId="77777777" w:rsidTr="00F47182">
        <w:trPr>
          <w:jc w:val="center"/>
        </w:trPr>
        <w:tc>
          <w:tcPr>
            <w:tcW w:w="5986" w:type="dxa"/>
            <w:hideMark/>
          </w:tcPr>
          <w:p w14:paraId="35B752E2" w14:textId="77777777" w:rsidR="00B236F2" w:rsidRPr="00A846C7" w:rsidRDefault="00B236F2">
            <w:pPr>
              <w:pStyle w:val="aff9"/>
              <w:autoSpaceDE w:val="0"/>
              <w:autoSpaceDN w:val="0"/>
              <w:jc w:val="both"/>
              <w:rPr>
                <w:rFonts w:ascii="Arial" w:hAnsi="Arial" w:cs="Arial"/>
                <w:sz w:val="22"/>
                <w:szCs w:val="22"/>
              </w:rPr>
            </w:pPr>
            <w:r w:rsidRPr="00A846C7">
              <w:rPr>
                <w:rFonts w:ascii="Arial" w:hAnsi="Arial" w:cs="Arial"/>
                <w:sz w:val="22"/>
                <w:szCs w:val="22"/>
              </w:rPr>
              <w:t>Train crossing a bridge at 60–80 km/h</w:t>
            </w:r>
          </w:p>
        </w:tc>
        <w:tc>
          <w:tcPr>
            <w:tcW w:w="1519" w:type="dxa"/>
            <w:hideMark/>
          </w:tcPr>
          <w:p w14:paraId="54F3720E"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25</w:t>
            </w:r>
          </w:p>
        </w:tc>
        <w:tc>
          <w:tcPr>
            <w:tcW w:w="1134" w:type="dxa"/>
            <w:hideMark/>
          </w:tcPr>
          <w:p w14:paraId="1A6B67A4"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80-90</w:t>
            </w:r>
          </w:p>
        </w:tc>
      </w:tr>
      <w:tr w:rsidR="00B236F2" w:rsidRPr="002B3F36" w14:paraId="72346808" w14:textId="77777777" w:rsidTr="00F47182">
        <w:trPr>
          <w:jc w:val="center"/>
        </w:trPr>
        <w:tc>
          <w:tcPr>
            <w:tcW w:w="5986" w:type="dxa"/>
            <w:hideMark/>
          </w:tcPr>
          <w:p w14:paraId="66E3A252" w14:textId="77777777" w:rsidR="00B236F2" w:rsidRPr="00A846C7" w:rsidRDefault="00B236F2">
            <w:pPr>
              <w:pStyle w:val="aff9"/>
              <w:autoSpaceDE w:val="0"/>
              <w:autoSpaceDN w:val="0"/>
              <w:jc w:val="both"/>
              <w:rPr>
                <w:rFonts w:ascii="Arial" w:hAnsi="Arial" w:cs="Arial"/>
                <w:sz w:val="22"/>
                <w:szCs w:val="22"/>
              </w:rPr>
            </w:pPr>
            <w:r w:rsidRPr="00A846C7">
              <w:rPr>
                <w:rFonts w:ascii="Arial" w:hAnsi="Arial" w:cs="Arial"/>
                <w:sz w:val="22"/>
                <w:szCs w:val="22"/>
              </w:rPr>
              <w:t>Rolling stock crossing at 150–200 km/h</w:t>
            </w:r>
          </w:p>
        </w:tc>
        <w:tc>
          <w:tcPr>
            <w:tcW w:w="1519" w:type="dxa"/>
            <w:hideMark/>
          </w:tcPr>
          <w:p w14:paraId="45D7013A"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25</w:t>
            </w:r>
          </w:p>
        </w:tc>
        <w:tc>
          <w:tcPr>
            <w:tcW w:w="1134" w:type="dxa"/>
            <w:hideMark/>
          </w:tcPr>
          <w:p w14:paraId="6456D4F3"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85-95</w:t>
            </w:r>
          </w:p>
        </w:tc>
      </w:tr>
      <w:tr w:rsidR="00B236F2" w:rsidRPr="002B3F36" w14:paraId="506DA488" w14:textId="77777777" w:rsidTr="00F47182">
        <w:trPr>
          <w:jc w:val="center"/>
        </w:trPr>
        <w:tc>
          <w:tcPr>
            <w:tcW w:w="5986" w:type="dxa"/>
            <w:hideMark/>
          </w:tcPr>
          <w:p w14:paraId="5F88017A" w14:textId="77777777" w:rsidR="00B236F2" w:rsidRPr="00A846C7" w:rsidRDefault="00B236F2">
            <w:pPr>
              <w:pStyle w:val="aff9"/>
              <w:autoSpaceDE w:val="0"/>
              <w:autoSpaceDN w:val="0"/>
              <w:jc w:val="both"/>
              <w:rPr>
                <w:rFonts w:ascii="Arial" w:hAnsi="Arial" w:cs="Arial"/>
                <w:sz w:val="22"/>
                <w:szCs w:val="22"/>
                <w:lang w:val="ru-RU"/>
              </w:rPr>
            </w:pPr>
            <w:r w:rsidRPr="00A846C7">
              <w:rPr>
                <w:rFonts w:ascii="Arial" w:hAnsi="Arial" w:cs="Arial"/>
                <w:sz w:val="22"/>
                <w:szCs w:val="22"/>
                <w:lang w:val="ru-RU"/>
              </w:rPr>
              <w:t>Electric locomotives</w:t>
            </w:r>
          </w:p>
        </w:tc>
        <w:tc>
          <w:tcPr>
            <w:tcW w:w="1519" w:type="dxa"/>
            <w:hideMark/>
          </w:tcPr>
          <w:p w14:paraId="7FAD87D9"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25</w:t>
            </w:r>
          </w:p>
        </w:tc>
        <w:tc>
          <w:tcPr>
            <w:tcW w:w="1134" w:type="dxa"/>
            <w:hideMark/>
          </w:tcPr>
          <w:p w14:paraId="3F418A91"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75-80</w:t>
            </w:r>
          </w:p>
        </w:tc>
      </w:tr>
      <w:tr w:rsidR="00B236F2" w:rsidRPr="002B3F36" w14:paraId="2A0B83E8" w14:textId="77777777" w:rsidTr="00F47182">
        <w:trPr>
          <w:jc w:val="center"/>
        </w:trPr>
        <w:tc>
          <w:tcPr>
            <w:tcW w:w="5986" w:type="dxa"/>
            <w:hideMark/>
          </w:tcPr>
          <w:p w14:paraId="194DD6AA" w14:textId="77777777" w:rsidR="00B236F2" w:rsidRPr="00A846C7" w:rsidRDefault="00B236F2">
            <w:pPr>
              <w:pStyle w:val="aff9"/>
              <w:autoSpaceDE w:val="0"/>
              <w:autoSpaceDN w:val="0"/>
              <w:jc w:val="both"/>
              <w:rPr>
                <w:rFonts w:ascii="Arial" w:hAnsi="Arial" w:cs="Arial"/>
                <w:sz w:val="22"/>
                <w:szCs w:val="22"/>
                <w:lang w:val="ru-RU"/>
              </w:rPr>
            </w:pPr>
            <w:r w:rsidRPr="00A846C7">
              <w:rPr>
                <w:rFonts w:ascii="Arial" w:hAnsi="Arial" w:cs="Arial"/>
                <w:sz w:val="22"/>
                <w:szCs w:val="22"/>
                <w:lang w:val="ru-RU"/>
              </w:rPr>
              <w:t>Diesel locomotives</w:t>
            </w:r>
          </w:p>
        </w:tc>
        <w:tc>
          <w:tcPr>
            <w:tcW w:w="1519" w:type="dxa"/>
            <w:hideMark/>
          </w:tcPr>
          <w:p w14:paraId="5A3108C1"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25</w:t>
            </w:r>
          </w:p>
        </w:tc>
        <w:tc>
          <w:tcPr>
            <w:tcW w:w="1134" w:type="dxa"/>
            <w:hideMark/>
          </w:tcPr>
          <w:p w14:paraId="2629BB84"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80-95</w:t>
            </w:r>
          </w:p>
        </w:tc>
      </w:tr>
      <w:tr w:rsidR="00B236F2" w:rsidRPr="002B3F36" w14:paraId="781F0180" w14:textId="77777777" w:rsidTr="00F47182">
        <w:trPr>
          <w:jc w:val="center"/>
        </w:trPr>
        <w:tc>
          <w:tcPr>
            <w:tcW w:w="5986" w:type="dxa"/>
            <w:hideMark/>
          </w:tcPr>
          <w:p w14:paraId="16D023AA" w14:textId="77777777" w:rsidR="00B236F2" w:rsidRPr="00A846C7" w:rsidRDefault="00B236F2">
            <w:pPr>
              <w:pStyle w:val="aff9"/>
              <w:autoSpaceDE w:val="0"/>
              <w:autoSpaceDN w:val="0"/>
              <w:jc w:val="both"/>
              <w:rPr>
                <w:rFonts w:ascii="Arial" w:hAnsi="Arial" w:cs="Arial"/>
                <w:sz w:val="22"/>
                <w:szCs w:val="22"/>
              </w:rPr>
            </w:pPr>
            <w:r w:rsidRPr="00A846C7">
              <w:rPr>
                <w:rFonts w:ascii="Arial" w:hAnsi="Arial" w:cs="Arial"/>
                <w:sz w:val="22"/>
                <w:szCs w:val="22"/>
              </w:rPr>
              <w:lastRenderedPageBreak/>
              <w:t>Vibratory track machines, ballast cleaning machines</w:t>
            </w:r>
          </w:p>
        </w:tc>
        <w:tc>
          <w:tcPr>
            <w:tcW w:w="1519" w:type="dxa"/>
            <w:hideMark/>
          </w:tcPr>
          <w:p w14:paraId="5590C4B0"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25</w:t>
            </w:r>
          </w:p>
        </w:tc>
        <w:tc>
          <w:tcPr>
            <w:tcW w:w="1134" w:type="dxa"/>
            <w:hideMark/>
          </w:tcPr>
          <w:p w14:paraId="18AB2108"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80-95</w:t>
            </w:r>
          </w:p>
        </w:tc>
      </w:tr>
      <w:tr w:rsidR="00B236F2" w:rsidRPr="002B3F36" w14:paraId="54DA920A" w14:textId="77777777" w:rsidTr="00F47182">
        <w:trPr>
          <w:jc w:val="center"/>
        </w:trPr>
        <w:tc>
          <w:tcPr>
            <w:tcW w:w="5986" w:type="dxa"/>
            <w:hideMark/>
          </w:tcPr>
          <w:p w14:paraId="58898449" w14:textId="77777777" w:rsidR="00B236F2" w:rsidRPr="00A846C7" w:rsidRDefault="00B236F2">
            <w:pPr>
              <w:pStyle w:val="aff9"/>
              <w:autoSpaceDE w:val="0"/>
              <w:autoSpaceDN w:val="0"/>
              <w:jc w:val="both"/>
              <w:rPr>
                <w:rFonts w:ascii="Arial" w:hAnsi="Arial" w:cs="Arial"/>
                <w:sz w:val="22"/>
                <w:szCs w:val="22"/>
              </w:rPr>
            </w:pPr>
            <w:r w:rsidRPr="00A846C7">
              <w:rPr>
                <w:rFonts w:ascii="Arial" w:hAnsi="Arial" w:cs="Arial"/>
                <w:sz w:val="22"/>
                <w:szCs w:val="22"/>
              </w:rPr>
              <w:t>Locomotive and electric rolling stock horns</w:t>
            </w:r>
          </w:p>
        </w:tc>
        <w:tc>
          <w:tcPr>
            <w:tcW w:w="1519" w:type="dxa"/>
            <w:hideMark/>
          </w:tcPr>
          <w:p w14:paraId="2EA4B6DE"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25</w:t>
            </w:r>
          </w:p>
        </w:tc>
        <w:tc>
          <w:tcPr>
            <w:tcW w:w="1134" w:type="dxa"/>
            <w:hideMark/>
          </w:tcPr>
          <w:p w14:paraId="00082E08"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100-110</w:t>
            </w:r>
          </w:p>
        </w:tc>
      </w:tr>
      <w:tr w:rsidR="00B236F2" w:rsidRPr="002B3F36" w14:paraId="1C5497E4" w14:textId="77777777" w:rsidTr="00F47182">
        <w:trPr>
          <w:jc w:val="center"/>
        </w:trPr>
        <w:tc>
          <w:tcPr>
            <w:tcW w:w="5986" w:type="dxa"/>
            <w:hideMark/>
          </w:tcPr>
          <w:p w14:paraId="60217F1F" w14:textId="77777777" w:rsidR="00B236F2" w:rsidRPr="00A846C7" w:rsidRDefault="00B236F2">
            <w:pPr>
              <w:pStyle w:val="aff9"/>
              <w:autoSpaceDE w:val="0"/>
              <w:autoSpaceDN w:val="0"/>
              <w:jc w:val="both"/>
              <w:rPr>
                <w:rFonts w:ascii="Arial" w:hAnsi="Arial" w:cs="Arial"/>
                <w:sz w:val="22"/>
                <w:szCs w:val="22"/>
                <w:lang w:val="ru-RU"/>
              </w:rPr>
            </w:pPr>
            <w:r w:rsidRPr="00A846C7">
              <w:rPr>
                <w:rFonts w:ascii="Arial" w:hAnsi="Arial" w:cs="Arial"/>
                <w:sz w:val="22"/>
                <w:szCs w:val="22"/>
                <w:lang w:val="ru-RU"/>
              </w:rPr>
              <w:t>Traction substations</w:t>
            </w:r>
          </w:p>
        </w:tc>
        <w:tc>
          <w:tcPr>
            <w:tcW w:w="1519" w:type="dxa"/>
            <w:hideMark/>
          </w:tcPr>
          <w:p w14:paraId="0016A88C"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30</w:t>
            </w:r>
          </w:p>
        </w:tc>
        <w:tc>
          <w:tcPr>
            <w:tcW w:w="1134" w:type="dxa"/>
            <w:hideMark/>
          </w:tcPr>
          <w:p w14:paraId="004CC600"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45-50</w:t>
            </w:r>
          </w:p>
        </w:tc>
      </w:tr>
      <w:tr w:rsidR="00B236F2" w:rsidRPr="002B3F36" w14:paraId="594750B4" w14:textId="77777777" w:rsidTr="00F47182">
        <w:trPr>
          <w:jc w:val="center"/>
        </w:trPr>
        <w:tc>
          <w:tcPr>
            <w:tcW w:w="5986" w:type="dxa"/>
            <w:hideMark/>
          </w:tcPr>
          <w:p w14:paraId="7453B533" w14:textId="77777777" w:rsidR="00B236F2" w:rsidRPr="00A846C7" w:rsidRDefault="00B236F2">
            <w:pPr>
              <w:pStyle w:val="aff9"/>
              <w:autoSpaceDE w:val="0"/>
              <w:autoSpaceDN w:val="0"/>
              <w:jc w:val="both"/>
              <w:rPr>
                <w:rFonts w:ascii="Arial" w:hAnsi="Arial" w:cs="Arial"/>
                <w:sz w:val="22"/>
                <w:szCs w:val="22"/>
                <w:lang w:val="ru-RU"/>
              </w:rPr>
            </w:pPr>
            <w:r w:rsidRPr="00A846C7">
              <w:rPr>
                <w:rFonts w:ascii="Arial" w:hAnsi="Arial" w:cs="Arial"/>
                <w:sz w:val="22"/>
                <w:szCs w:val="22"/>
                <w:lang w:val="ru-RU"/>
              </w:rPr>
              <w:t>Marshalling yards</w:t>
            </w:r>
          </w:p>
        </w:tc>
        <w:tc>
          <w:tcPr>
            <w:tcW w:w="1519" w:type="dxa"/>
            <w:hideMark/>
          </w:tcPr>
          <w:p w14:paraId="4A5B5339"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100-150</w:t>
            </w:r>
          </w:p>
        </w:tc>
        <w:tc>
          <w:tcPr>
            <w:tcW w:w="1134" w:type="dxa"/>
            <w:hideMark/>
          </w:tcPr>
          <w:p w14:paraId="2C94888D" w14:textId="77777777" w:rsidR="00B236F2" w:rsidRPr="00A846C7" w:rsidRDefault="00B236F2" w:rsidP="00F47182">
            <w:pPr>
              <w:pStyle w:val="aff9"/>
              <w:autoSpaceDE w:val="0"/>
              <w:autoSpaceDN w:val="0"/>
              <w:jc w:val="center"/>
              <w:rPr>
                <w:rFonts w:ascii="Arial" w:hAnsi="Arial" w:cs="Arial"/>
                <w:sz w:val="22"/>
                <w:szCs w:val="22"/>
                <w:lang w:val="ru-RU"/>
              </w:rPr>
            </w:pPr>
            <w:r w:rsidRPr="00A846C7">
              <w:rPr>
                <w:rFonts w:ascii="Arial" w:hAnsi="Arial" w:cs="Arial"/>
                <w:sz w:val="22"/>
                <w:szCs w:val="22"/>
                <w:lang w:val="ru-RU"/>
              </w:rPr>
              <w:t>70-85</w:t>
            </w:r>
          </w:p>
        </w:tc>
      </w:tr>
    </w:tbl>
    <w:p w14:paraId="1FEFEE2C" w14:textId="77777777" w:rsidR="00B236F2" w:rsidRPr="00A846C7" w:rsidRDefault="00B236F2" w:rsidP="00F47182">
      <w:pPr>
        <w:pStyle w:val="aff9"/>
        <w:spacing w:before="0" w:beforeAutospacing="0" w:after="0" w:afterAutospacing="0"/>
        <w:jc w:val="both"/>
        <w:rPr>
          <w:rFonts w:ascii="Arial" w:hAnsi="Arial" w:cs="Arial"/>
          <w:i/>
          <w:sz w:val="20"/>
          <w:szCs w:val="20"/>
        </w:rPr>
      </w:pPr>
      <w:r w:rsidRPr="00A846C7">
        <w:rPr>
          <w:rFonts w:ascii="Arial" w:hAnsi="Arial" w:cs="Arial"/>
          <w:i/>
          <w:sz w:val="20"/>
          <w:szCs w:val="20"/>
        </w:rPr>
        <w:t>*Institute of Vibroacoustic Systems, LLC</w:t>
      </w:r>
    </w:p>
    <w:p w14:paraId="36CC5E34" w14:textId="77777777" w:rsidR="00AA3632" w:rsidRPr="00A846C7" w:rsidRDefault="00AA3632" w:rsidP="00AA3632">
      <w:pPr>
        <w:pStyle w:val="ReportBodyPar"/>
      </w:pPr>
    </w:p>
    <w:p w14:paraId="5290CD39" w14:textId="04DEE3E0" w:rsidR="00B236F2" w:rsidRPr="00A846C7" w:rsidRDefault="00B236F2" w:rsidP="00F47182">
      <w:pPr>
        <w:pStyle w:val="ReportBodyPar"/>
      </w:pPr>
      <w:r w:rsidRPr="00A846C7">
        <w:t xml:space="preserve">The </w:t>
      </w:r>
      <w:bookmarkStart w:id="2466" w:name="_Hlk210317355"/>
      <w:r w:rsidRPr="00A846C7">
        <w:t xml:space="preserve">noise reduction for a level track </w:t>
      </w:r>
      <w:bookmarkEnd w:id="2466"/>
      <w:r w:rsidRPr="00A846C7">
        <w:t xml:space="preserve">with a different distance for high-speed travel is shown in Table </w:t>
      </w:r>
      <w:r w:rsidR="00AA3632" w:rsidRPr="00A846C7">
        <w:t>below.</w:t>
      </w:r>
    </w:p>
    <w:p w14:paraId="4B5FAAC6" w14:textId="77777777" w:rsidR="00DF0E21" w:rsidRPr="002B3F36" w:rsidRDefault="00DF0E21" w:rsidP="00DF0E21">
      <w:pPr>
        <w:pStyle w:val="CaptionTable"/>
      </w:pPr>
    </w:p>
    <w:p w14:paraId="181DE93D" w14:textId="732A2CA4" w:rsidR="00B236F2" w:rsidRPr="00A846C7" w:rsidRDefault="00DF0E21" w:rsidP="00F47182">
      <w:pPr>
        <w:pStyle w:val="CaptionTable"/>
      </w:pPr>
      <w:bookmarkStart w:id="2467" w:name="_Toc210589580"/>
      <w:r w:rsidRPr="002B3F36">
        <w:t xml:space="preserve">Table </w:t>
      </w:r>
      <w:r w:rsidR="00EB4816">
        <w:rPr>
          <w:noProof/>
        </w:rPr>
        <w:fldChar w:fldCharType="begin"/>
      </w:r>
      <w:r w:rsidR="00EB4816">
        <w:rPr>
          <w:noProof/>
        </w:rPr>
        <w:instrText xml:space="preserve"> SEQ Table \* ARABIC </w:instrText>
      </w:r>
      <w:r w:rsidR="00EB4816">
        <w:rPr>
          <w:noProof/>
        </w:rPr>
        <w:fldChar w:fldCharType="separate"/>
      </w:r>
      <w:r w:rsidR="00A023DA">
        <w:rPr>
          <w:noProof/>
        </w:rPr>
        <w:t>36</w:t>
      </w:r>
      <w:r w:rsidR="00EB4816">
        <w:rPr>
          <w:noProof/>
        </w:rPr>
        <w:fldChar w:fldCharType="end"/>
      </w:r>
      <w:r w:rsidRPr="002B3F36">
        <w:t>:</w:t>
      </w:r>
      <w:r w:rsidR="00CD31FE" w:rsidRPr="002B3F36">
        <w:t xml:space="preserve"> Noise Reduction for a Level Track</w:t>
      </w:r>
      <w:bookmarkEnd w:id="2467"/>
    </w:p>
    <w:tbl>
      <w:tblPr>
        <w:tblStyle w:val="TableGrid2"/>
        <w:tblW w:w="9577" w:type="dxa"/>
        <w:jc w:val="center"/>
        <w:tblLook w:val="04A0" w:firstRow="1" w:lastRow="0" w:firstColumn="1" w:lastColumn="0" w:noHBand="0" w:noVBand="1"/>
      </w:tblPr>
      <w:tblGrid>
        <w:gridCol w:w="1156"/>
        <w:gridCol w:w="1416"/>
        <w:gridCol w:w="643"/>
        <w:gridCol w:w="650"/>
        <w:gridCol w:w="585"/>
        <w:gridCol w:w="585"/>
        <w:gridCol w:w="585"/>
        <w:gridCol w:w="701"/>
        <w:gridCol w:w="701"/>
        <w:gridCol w:w="701"/>
        <w:gridCol w:w="661"/>
        <w:gridCol w:w="8"/>
        <w:gridCol w:w="1177"/>
        <w:gridCol w:w="8"/>
      </w:tblGrid>
      <w:tr w:rsidR="00B236F2" w:rsidRPr="002B3F36" w14:paraId="5F2DA504" w14:textId="77777777" w:rsidTr="00CA6BB4">
        <w:trPr>
          <w:tblHeader/>
          <w:jc w:val="center"/>
        </w:trPr>
        <w:tc>
          <w:tcPr>
            <w:tcW w:w="1156" w:type="dxa"/>
            <w:vMerge w:val="restart"/>
            <w:shd w:val="clear" w:color="auto" w:fill="F2F2F2" w:themeFill="background1" w:themeFillShade="F2"/>
            <w:vAlign w:val="center"/>
            <w:hideMark/>
          </w:tcPr>
          <w:p w14:paraId="4E89815B"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Distance, m</w:t>
            </w:r>
          </w:p>
        </w:tc>
        <w:tc>
          <w:tcPr>
            <w:tcW w:w="1416" w:type="dxa"/>
            <w:vMerge w:val="restart"/>
            <w:shd w:val="clear" w:color="auto" w:fill="F2F2F2" w:themeFill="background1" w:themeFillShade="F2"/>
            <w:vAlign w:val="center"/>
            <w:hideMark/>
          </w:tcPr>
          <w:p w14:paraId="0C3462BE"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Train type</w:t>
            </w:r>
          </w:p>
        </w:tc>
        <w:tc>
          <w:tcPr>
            <w:tcW w:w="5820" w:type="dxa"/>
            <w:gridSpan w:val="10"/>
            <w:shd w:val="clear" w:color="auto" w:fill="F2F2F2" w:themeFill="background1" w:themeFillShade="F2"/>
            <w:vAlign w:val="center"/>
            <w:hideMark/>
          </w:tcPr>
          <w:p w14:paraId="50BCCEF7" w14:textId="77777777" w:rsidR="00B236F2" w:rsidRPr="00A846C7" w:rsidRDefault="00B236F2" w:rsidP="00F47182">
            <w:pPr>
              <w:jc w:val="center"/>
              <w:textAlignment w:val="baseline"/>
              <w:rPr>
                <w:rFonts w:ascii="Arial" w:eastAsia="Times New Roman" w:hAnsi="Arial" w:cs="Arial"/>
                <w:color w:val="333333"/>
                <w:sz w:val="20"/>
                <w:szCs w:val="20"/>
                <w:lang w:eastAsia="ru-RU"/>
              </w:rPr>
            </w:pPr>
            <w:r w:rsidRPr="00A846C7">
              <w:rPr>
                <w:rFonts w:ascii="Arial" w:eastAsia="Times New Roman" w:hAnsi="Arial" w:cs="Arial"/>
                <w:b/>
                <w:bCs/>
                <w:color w:val="333333"/>
                <w:sz w:val="20"/>
                <w:szCs w:val="20"/>
                <w:bdr w:val="none" w:sz="0" w:space="0" w:color="auto" w:frame="1"/>
                <w:lang w:val="en" w:eastAsia="ru-RU"/>
              </w:rPr>
              <w:t>SPL reduction, dB, in bands with geometric mean frequencies in Hz</w:t>
            </w:r>
          </w:p>
        </w:tc>
        <w:tc>
          <w:tcPr>
            <w:tcW w:w="1185" w:type="dxa"/>
            <w:gridSpan w:val="2"/>
            <w:shd w:val="clear" w:color="auto" w:fill="F2F2F2" w:themeFill="background1" w:themeFillShade="F2"/>
            <w:vAlign w:val="center"/>
            <w:hideMark/>
          </w:tcPr>
          <w:p w14:paraId="765CBF8E" w14:textId="77777777" w:rsidR="00B236F2" w:rsidRPr="00A846C7" w:rsidRDefault="00B236F2" w:rsidP="00F47182">
            <w:pPr>
              <w:jc w:val="center"/>
              <w:textAlignment w:val="baseline"/>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SPL reduction, dBA</w:t>
            </w:r>
          </w:p>
        </w:tc>
      </w:tr>
      <w:tr w:rsidR="00B236F2" w:rsidRPr="002B3F36" w14:paraId="62FA90AE" w14:textId="77777777" w:rsidTr="00CA6BB4">
        <w:trPr>
          <w:gridAfter w:val="1"/>
          <w:wAfter w:w="8" w:type="dxa"/>
          <w:tblHeader/>
          <w:jc w:val="center"/>
        </w:trPr>
        <w:tc>
          <w:tcPr>
            <w:tcW w:w="1156" w:type="dxa"/>
            <w:vMerge/>
            <w:vAlign w:val="center"/>
            <w:hideMark/>
          </w:tcPr>
          <w:p w14:paraId="75208329" w14:textId="77777777" w:rsidR="00B236F2" w:rsidRPr="00A846C7" w:rsidRDefault="00B236F2" w:rsidP="00F47182">
            <w:pPr>
              <w:jc w:val="center"/>
              <w:rPr>
                <w:rFonts w:ascii="Arial" w:eastAsia="Times New Roman" w:hAnsi="Arial" w:cs="Arial"/>
                <w:color w:val="333333"/>
                <w:sz w:val="20"/>
                <w:szCs w:val="20"/>
                <w:lang w:val="ru-RU" w:eastAsia="ru-RU"/>
              </w:rPr>
            </w:pPr>
          </w:p>
        </w:tc>
        <w:tc>
          <w:tcPr>
            <w:tcW w:w="1416" w:type="dxa"/>
            <w:vMerge/>
            <w:shd w:val="clear" w:color="auto" w:fill="F2F2F2" w:themeFill="background1" w:themeFillShade="F2"/>
            <w:vAlign w:val="center"/>
            <w:hideMark/>
          </w:tcPr>
          <w:p w14:paraId="7B54ADA2" w14:textId="77777777" w:rsidR="00B236F2" w:rsidRPr="00A846C7" w:rsidRDefault="00B236F2" w:rsidP="00F47182">
            <w:pPr>
              <w:jc w:val="center"/>
              <w:rPr>
                <w:rFonts w:ascii="Arial" w:eastAsia="Times New Roman" w:hAnsi="Arial" w:cs="Arial"/>
                <w:color w:val="333333"/>
                <w:sz w:val="20"/>
                <w:szCs w:val="20"/>
                <w:lang w:val="ru-RU" w:eastAsia="ru-RU"/>
              </w:rPr>
            </w:pPr>
          </w:p>
        </w:tc>
        <w:tc>
          <w:tcPr>
            <w:tcW w:w="643" w:type="dxa"/>
            <w:shd w:val="clear" w:color="auto" w:fill="F2F2F2" w:themeFill="background1" w:themeFillShade="F2"/>
            <w:vAlign w:val="center"/>
            <w:hideMark/>
          </w:tcPr>
          <w:p w14:paraId="7A9615DC"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31,5</w:t>
            </w:r>
          </w:p>
        </w:tc>
        <w:tc>
          <w:tcPr>
            <w:tcW w:w="650" w:type="dxa"/>
            <w:shd w:val="clear" w:color="auto" w:fill="F2F2F2" w:themeFill="background1" w:themeFillShade="F2"/>
            <w:vAlign w:val="center"/>
            <w:hideMark/>
          </w:tcPr>
          <w:p w14:paraId="6AD19C6B"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63</w:t>
            </w:r>
          </w:p>
        </w:tc>
        <w:tc>
          <w:tcPr>
            <w:tcW w:w="585" w:type="dxa"/>
            <w:shd w:val="clear" w:color="auto" w:fill="F2F2F2" w:themeFill="background1" w:themeFillShade="F2"/>
            <w:vAlign w:val="center"/>
            <w:hideMark/>
          </w:tcPr>
          <w:p w14:paraId="066AACAF"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125</w:t>
            </w:r>
          </w:p>
        </w:tc>
        <w:tc>
          <w:tcPr>
            <w:tcW w:w="585" w:type="dxa"/>
            <w:shd w:val="clear" w:color="auto" w:fill="F2F2F2" w:themeFill="background1" w:themeFillShade="F2"/>
            <w:vAlign w:val="center"/>
            <w:hideMark/>
          </w:tcPr>
          <w:p w14:paraId="456F7A22"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250</w:t>
            </w:r>
          </w:p>
        </w:tc>
        <w:tc>
          <w:tcPr>
            <w:tcW w:w="585" w:type="dxa"/>
            <w:shd w:val="clear" w:color="auto" w:fill="F2F2F2" w:themeFill="background1" w:themeFillShade="F2"/>
            <w:vAlign w:val="center"/>
            <w:hideMark/>
          </w:tcPr>
          <w:p w14:paraId="60AD4BE8"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500</w:t>
            </w:r>
          </w:p>
        </w:tc>
        <w:tc>
          <w:tcPr>
            <w:tcW w:w="701" w:type="dxa"/>
            <w:shd w:val="clear" w:color="auto" w:fill="F2F2F2" w:themeFill="background1" w:themeFillShade="F2"/>
            <w:vAlign w:val="center"/>
            <w:hideMark/>
          </w:tcPr>
          <w:p w14:paraId="7345F026"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1000</w:t>
            </w:r>
          </w:p>
        </w:tc>
        <w:tc>
          <w:tcPr>
            <w:tcW w:w="701" w:type="dxa"/>
            <w:shd w:val="clear" w:color="auto" w:fill="F2F2F2" w:themeFill="background1" w:themeFillShade="F2"/>
            <w:vAlign w:val="center"/>
            <w:hideMark/>
          </w:tcPr>
          <w:p w14:paraId="5D1ADF15"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2000</w:t>
            </w:r>
          </w:p>
        </w:tc>
        <w:tc>
          <w:tcPr>
            <w:tcW w:w="701" w:type="dxa"/>
            <w:shd w:val="clear" w:color="auto" w:fill="F2F2F2" w:themeFill="background1" w:themeFillShade="F2"/>
            <w:vAlign w:val="center"/>
            <w:hideMark/>
          </w:tcPr>
          <w:p w14:paraId="6AED1D71"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4000</w:t>
            </w:r>
          </w:p>
        </w:tc>
        <w:tc>
          <w:tcPr>
            <w:tcW w:w="661" w:type="dxa"/>
            <w:shd w:val="clear" w:color="auto" w:fill="F2F2F2" w:themeFill="background1" w:themeFillShade="F2"/>
            <w:vAlign w:val="center"/>
            <w:hideMark/>
          </w:tcPr>
          <w:p w14:paraId="258F58B6"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b/>
                <w:bCs/>
                <w:color w:val="333333"/>
                <w:sz w:val="20"/>
                <w:szCs w:val="20"/>
                <w:bdr w:val="none" w:sz="0" w:space="0" w:color="auto" w:frame="1"/>
                <w:lang w:val="ru-RU" w:eastAsia="ru-RU"/>
              </w:rPr>
              <w:t>8000</w:t>
            </w:r>
          </w:p>
        </w:tc>
        <w:tc>
          <w:tcPr>
            <w:tcW w:w="1185" w:type="dxa"/>
            <w:gridSpan w:val="2"/>
            <w:vAlign w:val="center"/>
            <w:hideMark/>
          </w:tcPr>
          <w:p w14:paraId="074AFDE3" w14:textId="77777777" w:rsidR="00B236F2" w:rsidRPr="00A846C7" w:rsidRDefault="00B236F2" w:rsidP="00F47182">
            <w:pPr>
              <w:jc w:val="center"/>
              <w:rPr>
                <w:rFonts w:ascii="Arial" w:eastAsia="Times New Roman" w:hAnsi="Arial" w:cs="Arial"/>
                <w:color w:val="333333"/>
                <w:sz w:val="20"/>
                <w:szCs w:val="20"/>
                <w:lang w:val="ru-RU" w:eastAsia="ru-RU"/>
              </w:rPr>
            </w:pPr>
          </w:p>
        </w:tc>
      </w:tr>
      <w:tr w:rsidR="00B236F2" w:rsidRPr="002B3F36" w14:paraId="5C84FB22" w14:textId="77777777" w:rsidTr="00F47182">
        <w:trPr>
          <w:gridAfter w:val="1"/>
          <w:wAfter w:w="8" w:type="dxa"/>
          <w:jc w:val="center"/>
        </w:trPr>
        <w:tc>
          <w:tcPr>
            <w:tcW w:w="1156" w:type="dxa"/>
            <w:vMerge w:val="restart"/>
            <w:shd w:val="clear" w:color="auto" w:fill="FFFFFF"/>
            <w:hideMark/>
          </w:tcPr>
          <w:p w14:paraId="418D4B49"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25</w:t>
            </w:r>
          </w:p>
        </w:tc>
        <w:tc>
          <w:tcPr>
            <w:tcW w:w="1416" w:type="dxa"/>
            <w:shd w:val="clear" w:color="auto" w:fill="FFFFFF"/>
            <w:hideMark/>
          </w:tcPr>
          <w:p w14:paraId="648E14D2"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Electric train</w:t>
            </w:r>
          </w:p>
        </w:tc>
        <w:tc>
          <w:tcPr>
            <w:tcW w:w="643" w:type="dxa"/>
            <w:shd w:val="clear" w:color="auto" w:fill="FFFFFF"/>
            <w:hideMark/>
          </w:tcPr>
          <w:p w14:paraId="39C1AC4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-1,5</w:t>
            </w:r>
          </w:p>
        </w:tc>
        <w:tc>
          <w:tcPr>
            <w:tcW w:w="650" w:type="dxa"/>
            <w:shd w:val="clear" w:color="auto" w:fill="FFFFFF"/>
            <w:hideMark/>
          </w:tcPr>
          <w:p w14:paraId="55FC1B61"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-2,0</w:t>
            </w:r>
          </w:p>
        </w:tc>
        <w:tc>
          <w:tcPr>
            <w:tcW w:w="585" w:type="dxa"/>
            <w:shd w:val="clear" w:color="auto" w:fill="FFFFFF"/>
            <w:hideMark/>
          </w:tcPr>
          <w:p w14:paraId="43B3396C"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585" w:type="dxa"/>
            <w:shd w:val="clear" w:color="auto" w:fill="FFFFFF"/>
            <w:hideMark/>
          </w:tcPr>
          <w:p w14:paraId="4DAEAE4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585" w:type="dxa"/>
            <w:shd w:val="clear" w:color="auto" w:fill="FFFFFF"/>
            <w:hideMark/>
          </w:tcPr>
          <w:p w14:paraId="41602BD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217F89D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701" w:type="dxa"/>
            <w:shd w:val="clear" w:color="auto" w:fill="FFFFFF"/>
            <w:hideMark/>
          </w:tcPr>
          <w:p w14:paraId="34D8AF30"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701" w:type="dxa"/>
            <w:shd w:val="clear" w:color="auto" w:fill="FFFFFF"/>
            <w:hideMark/>
          </w:tcPr>
          <w:p w14:paraId="77C59E59"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661" w:type="dxa"/>
            <w:shd w:val="clear" w:color="auto" w:fill="FFFFFF"/>
            <w:hideMark/>
          </w:tcPr>
          <w:p w14:paraId="7358BB55"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1185" w:type="dxa"/>
            <w:gridSpan w:val="2"/>
            <w:shd w:val="clear" w:color="auto" w:fill="FFFFFF"/>
            <w:hideMark/>
          </w:tcPr>
          <w:p w14:paraId="2E17A796"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w:t>
            </w:r>
          </w:p>
        </w:tc>
      </w:tr>
      <w:tr w:rsidR="00B236F2" w:rsidRPr="002B3F36" w14:paraId="2B42D7AC" w14:textId="77777777" w:rsidTr="00F47182">
        <w:trPr>
          <w:gridAfter w:val="1"/>
          <w:wAfter w:w="8" w:type="dxa"/>
          <w:jc w:val="center"/>
        </w:trPr>
        <w:tc>
          <w:tcPr>
            <w:tcW w:w="1156" w:type="dxa"/>
            <w:vMerge/>
            <w:shd w:val="clear" w:color="auto" w:fill="FFFFFF"/>
            <w:hideMark/>
          </w:tcPr>
          <w:p w14:paraId="74A338CA" w14:textId="77777777" w:rsidR="00B236F2" w:rsidRPr="00A846C7" w:rsidRDefault="00B236F2">
            <w:pPr>
              <w:rPr>
                <w:rFonts w:ascii="Arial" w:eastAsia="Times New Roman" w:hAnsi="Arial" w:cs="Arial"/>
                <w:color w:val="333333"/>
                <w:sz w:val="20"/>
                <w:szCs w:val="20"/>
                <w:lang w:val="ru-RU" w:eastAsia="ru-RU"/>
              </w:rPr>
            </w:pPr>
          </w:p>
        </w:tc>
        <w:tc>
          <w:tcPr>
            <w:tcW w:w="1416" w:type="dxa"/>
            <w:shd w:val="clear" w:color="auto" w:fill="FFFFFF"/>
            <w:hideMark/>
          </w:tcPr>
          <w:p w14:paraId="34C69DBC"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Passenger</w:t>
            </w:r>
          </w:p>
        </w:tc>
        <w:tc>
          <w:tcPr>
            <w:tcW w:w="643" w:type="dxa"/>
            <w:shd w:val="clear" w:color="auto" w:fill="FFFFFF"/>
            <w:hideMark/>
          </w:tcPr>
          <w:p w14:paraId="429E14F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-2,0</w:t>
            </w:r>
          </w:p>
        </w:tc>
        <w:tc>
          <w:tcPr>
            <w:tcW w:w="650" w:type="dxa"/>
            <w:shd w:val="clear" w:color="auto" w:fill="FFFFFF"/>
            <w:hideMark/>
          </w:tcPr>
          <w:p w14:paraId="4597B94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-3,5</w:t>
            </w:r>
          </w:p>
        </w:tc>
        <w:tc>
          <w:tcPr>
            <w:tcW w:w="585" w:type="dxa"/>
            <w:shd w:val="clear" w:color="auto" w:fill="FFFFFF"/>
            <w:hideMark/>
          </w:tcPr>
          <w:p w14:paraId="68AC89D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585" w:type="dxa"/>
            <w:shd w:val="clear" w:color="auto" w:fill="FFFFFF"/>
            <w:hideMark/>
          </w:tcPr>
          <w:p w14:paraId="3E304F1A"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585" w:type="dxa"/>
            <w:shd w:val="clear" w:color="auto" w:fill="FFFFFF"/>
            <w:hideMark/>
          </w:tcPr>
          <w:p w14:paraId="5E575E0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701" w:type="dxa"/>
            <w:shd w:val="clear" w:color="auto" w:fill="FFFFFF"/>
            <w:hideMark/>
          </w:tcPr>
          <w:p w14:paraId="58C00F1C"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5B107EB6"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22D9E848"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661" w:type="dxa"/>
            <w:shd w:val="clear" w:color="auto" w:fill="FFFFFF"/>
            <w:hideMark/>
          </w:tcPr>
          <w:p w14:paraId="1CB0D5A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-7,0</w:t>
            </w:r>
          </w:p>
        </w:tc>
        <w:tc>
          <w:tcPr>
            <w:tcW w:w="1185" w:type="dxa"/>
            <w:gridSpan w:val="2"/>
            <w:shd w:val="clear" w:color="auto" w:fill="FFFFFF"/>
            <w:hideMark/>
          </w:tcPr>
          <w:p w14:paraId="4701CDD9"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w:t>
            </w:r>
          </w:p>
        </w:tc>
      </w:tr>
      <w:tr w:rsidR="00B236F2" w:rsidRPr="002B3F36" w14:paraId="2D06D12E" w14:textId="77777777" w:rsidTr="00F47182">
        <w:trPr>
          <w:gridAfter w:val="1"/>
          <w:wAfter w:w="8" w:type="dxa"/>
          <w:jc w:val="center"/>
        </w:trPr>
        <w:tc>
          <w:tcPr>
            <w:tcW w:w="1156" w:type="dxa"/>
            <w:vMerge/>
            <w:shd w:val="clear" w:color="auto" w:fill="FFFFFF"/>
            <w:hideMark/>
          </w:tcPr>
          <w:p w14:paraId="3E58B328" w14:textId="77777777" w:rsidR="00B236F2" w:rsidRPr="00A846C7" w:rsidRDefault="00B236F2">
            <w:pPr>
              <w:rPr>
                <w:rFonts w:ascii="Arial" w:eastAsia="Times New Roman" w:hAnsi="Arial" w:cs="Arial"/>
                <w:color w:val="333333"/>
                <w:sz w:val="20"/>
                <w:szCs w:val="20"/>
                <w:lang w:val="ru-RU" w:eastAsia="ru-RU"/>
              </w:rPr>
            </w:pPr>
          </w:p>
        </w:tc>
        <w:tc>
          <w:tcPr>
            <w:tcW w:w="1416" w:type="dxa"/>
            <w:shd w:val="clear" w:color="auto" w:fill="FFFFFF"/>
            <w:hideMark/>
          </w:tcPr>
          <w:p w14:paraId="6BDDDEE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High-speed</w:t>
            </w:r>
          </w:p>
        </w:tc>
        <w:tc>
          <w:tcPr>
            <w:tcW w:w="643" w:type="dxa"/>
            <w:shd w:val="clear" w:color="auto" w:fill="FFFFFF"/>
            <w:hideMark/>
          </w:tcPr>
          <w:p w14:paraId="39BDD1F6"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-3,0</w:t>
            </w:r>
          </w:p>
        </w:tc>
        <w:tc>
          <w:tcPr>
            <w:tcW w:w="650" w:type="dxa"/>
            <w:shd w:val="clear" w:color="auto" w:fill="FFFFFF"/>
            <w:hideMark/>
          </w:tcPr>
          <w:p w14:paraId="422C961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585" w:type="dxa"/>
            <w:shd w:val="clear" w:color="auto" w:fill="FFFFFF"/>
            <w:hideMark/>
          </w:tcPr>
          <w:p w14:paraId="4387EF3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585" w:type="dxa"/>
            <w:shd w:val="clear" w:color="auto" w:fill="FFFFFF"/>
            <w:hideMark/>
          </w:tcPr>
          <w:p w14:paraId="50F1D80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-6,5</w:t>
            </w:r>
          </w:p>
        </w:tc>
        <w:tc>
          <w:tcPr>
            <w:tcW w:w="585" w:type="dxa"/>
            <w:shd w:val="clear" w:color="auto" w:fill="FFFFFF"/>
            <w:hideMark/>
          </w:tcPr>
          <w:p w14:paraId="68F9F28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701" w:type="dxa"/>
            <w:shd w:val="clear" w:color="auto" w:fill="FFFFFF"/>
            <w:hideMark/>
          </w:tcPr>
          <w:p w14:paraId="57D98798"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-4,5</w:t>
            </w:r>
          </w:p>
        </w:tc>
        <w:tc>
          <w:tcPr>
            <w:tcW w:w="701" w:type="dxa"/>
            <w:shd w:val="clear" w:color="auto" w:fill="FFFFFF"/>
            <w:hideMark/>
          </w:tcPr>
          <w:p w14:paraId="4F33C3A9"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0FE6046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-6,5</w:t>
            </w:r>
          </w:p>
        </w:tc>
        <w:tc>
          <w:tcPr>
            <w:tcW w:w="661" w:type="dxa"/>
            <w:shd w:val="clear" w:color="auto" w:fill="FFFFFF"/>
            <w:hideMark/>
          </w:tcPr>
          <w:p w14:paraId="06430337"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-7,5</w:t>
            </w:r>
          </w:p>
        </w:tc>
        <w:tc>
          <w:tcPr>
            <w:tcW w:w="1185" w:type="dxa"/>
            <w:gridSpan w:val="2"/>
            <w:shd w:val="clear" w:color="auto" w:fill="FFFFFF"/>
            <w:hideMark/>
          </w:tcPr>
          <w:p w14:paraId="53DEFFC3"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w:t>
            </w:r>
          </w:p>
        </w:tc>
      </w:tr>
      <w:tr w:rsidR="00B236F2" w:rsidRPr="002B3F36" w14:paraId="7C01D746" w14:textId="77777777" w:rsidTr="00F47182">
        <w:trPr>
          <w:gridAfter w:val="1"/>
          <w:wAfter w:w="8" w:type="dxa"/>
          <w:jc w:val="center"/>
        </w:trPr>
        <w:tc>
          <w:tcPr>
            <w:tcW w:w="1156" w:type="dxa"/>
            <w:vMerge/>
            <w:shd w:val="clear" w:color="auto" w:fill="FFFFFF"/>
            <w:hideMark/>
          </w:tcPr>
          <w:p w14:paraId="7993966B" w14:textId="77777777" w:rsidR="00B236F2" w:rsidRPr="00A846C7" w:rsidRDefault="00B236F2">
            <w:pPr>
              <w:rPr>
                <w:rFonts w:ascii="Arial" w:eastAsia="Times New Roman" w:hAnsi="Arial" w:cs="Arial"/>
                <w:color w:val="333333"/>
                <w:sz w:val="20"/>
                <w:szCs w:val="20"/>
                <w:lang w:val="ru-RU" w:eastAsia="ru-RU"/>
              </w:rPr>
            </w:pPr>
          </w:p>
        </w:tc>
        <w:tc>
          <w:tcPr>
            <w:tcW w:w="1416" w:type="dxa"/>
            <w:shd w:val="clear" w:color="auto" w:fill="FFFFFF"/>
            <w:hideMark/>
          </w:tcPr>
          <w:p w14:paraId="2DFE765E"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Freight</w:t>
            </w:r>
          </w:p>
        </w:tc>
        <w:tc>
          <w:tcPr>
            <w:tcW w:w="643" w:type="dxa"/>
            <w:shd w:val="clear" w:color="auto" w:fill="FFFFFF"/>
            <w:hideMark/>
          </w:tcPr>
          <w:p w14:paraId="160FB26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-2,5</w:t>
            </w:r>
          </w:p>
        </w:tc>
        <w:tc>
          <w:tcPr>
            <w:tcW w:w="650" w:type="dxa"/>
            <w:shd w:val="clear" w:color="auto" w:fill="FFFFFF"/>
            <w:hideMark/>
          </w:tcPr>
          <w:p w14:paraId="733C642C"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-2,5</w:t>
            </w:r>
          </w:p>
        </w:tc>
        <w:tc>
          <w:tcPr>
            <w:tcW w:w="585" w:type="dxa"/>
            <w:shd w:val="clear" w:color="auto" w:fill="FFFFFF"/>
            <w:hideMark/>
          </w:tcPr>
          <w:p w14:paraId="6EDBD9C0"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-4,5</w:t>
            </w:r>
          </w:p>
        </w:tc>
        <w:tc>
          <w:tcPr>
            <w:tcW w:w="585" w:type="dxa"/>
            <w:shd w:val="clear" w:color="auto" w:fill="FFFFFF"/>
            <w:hideMark/>
          </w:tcPr>
          <w:p w14:paraId="033D9F01"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585" w:type="dxa"/>
            <w:shd w:val="clear" w:color="auto" w:fill="FFFFFF"/>
            <w:hideMark/>
          </w:tcPr>
          <w:p w14:paraId="6E098D67"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-3,5</w:t>
            </w:r>
          </w:p>
        </w:tc>
        <w:tc>
          <w:tcPr>
            <w:tcW w:w="701" w:type="dxa"/>
            <w:shd w:val="clear" w:color="auto" w:fill="FFFFFF"/>
            <w:hideMark/>
          </w:tcPr>
          <w:p w14:paraId="7F82906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-3,5</w:t>
            </w:r>
          </w:p>
        </w:tc>
        <w:tc>
          <w:tcPr>
            <w:tcW w:w="701" w:type="dxa"/>
            <w:shd w:val="clear" w:color="auto" w:fill="FFFFFF"/>
            <w:hideMark/>
          </w:tcPr>
          <w:p w14:paraId="4EEB4E48"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701" w:type="dxa"/>
            <w:shd w:val="clear" w:color="auto" w:fill="FFFFFF"/>
            <w:hideMark/>
          </w:tcPr>
          <w:p w14:paraId="34271246"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661" w:type="dxa"/>
            <w:shd w:val="clear" w:color="auto" w:fill="FFFFFF"/>
            <w:hideMark/>
          </w:tcPr>
          <w:p w14:paraId="59F4D368"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1185" w:type="dxa"/>
            <w:gridSpan w:val="2"/>
            <w:shd w:val="clear" w:color="auto" w:fill="FFFFFF"/>
            <w:hideMark/>
          </w:tcPr>
          <w:p w14:paraId="205F1DAA"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w:t>
            </w:r>
          </w:p>
        </w:tc>
      </w:tr>
      <w:tr w:rsidR="00B236F2" w:rsidRPr="002B3F36" w14:paraId="2EFDFD9C" w14:textId="77777777" w:rsidTr="00F47182">
        <w:trPr>
          <w:gridAfter w:val="1"/>
          <w:wAfter w:w="8" w:type="dxa"/>
          <w:jc w:val="center"/>
        </w:trPr>
        <w:tc>
          <w:tcPr>
            <w:tcW w:w="1156" w:type="dxa"/>
            <w:vMerge w:val="restart"/>
            <w:shd w:val="clear" w:color="auto" w:fill="FFFFFF"/>
            <w:hideMark/>
          </w:tcPr>
          <w:p w14:paraId="6DAC946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1416" w:type="dxa"/>
            <w:shd w:val="clear" w:color="auto" w:fill="FFFFFF"/>
            <w:hideMark/>
          </w:tcPr>
          <w:p w14:paraId="10C757D8" w14:textId="77777777" w:rsidR="00B236F2" w:rsidRPr="00A846C7" w:rsidRDefault="00B236F2">
            <w:pPr>
              <w:rPr>
                <w:rFonts w:ascii="Arial" w:eastAsia="Times New Roman" w:hAnsi="Arial" w:cs="Arial"/>
                <w:color w:val="333333"/>
                <w:sz w:val="20"/>
                <w:szCs w:val="20"/>
                <w:lang w:val="ru-RU" w:eastAsia="ru-RU"/>
              </w:rPr>
            </w:pPr>
            <w:r w:rsidRPr="00A846C7">
              <w:rPr>
                <w:rFonts w:ascii="Arial" w:hAnsi="Arial" w:cs="Arial"/>
                <w:sz w:val="20"/>
                <w:szCs w:val="20"/>
              </w:rPr>
              <w:t>Electric train</w:t>
            </w:r>
          </w:p>
        </w:tc>
        <w:tc>
          <w:tcPr>
            <w:tcW w:w="643" w:type="dxa"/>
            <w:shd w:val="clear" w:color="auto" w:fill="FFFFFF"/>
            <w:hideMark/>
          </w:tcPr>
          <w:p w14:paraId="4A81B42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-2,0</w:t>
            </w:r>
          </w:p>
        </w:tc>
        <w:tc>
          <w:tcPr>
            <w:tcW w:w="650" w:type="dxa"/>
            <w:shd w:val="clear" w:color="auto" w:fill="FFFFFF"/>
            <w:hideMark/>
          </w:tcPr>
          <w:p w14:paraId="6CE8852B"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-3,0</w:t>
            </w:r>
          </w:p>
        </w:tc>
        <w:tc>
          <w:tcPr>
            <w:tcW w:w="585" w:type="dxa"/>
            <w:shd w:val="clear" w:color="auto" w:fill="FFFFFF"/>
            <w:hideMark/>
          </w:tcPr>
          <w:p w14:paraId="2F49B66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585" w:type="dxa"/>
            <w:shd w:val="clear" w:color="auto" w:fill="FFFFFF"/>
            <w:hideMark/>
          </w:tcPr>
          <w:p w14:paraId="39E6BFDE"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-7,0</w:t>
            </w:r>
          </w:p>
        </w:tc>
        <w:tc>
          <w:tcPr>
            <w:tcW w:w="585" w:type="dxa"/>
            <w:shd w:val="clear" w:color="auto" w:fill="FFFFFF"/>
            <w:hideMark/>
          </w:tcPr>
          <w:p w14:paraId="645B818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701" w:type="dxa"/>
            <w:shd w:val="clear" w:color="auto" w:fill="FFFFFF"/>
            <w:hideMark/>
          </w:tcPr>
          <w:p w14:paraId="258649F4"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701" w:type="dxa"/>
            <w:shd w:val="clear" w:color="auto" w:fill="FFFFFF"/>
            <w:hideMark/>
          </w:tcPr>
          <w:p w14:paraId="2BCFEAE9"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6273BB3E"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661" w:type="dxa"/>
            <w:shd w:val="clear" w:color="auto" w:fill="FFFFFF"/>
            <w:hideMark/>
          </w:tcPr>
          <w:p w14:paraId="0CE3281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1185" w:type="dxa"/>
            <w:gridSpan w:val="2"/>
            <w:shd w:val="clear" w:color="auto" w:fill="FFFFFF"/>
            <w:hideMark/>
          </w:tcPr>
          <w:p w14:paraId="0186E4A3"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w:t>
            </w:r>
          </w:p>
        </w:tc>
      </w:tr>
      <w:tr w:rsidR="00B236F2" w:rsidRPr="002B3F36" w14:paraId="7E7C2FB5" w14:textId="77777777" w:rsidTr="00F47182">
        <w:trPr>
          <w:gridAfter w:val="1"/>
          <w:wAfter w:w="8" w:type="dxa"/>
          <w:jc w:val="center"/>
        </w:trPr>
        <w:tc>
          <w:tcPr>
            <w:tcW w:w="1156" w:type="dxa"/>
            <w:vMerge/>
            <w:shd w:val="clear" w:color="auto" w:fill="FFFFFF"/>
            <w:hideMark/>
          </w:tcPr>
          <w:p w14:paraId="60F70C95" w14:textId="77777777" w:rsidR="00B236F2" w:rsidRPr="00A846C7" w:rsidRDefault="00B236F2">
            <w:pPr>
              <w:rPr>
                <w:rFonts w:ascii="Arial" w:eastAsia="Times New Roman" w:hAnsi="Arial" w:cs="Arial"/>
                <w:color w:val="333333"/>
                <w:sz w:val="20"/>
                <w:szCs w:val="20"/>
                <w:lang w:val="ru-RU" w:eastAsia="ru-RU"/>
              </w:rPr>
            </w:pPr>
          </w:p>
        </w:tc>
        <w:tc>
          <w:tcPr>
            <w:tcW w:w="1416" w:type="dxa"/>
            <w:shd w:val="clear" w:color="auto" w:fill="FFFFFF"/>
            <w:hideMark/>
          </w:tcPr>
          <w:p w14:paraId="00AA9D57" w14:textId="77777777" w:rsidR="00B236F2" w:rsidRPr="00A846C7" w:rsidRDefault="00B236F2">
            <w:pPr>
              <w:rPr>
                <w:rFonts w:ascii="Arial" w:eastAsia="Times New Roman" w:hAnsi="Arial" w:cs="Arial"/>
                <w:color w:val="333333"/>
                <w:sz w:val="20"/>
                <w:szCs w:val="20"/>
                <w:lang w:val="ru-RU" w:eastAsia="ru-RU"/>
              </w:rPr>
            </w:pPr>
            <w:r w:rsidRPr="00A846C7">
              <w:rPr>
                <w:rFonts w:ascii="Arial" w:hAnsi="Arial" w:cs="Arial"/>
                <w:sz w:val="20"/>
                <w:szCs w:val="20"/>
              </w:rPr>
              <w:t>Passenger</w:t>
            </w:r>
          </w:p>
        </w:tc>
        <w:tc>
          <w:tcPr>
            <w:tcW w:w="643" w:type="dxa"/>
            <w:shd w:val="clear" w:color="auto" w:fill="FFFFFF"/>
            <w:hideMark/>
          </w:tcPr>
          <w:p w14:paraId="2C62CF4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-2,0</w:t>
            </w:r>
          </w:p>
        </w:tc>
        <w:tc>
          <w:tcPr>
            <w:tcW w:w="650" w:type="dxa"/>
            <w:shd w:val="clear" w:color="auto" w:fill="FFFFFF"/>
            <w:hideMark/>
          </w:tcPr>
          <w:p w14:paraId="65B77565"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-3,0</w:t>
            </w:r>
          </w:p>
        </w:tc>
        <w:tc>
          <w:tcPr>
            <w:tcW w:w="585" w:type="dxa"/>
            <w:shd w:val="clear" w:color="auto" w:fill="FFFFFF"/>
            <w:hideMark/>
          </w:tcPr>
          <w:p w14:paraId="4A1F806A"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585" w:type="dxa"/>
            <w:shd w:val="clear" w:color="auto" w:fill="FFFFFF"/>
            <w:hideMark/>
          </w:tcPr>
          <w:p w14:paraId="358E4710"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-7,0</w:t>
            </w:r>
          </w:p>
        </w:tc>
        <w:tc>
          <w:tcPr>
            <w:tcW w:w="585" w:type="dxa"/>
            <w:shd w:val="clear" w:color="auto" w:fill="FFFFFF"/>
            <w:hideMark/>
          </w:tcPr>
          <w:p w14:paraId="2E49018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41CBCA1E"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4215BE56"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5733B020"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661" w:type="dxa"/>
            <w:shd w:val="clear" w:color="auto" w:fill="FFFFFF"/>
            <w:hideMark/>
          </w:tcPr>
          <w:p w14:paraId="74F88F04"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-7,5</w:t>
            </w:r>
          </w:p>
        </w:tc>
        <w:tc>
          <w:tcPr>
            <w:tcW w:w="1185" w:type="dxa"/>
            <w:gridSpan w:val="2"/>
            <w:shd w:val="clear" w:color="auto" w:fill="FFFFFF"/>
            <w:hideMark/>
          </w:tcPr>
          <w:p w14:paraId="7E939305"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w:t>
            </w:r>
          </w:p>
        </w:tc>
      </w:tr>
      <w:tr w:rsidR="00B236F2" w:rsidRPr="002B3F36" w14:paraId="4C313383" w14:textId="77777777" w:rsidTr="00F47182">
        <w:trPr>
          <w:gridAfter w:val="1"/>
          <w:wAfter w:w="8" w:type="dxa"/>
          <w:jc w:val="center"/>
        </w:trPr>
        <w:tc>
          <w:tcPr>
            <w:tcW w:w="1156" w:type="dxa"/>
            <w:vMerge/>
            <w:shd w:val="clear" w:color="auto" w:fill="FFFFFF"/>
            <w:hideMark/>
          </w:tcPr>
          <w:p w14:paraId="7D3F2D8F" w14:textId="77777777" w:rsidR="00B236F2" w:rsidRPr="00A846C7" w:rsidRDefault="00B236F2">
            <w:pPr>
              <w:rPr>
                <w:rFonts w:ascii="Arial" w:eastAsia="Times New Roman" w:hAnsi="Arial" w:cs="Arial"/>
                <w:color w:val="333333"/>
                <w:sz w:val="20"/>
                <w:szCs w:val="20"/>
                <w:lang w:val="ru-RU" w:eastAsia="ru-RU"/>
              </w:rPr>
            </w:pPr>
          </w:p>
        </w:tc>
        <w:tc>
          <w:tcPr>
            <w:tcW w:w="1416" w:type="dxa"/>
            <w:shd w:val="clear" w:color="auto" w:fill="FFFFFF"/>
            <w:hideMark/>
          </w:tcPr>
          <w:p w14:paraId="7BC3BC0F" w14:textId="77777777" w:rsidR="00B236F2" w:rsidRPr="00A846C7" w:rsidRDefault="00B236F2">
            <w:pPr>
              <w:rPr>
                <w:rFonts w:ascii="Arial" w:eastAsia="Times New Roman" w:hAnsi="Arial" w:cs="Arial"/>
                <w:color w:val="333333"/>
                <w:sz w:val="20"/>
                <w:szCs w:val="20"/>
                <w:lang w:val="ru-RU" w:eastAsia="ru-RU"/>
              </w:rPr>
            </w:pPr>
            <w:r w:rsidRPr="00A846C7">
              <w:rPr>
                <w:rFonts w:ascii="Arial" w:hAnsi="Arial" w:cs="Arial"/>
                <w:sz w:val="20"/>
                <w:szCs w:val="20"/>
              </w:rPr>
              <w:t>High-speed</w:t>
            </w:r>
          </w:p>
        </w:tc>
        <w:tc>
          <w:tcPr>
            <w:tcW w:w="643" w:type="dxa"/>
            <w:shd w:val="clear" w:color="auto" w:fill="FFFFFF"/>
            <w:hideMark/>
          </w:tcPr>
          <w:p w14:paraId="1F12880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-3,0</w:t>
            </w:r>
          </w:p>
        </w:tc>
        <w:tc>
          <w:tcPr>
            <w:tcW w:w="650" w:type="dxa"/>
            <w:shd w:val="clear" w:color="auto" w:fill="FFFFFF"/>
            <w:hideMark/>
          </w:tcPr>
          <w:p w14:paraId="24FA5DA0"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-4,5</w:t>
            </w:r>
          </w:p>
        </w:tc>
        <w:tc>
          <w:tcPr>
            <w:tcW w:w="585" w:type="dxa"/>
            <w:shd w:val="clear" w:color="auto" w:fill="FFFFFF"/>
            <w:hideMark/>
          </w:tcPr>
          <w:p w14:paraId="33E6831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585" w:type="dxa"/>
            <w:shd w:val="clear" w:color="auto" w:fill="FFFFFF"/>
            <w:hideMark/>
          </w:tcPr>
          <w:p w14:paraId="2D40CE05"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-7,0</w:t>
            </w:r>
          </w:p>
        </w:tc>
        <w:tc>
          <w:tcPr>
            <w:tcW w:w="585" w:type="dxa"/>
            <w:shd w:val="clear" w:color="auto" w:fill="FFFFFF"/>
            <w:hideMark/>
          </w:tcPr>
          <w:p w14:paraId="2A2C7188"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-4,5</w:t>
            </w:r>
          </w:p>
        </w:tc>
        <w:tc>
          <w:tcPr>
            <w:tcW w:w="701" w:type="dxa"/>
            <w:shd w:val="clear" w:color="auto" w:fill="FFFFFF"/>
            <w:hideMark/>
          </w:tcPr>
          <w:p w14:paraId="060C2E79"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1C5F970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-6,0</w:t>
            </w:r>
          </w:p>
        </w:tc>
        <w:tc>
          <w:tcPr>
            <w:tcW w:w="701" w:type="dxa"/>
            <w:shd w:val="clear" w:color="auto" w:fill="FFFFFF"/>
            <w:hideMark/>
          </w:tcPr>
          <w:p w14:paraId="1A327EF4"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-7,0</w:t>
            </w:r>
          </w:p>
        </w:tc>
        <w:tc>
          <w:tcPr>
            <w:tcW w:w="661" w:type="dxa"/>
            <w:shd w:val="clear" w:color="auto" w:fill="FFFFFF"/>
            <w:hideMark/>
          </w:tcPr>
          <w:p w14:paraId="1E3D1715"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-8,0</w:t>
            </w:r>
          </w:p>
        </w:tc>
        <w:tc>
          <w:tcPr>
            <w:tcW w:w="1185" w:type="dxa"/>
            <w:gridSpan w:val="2"/>
            <w:shd w:val="clear" w:color="auto" w:fill="FFFFFF"/>
            <w:hideMark/>
          </w:tcPr>
          <w:p w14:paraId="28AB3C33"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-6</w:t>
            </w:r>
          </w:p>
        </w:tc>
      </w:tr>
      <w:tr w:rsidR="00B236F2" w:rsidRPr="002B3F36" w14:paraId="1EC130A0" w14:textId="77777777" w:rsidTr="00F47182">
        <w:trPr>
          <w:gridAfter w:val="1"/>
          <w:wAfter w:w="8" w:type="dxa"/>
          <w:jc w:val="center"/>
        </w:trPr>
        <w:tc>
          <w:tcPr>
            <w:tcW w:w="1156" w:type="dxa"/>
            <w:vMerge/>
            <w:shd w:val="clear" w:color="auto" w:fill="FFFFFF"/>
            <w:hideMark/>
          </w:tcPr>
          <w:p w14:paraId="16921144" w14:textId="77777777" w:rsidR="00B236F2" w:rsidRPr="00A846C7" w:rsidRDefault="00B236F2">
            <w:pPr>
              <w:rPr>
                <w:rFonts w:ascii="Arial" w:eastAsia="Times New Roman" w:hAnsi="Arial" w:cs="Arial"/>
                <w:color w:val="333333"/>
                <w:sz w:val="20"/>
                <w:szCs w:val="20"/>
                <w:lang w:val="ru-RU" w:eastAsia="ru-RU"/>
              </w:rPr>
            </w:pPr>
          </w:p>
        </w:tc>
        <w:tc>
          <w:tcPr>
            <w:tcW w:w="1416" w:type="dxa"/>
            <w:shd w:val="clear" w:color="auto" w:fill="FFFFFF"/>
            <w:hideMark/>
          </w:tcPr>
          <w:p w14:paraId="7CAD2E06" w14:textId="77777777" w:rsidR="00B236F2" w:rsidRPr="00A846C7" w:rsidRDefault="00B236F2">
            <w:pPr>
              <w:rPr>
                <w:rFonts w:ascii="Arial" w:eastAsia="Times New Roman" w:hAnsi="Arial" w:cs="Arial"/>
                <w:color w:val="333333"/>
                <w:sz w:val="20"/>
                <w:szCs w:val="20"/>
                <w:lang w:val="ru-RU" w:eastAsia="ru-RU"/>
              </w:rPr>
            </w:pPr>
            <w:r w:rsidRPr="00A846C7">
              <w:rPr>
                <w:rFonts w:ascii="Arial" w:hAnsi="Arial" w:cs="Arial"/>
                <w:sz w:val="20"/>
                <w:szCs w:val="20"/>
              </w:rPr>
              <w:t>Freight</w:t>
            </w:r>
          </w:p>
        </w:tc>
        <w:tc>
          <w:tcPr>
            <w:tcW w:w="643" w:type="dxa"/>
            <w:shd w:val="clear" w:color="auto" w:fill="FFFFFF"/>
            <w:hideMark/>
          </w:tcPr>
          <w:p w14:paraId="1ACB9198"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-2,0</w:t>
            </w:r>
          </w:p>
        </w:tc>
        <w:tc>
          <w:tcPr>
            <w:tcW w:w="650" w:type="dxa"/>
            <w:shd w:val="clear" w:color="auto" w:fill="FFFFFF"/>
            <w:hideMark/>
          </w:tcPr>
          <w:p w14:paraId="0E9D3FF9"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-3,5</w:t>
            </w:r>
          </w:p>
        </w:tc>
        <w:tc>
          <w:tcPr>
            <w:tcW w:w="585" w:type="dxa"/>
            <w:shd w:val="clear" w:color="auto" w:fill="FFFFFF"/>
            <w:hideMark/>
          </w:tcPr>
          <w:p w14:paraId="41ABFF6F"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585" w:type="dxa"/>
            <w:shd w:val="clear" w:color="auto" w:fill="FFFFFF"/>
            <w:hideMark/>
          </w:tcPr>
          <w:p w14:paraId="7E732634"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-5,5</w:t>
            </w:r>
          </w:p>
        </w:tc>
        <w:tc>
          <w:tcPr>
            <w:tcW w:w="585" w:type="dxa"/>
            <w:shd w:val="clear" w:color="auto" w:fill="FFFFFF"/>
            <w:hideMark/>
          </w:tcPr>
          <w:p w14:paraId="228D93C6"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701" w:type="dxa"/>
            <w:shd w:val="clear" w:color="auto" w:fill="FFFFFF"/>
            <w:hideMark/>
          </w:tcPr>
          <w:p w14:paraId="2C6AE893"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-4,0</w:t>
            </w:r>
          </w:p>
        </w:tc>
        <w:tc>
          <w:tcPr>
            <w:tcW w:w="701" w:type="dxa"/>
            <w:shd w:val="clear" w:color="auto" w:fill="FFFFFF"/>
            <w:hideMark/>
          </w:tcPr>
          <w:p w14:paraId="1C691A7C"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-5,0</w:t>
            </w:r>
          </w:p>
        </w:tc>
        <w:tc>
          <w:tcPr>
            <w:tcW w:w="701" w:type="dxa"/>
            <w:shd w:val="clear" w:color="auto" w:fill="FFFFFF"/>
            <w:hideMark/>
          </w:tcPr>
          <w:p w14:paraId="0729BAAD"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-5,5</w:t>
            </w:r>
          </w:p>
        </w:tc>
        <w:tc>
          <w:tcPr>
            <w:tcW w:w="661" w:type="dxa"/>
            <w:shd w:val="clear" w:color="auto" w:fill="FFFFFF"/>
            <w:hideMark/>
          </w:tcPr>
          <w:p w14:paraId="66EB3817" w14:textId="77777777" w:rsidR="00B236F2" w:rsidRPr="00A846C7" w:rsidRDefault="00B236F2">
            <w:pP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-7,0</w:t>
            </w:r>
          </w:p>
        </w:tc>
        <w:tc>
          <w:tcPr>
            <w:tcW w:w="1185" w:type="dxa"/>
            <w:gridSpan w:val="2"/>
            <w:shd w:val="clear" w:color="auto" w:fill="FFFFFF"/>
            <w:hideMark/>
          </w:tcPr>
          <w:p w14:paraId="68D3C1DD" w14:textId="77777777" w:rsidR="00B236F2" w:rsidRPr="00A846C7" w:rsidRDefault="00B236F2" w:rsidP="00F47182">
            <w:pPr>
              <w:jc w:val="center"/>
              <w:rPr>
                <w:rFonts w:ascii="Arial" w:eastAsia="Times New Roman" w:hAnsi="Arial" w:cs="Arial"/>
                <w:color w:val="333333"/>
                <w:sz w:val="20"/>
                <w:szCs w:val="20"/>
                <w:lang w:val="ru-RU" w:eastAsia="ru-RU"/>
              </w:rPr>
            </w:pPr>
            <w:r w:rsidRPr="00A846C7">
              <w:rPr>
                <w:rFonts w:ascii="Arial" w:eastAsia="Times New Roman" w:hAnsi="Arial" w:cs="Arial"/>
                <w:color w:val="333333"/>
                <w:sz w:val="20"/>
                <w:szCs w:val="20"/>
                <w:lang w:val="ru-RU" w:eastAsia="ru-RU"/>
              </w:rPr>
              <w:t>-4</w:t>
            </w:r>
          </w:p>
        </w:tc>
      </w:tr>
    </w:tbl>
    <w:p w14:paraId="74732ED5" w14:textId="77777777" w:rsidR="00B236F2" w:rsidRPr="00A846C7" w:rsidRDefault="00B236F2" w:rsidP="00B236F2">
      <w:pPr>
        <w:pStyle w:val="aff9"/>
        <w:spacing w:before="0" w:beforeAutospacing="0" w:after="0" w:afterAutospacing="0"/>
        <w:jc w:val="both"/>
        <w:rPr>
          <w:rFonts w:ascii="Arial" w:hAnsi="Arial" w:cs="Arial"/>
        </w:rPr>
      </w:pPr>
    </w:p>
    <w:p w14:paraId="01D890E0" w14:textId="4E884021" w:rsidR="00B236F2" w:rsidRPr="00A846C7" w:rsidRDefault="00B236F2" w:rsidP="00CD31FE">
      <w:pPr>
        <w:pStyle w:val="ReportBodyPar"/>
      </w:pPr>
      <w:r w:rsidRPr="00A846C7">
        <w:t xml:space="preserve">The </w:t>
      </w:r>
      <w:r w:rsidR="00001D53">
        <w:t>T</w:t>
      </w:r>
      <w:r w:rsidRPr="00A846C7">
        <w:t>able above shows that at a distance of approximately 100-200 meters (depending on noise propagation conditions, train length, travel speed, etc.), the acoustic impact level may reach hygienic requirements for areas adjacent to residential areas.</w:t>
      </w:r>
    </w:p>
    <w:p w14:paraId="2848B34D" w14:textId="77777777" w:rsidR="00CD31FE" w:rsidRPr="00A846C7" w:rsidRDefault="00CD31FE" w:rsidP="00F47182">
      <w:pPr>
        <w:pStyle w:val="ReportBodyPar"/>
      </w:pPr>
    </w:p>
    <w:p w14:paraId="6C3A9FA3" w14:textId="77777777" w:rsidR="00B236F2" w:rsidRPr="00A846C7" w:rsidRDefault="00B236F2" w:rsidP="00F47182">
      <w:pPr>
        <w:pStyle w:val="ReportBodyPar"/>
        <w:rPr>
          <w:b/>
          <w:i/>
        </w:rPr>
      </w:pPr>
      <w:r w:rsidRPr="00A846C7">
        <w:rPr>
          <w:b/>
          <w:i/>
        </w:rPr>
        <w:t>Special noise restrictions must be observed in protected areas.</w:t>
      </w:r>
    </w:p>
    <w:p w14:paraId="19B04AB5" w14:textId="4B3D3739" w:rsidR="00B236F2" w:rsidRPr="002B3F36" w:rsidRDefault="00B236F2" w:rsidP="00F47182">
      <w:pPr>
        <w:pStyle w:val="ReportBodyPar"/>
      </w:pPr>
      <w:r w:rsidRPr="00A846C7">
        <w:rPr>
          <w:i/>
        </w:rPr>
        <w:t xml:space="preserve">Taking into account background characteristics. </w:t>
      </w:r>
      <w:r w:rsidRPr="00A846C7">
        <w:t>The road construction will take place away from populated areas, industrial enterprises, etc. Noise levels are at the level of natural background noise.</w:t>
      </w:r>
    </w:p>
    <w:p w14:paraId="765EE173" w14:textId="77777777" w:rsidR="00F16A0A" w:rsidRPr="002B3F36" w:rsidRDefault="00F16A0A" w:rsidP="00F16A0A">
      <w:pPr>
        <w:pStyle w:val="ReportBodyPar"/>
      </w:pPr>
    </w:p>
    <w:p w14:paraId="30FBF502" w14:textId="16F2FAF8" w:rsidR="00F16A0A" w:rsidRPr="002B3F36" w:rsidRDefault="00F16A0A" w:rsidP="00F16A0A">
      <w:pPr>
        <w:pStyle w:val="ReportBodyTextNogap"/>
      </w:pPr>
      <w:r w:rsidRPr="002B3F36">
        <w:t xml:space="preserve">In terms of </w:t>
      </w:r>
      <w:r w:rsidR="00767B81" w:rsidRPr="002B3F36">
        <w:t>Noise</w:t>
      </w:r>
      <w:r w:rsidRPr="002B3F36">
        <w:t xml:space="preserve"> risks, the Project will introduce “direct” impact to workers at the construction sites as they are fully exposed to the work environment</w:t>
      </w:r>
      <w:r w:rsidR="00767B81" w:rsidRPr="002B3F36">
        <w:t>; however, due considerably safe distance to human habitations, e.g. the villages, the noise impact will be indirect</w:t>
      </w:r>
      <w:r w:rsidRPr="002B3F36">
        <w:t xml:space="preserve">. In terms of duration, since the </w:t>
      </w:r>
      <w:r w:rsidR="009D0CE5" w:rsidRPr="002B3F36">
        <w:t>workers’</w:t>
      </w:r>
      <w:r w:rsidRPr="002B3F36">
        <w:t xml:space="preserve"> exposure </w:t>
      </w:r>
      <w:r w:rsidR="00767B81" w:rsidRPr="002B3F36">
        <w:t>can be frequent due</w:t>
      </w:r>
      <w:r w:rsidRPr="002B3F36">
        <w:t xml:space="preserve"> the construction period, this can be considered as “</w:t>
      </w:r>
      <w:r w:rsidR="00767B81" w:rsidRPr="002B3F36">
        <w:t>long</w:t>
      </w:r>
      <w:r w:rsidRPr="002B3F36">
        <w:t xml:space="preserve"> term”, though “limited in scale” since the it affects only the workers </w:t>
      </w:r>
      <w:r w:rsidR="00767B81" w:rsidRPr="002B3F36">
        <w:t>where noisy work is ongoing</w:t>
      </w:r>
      <w:r w:rsidRPr="002B3F36">
        <w:t>; however, the “frequency of impact” can be constant due to the daily or continuous conduct of the work scope up to completion of the project. Applying the “Significance of Impact Matrix”, it can be considered that the workers may have receptor “medium</w:t>
      </w:r>
      <w:r w:rsidR="00767B81" w:rsidRPr="002B3F36">
        <w:t xml:space="preserve"> to high</w:t>
      </w:r>
      <w:r w:rsidRPr="002B3F36">
        <w:t xml:space="preserve"> sensitivity”, while the impact magnitude level is moderate</w:t>
      </w:r>
      <w:r w:rsidR="00767B81" w:rsidRPr="002B3F36">
        <w:t xml:space="preserve"> to high</w:t>
      </w:r>
      <w:r w:rsidRPr="002B3F36">
        <w:t>. This yields a significance impact of “</w:t>
      </w:r>
      <w:r w:rsidRPr="002B3F36">
        <w:rPr>
          <w:b/>
        </w:rPr>
        <w:t>M</w:t>
      </w:r>
      <w:r w:rsidR="00767B81" w:rsidRPr="002B3F36">
        <w:rPr>
          <w:b/>
        </w:rPr>
        <w:t>ajor</w:t>
      </w:r>
      <w:r w:rsidRPr="002B3F36">
        <w:t>”.</w:t>
      </w:r>
      <w:r w:rsidR="00767B81" w:rsidRPr="002B3F36">
        <w:t xml:space="preserve"> On the </w:t>
      </w:r>
      <w:r w:rsidR="009D0CE5" w:rsidRPr="002B3F36">
        <w:t>other</w:t>
      </w:r>
      <w:r w:rsidR="00767B81" w:rsidRPr="002B3F36">
        <w:t xml:space="preserve"> hand, the communities will have </w:t>
      </w:r>
      <w:r w:rsidR="00172E96" w:rsidRPr="002B3F36">
        <w:t>“Minor” Level of Impact.</w:t>
      </w:r>
    </w:p>
    <w:p w14:paraId="53F197F1" w14:textId="77777777" w:rsidR="00F16A0A" w:rsidRPr="002B3F36" w:rsidRDefault="00F16A0A" w:rsidP="00116B36">
      <w:pPr>
        <w:pStyle w:val="aff9"/>
        <w:spacing w:before="0" w:beforeAutospacing="0" w:after="0" w:afterAutospacing="0"/>
        <w:jc w:val="both"/>
        <w:rPr>
          <w:rFonts w:ascii="Arial" w:hAnsi="Arial" w:cs="Arial"/>
        </w:rPr>
      </w:pPr>
    </w:p>
    <w:p w14:paraId="16BAD85E" w14:textId="77777777" w:rsidR="00385F08" w:rsidRPr="002B3F36" w:rsidRDefault="00385F08" w:rsidP="00D12952">
      <w:pPr>
        <w:pStyle w:val="DiaList12"/>
        <w:rPr>
          <w:rFonts w:eastAsia="SimSun"/>
          <w:lang w:val="en-PH"/>
        </w:rPr>
      </w:pPr>
      <w:r w:rsidRPr="002B3F36">
        <w:rPr>
          <w:rFonts w:eastAsia="SimSun"/>
          <w:lang w:val="en-PH"/>
        </w:rPr>
        <w:t>Mitigation Measures</w:t>
      </w:r>
    </w:p>
    <w:p w14:paraId="190B57A8" w14:textId="77777777" w:rsidR="00385F08" w:rsidRPr="002B3F36" w:rsidRDefault="00385F08" w:rsidP="00116B36">
      <w:pPr>
        <w:pStyle w:val="aff9"/>
        <w:spacing w:before="0" w:beforeAutospacing="0" w:after="0" w:afterAutospacing="0"/>
        <w:rPr>
          <w:rFonts w:ascii="Arial" w:hAnsi="Arial" w:cs="Arial"/>
        </w:rPr>
      </w:pPr>
      <w:r w:rsidRPr="002B3F36">
        <w:rPr>
          <w:rStyle w:val="affffb"/>
        </w:rPr>
        <w:t>Planning &amp; Baseline</w:t>
      </w:r>
    </w:p>
    <w:p w14:paraId="632E82C6" w14:textId="77777777" w:rsidR="00385F08" w:rsidRPr="002B3F36" w:rsidRDefault="00385F08" w:rsidP="009B4CDB">
      <w:pPr>
        <w:pStyle w:val="aff9"/>
        <w:numPr>
          <w:ilvl w:val="0"/>
          <w:numId w:val="111"/>
        </w:numPr>
        <w:spacing w:before="0" w:beforeAutospacing="0" w:after="0" w:afterAutospacing="0"/>
        <w:jc w:val="both"/>
        <w:rPr>
          <w:rFonts w:ascii="Arial" w:hAnsi="Arial" w:cs="Arial"/>
        </w:rPr>
      </w:pPr>
      <w:r w:rsidRPr="002B3F36">
        <w:rPr>
          <w:rFonts w:ascii="Arial" w:hAnsi="Arial" w:cs="Arial"/>
        </w:rPr>
        <w:t>Prepare a Noise &amp; Vibration Management Plan (NVMP) before works, covering sources, receptors, layout, controls, monitoring locations/frequency, trigger levels, and responsibilities.</w:t>
      </w:r>
    </w:p>
    <w:p w14:paraId="0A5BCF5B" w14:textId="77777777" w:rsidR="00385F08" w:rsidRPr="002B3F36" w:rsidRDefault="00385F08" w:rsidP="009B4CDB">
      <w:pPr>
        <w:pStyle w:val="aff9"/>
        <w:numPr>
          <w:ilvl w:val="0"/>
          <w:numId w:val="111"/>
        </w:numPr>
        <w:jc w:val="both"/>
        <w:rPr>
          <w:rFonts w:ascii="Arial" w:hAnsi="Arial" w:cs="Arial"/>
        </w:rPr>
      </w:pPr>
      <w:r w:rsidRPr="002B3F36">
        <w:rPr>
          <w:rFonts w:ascii="Arial" w:hAnsi="Arial" w:cs="Arial"/>
        </w:rPr>
        <w:t>Establish baseline ambient noise at representative receptors prior to major works/plant commissioning.</w:t>
      </w:r>
    </w:p>
    <w:p w14:paraId="7F2E9F56" w14:textId="77777777" w:rsidR="00385F08" w:rsidRPr="002B3F36" w:rsidRDefault="00385F08" w:rsidP="00116B36">
      <w:pPr>
        <w:pStyle w:val="aff9"/>
        <w:spacing w:before="0" w:beforeAutospacing="0" w:after="0" w:afterAutospacing="0"/>
        <w:rPr>
          <w:rFonts w:ascii="Arial" w:hAnsi="Arial" w:cs="Arial"/>
        </w:rPr>
      </w:pPr>
      <w:r w:rsidRPr="002B3F36">
        <w:rPr>
          <w:rStyle w:val="affffb"/>
        </w:rPr>
        <w:t>Engineering Controls (preferred)</w:t>
      </w:r>
    </w:p>
    <w:p w14:paraId="3AA398CF" w14:textId="77777777" w:rsidR="00385F08" w:rsidRPr="002B3F36" w:rsidRDefault="00385F08" w:rsidP="009B4CDB">
      <w:pPr>
        <w:pStyle w:val="aff9"/>
        <w:numPr>
          <w:ilvl w:val="0"/>
          <w:numId w:val="112"/>
        </w:numPr>
        <w:spacing w:before="0" w:beforeAutospacing="0" w:after="0" w:afterAutospacing="0"/>
        <w:jc w:val="both"/>
        <w:rPr>
          <w:rFonts w:ascii="Arial" w:hAnsi="Arial" w:cs="Arial"/>
        </w:rPr>
      </w:pPr>
      <w:r w:rsidRPr="002B3F36">
        <w:rPr>
          <w:rFonts w:ascii="Arial" w:hAnsi="Arial" w:cs="Arial"/>
        </w:rPr>
        <w:lastRenderedPageBreak/>
        <w:t>Select low-noise equipment; fit and maintain effective mufflers/silencers and acoustic enclosures for generators, compressors, crushers.</w:t>
      </w:r>
    </w:p>
    <w:p w14:paraId="312A0CB3" w14:textId="77777777" w:rsidR="00385F08" w:rsidRPr="002B3F36" w:rsidRDefault="00385F08" w:rsidP="009B4CDB">
      <w:pPr>
        <w:pStyle w:val="aff9"/>
        <w:numPr>
          <w:ilvl w:val="0"/>
          <w:numId w:val="112"/>
        </w:numPr>
        <w:jc w:val="both"/>
        <w:rPr>
          <w:rFonts w:ascii="Arial" w:hAnsi="Arial" w:cs="Arial"/>
        </w:rPr>
      </w:pPr>
      <w:r w:rsidRPr="002B3F36">
        <w:rPr>
          <w:rFonts w:ascii="Arial" w:hAnsi="Arial" w:cs="Arial"/>
        </w:rPr>
        <w:t>Site layout: position fixed plant and workshops as far as practicable from receptors; use natural terrain/buildings as acoustic screening; install temporary barriers/curtains where needed.</w:t>
      </w:r>
    </w:p>
    <w:p w14:paraId="3535FE27" w14:textId="77777777" w:rsidR="00385F08" w:rsidRPr="002B3F36" w:rsidRDefault="00385F08" w:rsidP="009B4CDB">
      <w:pPr>
        <w:pStyle w:val="aff9"/>
        <w:numPr>
          <w:ilvl w:val="0"/>
          <w:numId w:val="112"/>
        </w:numPr>
        <w:jc w:val="both"/>
        <w:rPr>
          <w:rFonts w:ascii="Arial" w:hAnsi="Arial" w:cs="Arial"/>
        </w:rPr>
      </w:pPr>
      <w:r w:rsidRPr="002B3F36">
        <w:rPr>
          <w:rFonts w:ascii="Arial" w:hAnsi="Arial" w:cs="Arial"/>
        </w:rPr>
        <w:t>Optimize processes to avoid impulsive/tonal noise; use broadband reversing alarms instead of tonal beepers where permissible.</w:t>
      </w:r>
    </w:p>
    <w:p w14:paraId="7363F0D0" w14:textId="77777777" w:rsidR="00385F08" w:rsidRPr="002B3F36" w:rsidRDefault="00385F08" w:rsidP="00116B36">
      <w:pPr>
        <w:pStyle w:val="aff9"/>
        <w:spacing w:before="0" w:beforeAutospacing="0" w:after="0" w:afterAutospacing="0"/>
        <w:rPr>
          <w:rFonts w:ascii="Arial" w:hAnsi="Arial" w:cs="Arial"/>
        </w:rPr>
      </w:pPr>
      <w:r w:rsidRPr="002B3F36">
        <w:rPr>
          <w:rStyle w:val="affffb"/>
        </w:rPr>
        <w:t>Administrative Controls</w:t>
      </w:r>
    </w:p>
    <w:p w14:paraId="5C1A42D0" w14:textId="25ADE649" w:rsidR="00385F08" w:rsidRPr="002B3F36" w:rsidRDefault="00385F08" w:rsidP="009B4CDB">
      <w:pPr>
        <w:pStyle w:val="aff9"/>
        <w:numPr>
          <w:ilvl w:val="0"/>
          <w:numId w:val="113"/>
        </w:numPr>
        <w:spacing w:before="0" w:beforeAutospacing="0" w:after="0" w:afterAutospacing="0"/>
        <w:jc w:val="both"/>
        <w:rPr>
          <w:rFonts w:ascii="Arial" w:hAnsi="Arial" w:cs="Arial"/>
        </w:rPr>
      </w:pPr>
      <w:r w:rsidRPr="002B3F36">
        <w:rPr>
          <w:rFonts w:ascii="Arial" w:hAnsi="Arial" w:cs="Arial"/>
          <w:b/>
        </w:rPr>
        <w:t>Scheduling</w:t>
      </w:r>
      <w:r w:rsidRPr="002B3F36">
        <w:rPr>
          <w:rFonts w:ascii="Arial" w:hAnsi="Arial" w:cs="Arial"/>
        </w:rPr>
        <w:t xml:space="preserve">: confine high-noise tasks to </w:t>
      </w:r>
      <w:r w:rsidRPr="002B3F36">
        <w:rPr>
          <w:rFonts w:ascii="Arial" w:hAnsi="Arial" w:cs="Arial"/>
          <w:b/>
        </w:rPr>
        <w:t>06:00–18:00</w:t>
      </w:r>
      <w:r w:rsidRPr="002B3F36">
        <w:rPr>
          <w:rFonts w:ascii="Arial" w:hAnsi="Arial" w:cs="Arial"/>
        </w:rPr>
        <w:t>; any night works require Engineer/</w:t>
      </w:r>
      <w:r w:rsidR="00464922" w:rsidRPr="002B3F36">
        <w:rPr>
          <w:rFonts w:ascii="Arial" w:hAnsi="Arial" w:cs="Arial"/>
        </w:rPr>
        <w:t>KTZ</w:t>
      </w:r>
      <w:r w:rsidRPr="002B3F36">
        <w:rPr>
          <w:rFonts w:ascii="Arial" w:hAnsi="Arial" w:cs="Arial"/>
        </w:rPr>
        <w:t xml:space="preserve"> approval, prior </w:t>
      </w:r>
      <w:r w:rsidRPr="002B3F36">
        <w:rPr>
          <w:rFonts w:ascii="Arial" w:hAnsi="Arial" w:cs="Arial"/>
          <w:b/>
        </w:rPr>
        <w:t>community notification</w:t>
      </w:r>
      <w:r w:rsidRPr="002B3F36">
        <w:rPr>
          <w:rFonts w:ascii="Arial" w:hAnsi="Arial" w:cs="Arial"/>
        </w:rPr>
        <w:t>, and enhanced controls.</w:t>
      </w:r>
    </w:p>
    <w:p w14:paraId="76820B16" w14:textId="77777777" w:rsidR="00385F08" w:rsidRPr="002B3F36" w:rsidRDefault="00385F08" w:rsidP="009B4CDB">
      <w:pPr>
        <w:pStyle w:val="aff9"/>
        <w:numPr>
          <w:ilvl w:val="0"/>
          <w:numId w:val="113"/>
        </w:numPr>
        <w:spacing w:before="0" w:beforeAutospacing="0" w:after="0" w:afterAutospacing="0"/>
        <w:jc w:val="both"/>
        <w:rPr>
          <w:rFonts w:ascii="Arial" w:hAnsi="Arial" w:cs="Arial"/>
        </w:rPr>
      </w:pPr>
      <w:r w:rsidRPr="002B3F36">
        <w:rPr>
          <w:rFonts w:ascii="Arial" w:hAnsi="Arial" w:cs="Arial"/>
          <w:b/>
        </w:rPr>
        <w:t>Traffic management</w:t>
      </w:r>
      <w:r w:rsidRPr="002B3F36">
        <w:rPr>
          <w:rFonts w:ascii="Arial" w:hAnsi="Arial" w:cs="Arial"/>
        </w:rPr>
        <w:t>: speed limits, no unnecessary horn use, defined haul routes away from receptors where feasible, and no-idling policy.</w:t>
      </w:r>
    </w:p>
    <w:p w14:paraId="75F04FE9" w14:textId="77777777" w:rsidR="00385F08" w:rsidRPr="002B3F36" w:rsidRDefault="00385F08" w:rsidP="009B4CDB">
      <w:pPr>
        <w:pStyle w:val="aff9"/>
        <w:numPr>
          <w:ilvl w:val="0"/>
          <w:numId w:val="113"/>
        </w:numPr>
        <w:jc w:val="both"/>
        <w:rPr>
          <w:rFonts w:ascii="Arial" w:hAnsi="Arial" w:cs="Arial"/>
        </w:rPr>
      </w:pPr>
      <w:r w:rsidRPr="002B3F36">
        <w:rPr>
          <w:rFonts w:ascii="Arial" w:hAnsi="Arial" w:cs="Arial"/>
          <w:b/>
        </w:rPr>
        <w:t>Maintenance &amp; methods</w:t>
      </w:r>
      <w:r w:rsidRPr="002B3F36">
        <w:rPr>
          <w:rFonts w:ascii="Arial" w:hAnsi="Arial" w:cs="Arial"/>
        </w:rPr>
        <w:t>: planned maintenance; minimize drop heights; staged loading/unloading; training for operators on quiet work practices.</w:t>
      </w:r>
    </w:p>
    <w:p w14:paraId="1F36A6D7" w14:textId="77777777" w:rsidR="00385F08" w:rsidRPr="002B3F36" w:rsidRDefault="00385F08" w:rsidP="009B4CDB">
      <w:pPr>
        <w:pStyle w:val="aff9"/>
        <w:numPr>
          <w:ilvl w:val="0"/>
          <w:numId w:val="113"/>
        </w:numPr>
        <w:jc w:val="both"/>
        <w:rPr>
          <w:rFonts w:ascii="Arial" w:hAnsi="Arial" w:cs="Arial"/>
        </w:rPr>
      </w:pPr>
      <w:r w:rsidRPr="002B3F36">
        <w:rPr>
          <w:rFonts w:ascii="Arial" w:hAnsi="Arial" w:cs="Arial"/>
          <w:b/>
        </w:rPr>
        <w:t>Setbacks</w:t>
      </w:r>
      <w:r w:rsidRPr="002B3F36">
        <w:rPr>
          <w:rFonts w:ascii="Arial" w:hAnsi="Arial" w:cs="Arial"/>
        </w:rPr>
        <w:t>: locate camps, heavy workshops, and high-noise auxiliary plants with adequate setbacks from settlements and sensitive fauna areas.</w:t>
      </w:r>
    </w:p>
    <w:p w14:paraId="0EAB5010" w14:textId="77777777" w:rsidR="00385F08" w:rsidRPr="002B3F36" w:rsidRDefault="00385F08" w:rsidP="00116B36">
      <w:pPr>
        <w:pStyle w:val="aff9"/>
        <w:spacing w:before="0" w:beforeAutospacing="0" w:after="0" w:afterAutospacing="0"/>
        <w:rPr>
          <w:rFonts w:ascii="Arial" w:hAnsi="Arial" w:cs="Arial"/>
        </w:rPr>
      </w:pPr>
      <w:r w:rsidRPr="002B3F36">
        <w:rPr>
          <w:rStyle w:val="affffb"/>
        </w:rPr>
        <w:t>Worker Protection (OHS interface)</w:t>
      </w:r>
    </w:p>
    <w:p w14:paraId="5D2B3400" w14:textId="70A55059" w:rsidR="00385F08" w:rsidRPr="002B3F36" w:rsidRDefault="00385F08" w:rsidP="009B4CDB">
      <w:pPr>
        <w:pStyle w:val="aff9"/>
        <w:numPr>
          <w:ilvl w:val="0"/>
          <w:numId w:val="114"/>
        </w:numPr>
        <w:spacing w:before="0" w:beforeAutospacing="0" w:after="0" w:afterAutospacing="0"/>
        <w:rPr>
          <w:rFonts w:ascii="Arial" w:hAnsi="Arial" w:cs="Arial"/>
        </w:rPr>
      </w:pPr>
      <w:r w:rsidRPr="002B3F36">
        <w:rPr>
          <w:rFonts w:ascii="Arial" w:hAnsi="Arial" w:cs="Arial"/>
        </w:rPr>
        <w:t xml:space="preserve">Provide and enforce </w:t>
      </w:r>
      <w:r w:rsidRPr="002B3F36">
        <w:rPr>
          <w:rStyle w:val="affffb"/>
        </w:rPr>
        <w:t>hearing protection</w:t>
      </w:r>
      <w:r w:rsidRPr="002B3F36">
        <w:rPr>
          <w:rFonts w:ascii="Arial" w:hAnsi="Arial" w:cs="Arial"/>
        </w:rPr>
        <w:t xml:space="preserve"> where </w:t>
      </w:r>
      <w:r w:rsidRPr="002B3F36">
        <w:rPr>
          <w:rStyle w:val="affffb"/>
        </w:rPr>
        <w:t>LAeq,8h ≥ 85 dB(A)</w:t>
      </w:r>
      <w:r w:rsidRPr="002B3F36">
        <w:rPr>
          <w:rFonts w:ascii="Arial" w:hAnsi="Arial" w:cs="Arial"/>
        </w:rPr>
        <w:t xml:space="preserve"> or </w:t>
      </w:r>
      <w:r w:rsidRPr="002B3F36">
        <w:rPr>
          <w:rStyle w:val="affffb"/>
        </w:rPr>
        <w:t>Lpeak ≥ 140 dB(C)</w:t>
      </w:r>
      <w:r w:rsidRPr="002B3F36">
        <w:rPr>
          <w:rFonts w:ascii="Arial" w:hAnsi="Arial" w:cs="Arial"/>
        </w:rPr>
        <w:t>; conduct audiometry for exposed workers; rotate crews for high-noise tasks.</w:t>
      </w:r>
    </w:p>
    <w:p w14:paraId="408A843E" w14:textId="77777777" w:rsidR="00B236F2" w:rsidRPr="00A846C7" w:rsidRDefault="00B236F2" w:rsidP="00B236F2">
      <w:pPr>
        <w:pStyle w:val="aff9"/>
        <w:spacing w:before="0" w:beforeAutospacing="0" w:after="0" w:afterAutospacing="0"/>
        <w:ind w:left="720"/>
        <w:rPr>
          <w:rFonts w:ascii="Arial" w:hAnsi="Arial" w:cs="Arial"/>
          <w:b/>
        </w:rPr>
      </w:pPr>
    </w:p>
    <w:p w14:paraId="1D00027C" w14:textId="77777777" w:rsidR="00B236F2" w:rsidRPr="00A846C7" w:rsidRDefault="00B236F2" w:rsidP="00B236F2">
      <w:pPr>
        <w:pStyle w:val="aff9"/>
        <w:spacing w:before="0" w:beforeAutospacing="0" w:after="0" w:afterAutospacing="0"/>
        <w:ind w:left="720"/>
        <w:rPr>
          <w:rFonts w:ascii="Arial" w:hAnsi="Arial" w:cs="Arial"/>
          <w:b/>
        </w:rPr>
      </w:pPr>
      <w:r w:rsidRPr="00A846C7">
        <w:rPr>
          <w:rFonts w:ascii="Arial" w:hAnsi="Arial" w:cs="Arial"/>
          <w:b/>
        </w:rPr>
        <w:t>Design solutions</w:t>
      </w:r>
    </w:p>
    <w:p w14:paraId="246C1F39"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Timely elimination of wear and defects on the wheel tread surface;</w:t>
      </w:r>
    </w:p>
    <w:p w14:paraId="62F68ED1"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Grinding of rails laid on the track;</w:t>
      </w:r>
    </w:p>
    <w:p w14:paraId="27D1E236"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Limiting train speed;</w:t>
      </w:r>
    </w:p>
    <w:p w14:paraId="39DFF5E1"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Acoustic rail grinding;</w:t>
      </w:r>
    </w:p>
    <w:p w14:paraId="5FE87E6C"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Monitoring the technical condition of wheelsets;</w:t>
      </w:r>
    </w:p>
    <w:p w14:paraId="7546CC39"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Use of a small acoustic screen.</w:t>
      </w:r>
    </w:p>
    <w:p w14:paraId="3815A27D" w14:textId="77777777" w:rsidR="00B236F2" w:rsidRPr="00A846C7" w:rsidRDefault="00B236F2" w:rsidP="00B236F2">
      <w:pPr>
        <w:pStyle w:val="aff9"/>
        <w:numPr>
          <w:ilvl w:val="0"/>
          <w:numId w:val="251"/>
        </w:numPr>
        <w:rPr>
          <w:rFonts w:ascii="Arial" w:hAnsi="Arial" w:cs="Arial"/>
        </w:rPr>
      </w:pPr>
      <w:r w:rsidRPr="00A846C7">
        <w:rPr>
          <w:rFonts w:ascii="Arial" w:hAnsi="Arial" w:cs="Arial"/>
        </w:rPr>
        <w:t>Reducing rail sound emission (installing vibration-damping pads on the rail web);</w:t>
      </w:r>
    </w:p>
    <w:p w14:paraId="310771F3" w14:textId="1B6843FB" w:rsidR="00B236F2" w:rsidRPr="00A846C7" w:rsidRDefault="00B236F2" w:rsidP="00B236F2">
      <w:pPr>
        <w:pStyle w:val="aff9"/>
        <w:numPr>
          <w:ilvl w:val="0"/>
          <w:numId w:val="251"/>
        </w:numPr>
        <w:rPr>
          <w:rFonts w:ascii="Arial" w:hAnsi="Arial" w:cs="Arial"/>
        </w:rPr>
      </w:pPr>
      <w:r w:rsidRPr="00A846C7">
        <w:rPr>
          <w:rFonts w:ascii="Arial" w:hAnsi="Arial" w:cs="Arial"/>
        </w:rPr>
        <w:t xml:space="preserve">Increasing the flexibility of the </w:t>
      </w:r>
      <w:r w:rsidR="009D0CE5" w:rsidRPr="00A846C7">
        <w:rPr>
          <w:rFonts w:ascii="Arial" w:hAnsi="Arial" w:cs="Arial"/>
        </w:rPr>
        <w:t>axle box</w:t>
      </w:r>
      <w:r w:rsidRPr="00A846C7">
        <w:rPr>
          <w:rFonts w:ascii="Arial" w:hAnsi="Arial" w:cs="Arial"/>
        </w:rPr>
        <w:t xml:space="preserve"> spring suspension system of the bogies.</w:t>
      </w:r>
    </w:p>
    <w:p w14:paraId="11086B68" w14:textId="77777777" w:rsidR="00116B36" w:rsidRPr="002B3F36" w:rsidRDefault="00116B36" w:rsidP="00116B36">
      <w:pPr>
        <w:pStyle w:val="ReportBodyPar"/>
      </w:pPr>
    </w:p>
    <w:p w14:paraId="5D76DB0F" w14:textId="77777777" w:rsidR="00385F08" w:rsidRPr="002B3F36" w:rsidRDefault="00385F08" w:rsidP="00116B36">
      <w:pPr>
        <w:pStyle w:val="aff9"/>
        <w:spacing w:before="0" w:beforeAutospacing="0" w:after="0" w:afterAutospacing="0"/>
        <w:rPr>
          <w:rFonts w:ascii="Arial" w:hAnsi="Arial" w:cs="Arial"/>
        </w:rPr>
      </w:pPr>
      <w:r w:rsidRPr="002B3F36">
        <w:rPr>
          <w:rStyle w:val="affffb"/>
        </w:rPr>
        <w:t>Monitoring, Criteria &amp; Response</w:t>
      </w:r>
    </w:p>
    <w:p w14:paraId="33BEC057" w14:textId="77777777" w:rsidR="00385F08" w:rsidRPr="002B3F36" w:rsidRDefault="00385F08" w:rsidP="009B4CDB">
      <w:pPr>
        <w:pStyle w:val="aff9"/>
        <w:numPr>
          <w:ilvl w:val="0"/>
          <w:numId w:val="115"/>
        </w:numPr>
        <w:spacing w:before="0" w:beforeAutospacing="0" w:after="0" w:afterAutospacing="0"/>
        <w:rPr>
          <w:rFonts w:ascii="Arial" w:hAnsi="Arial" w:cs="Arial"/>
        </w:rPr>
      </w:pPr>
      <w:r w:rsidRPr="002B3F36">
        <w:rPr>
          <w:rFonts w:ascii="Arial" w:hAnsi="Arial" w:cs="Arial"/>
        </w:rPr>
        <w:t xml:space="preserve">Conduct routine </w:t>
      </w:r>
      <w:r w:rsidRPr="002B3F36">
        <w:rPr>
          <w:rStyle w:val="affffb"/>
        </w:rPr>
        <w:t>spot measurements</w:t>
      </w:r>
      <w:r w:rsidRPr="002B3F36">
        <w:rPr>
          <w:rFonts w:ascii="Arial" w:hAnsi="Arial" w:cs="Arial"/>
        </w:rPr>
        <w:t xml:space="preserve"> at site boundaries and nearest receptors; increase frequency during peak activities and upon complaints.</w:t>
      </w:r>
    </w:p>
    <w:p w14:paraId="37E5A70B" w14:textId="70209153" w:rsidR="00385F08" w:rsidRPr="002B3F36" w:rsidRDefault="00385F08" w:rsidP="009B4CDB">
      <w:pPr>
        <w:pStyle w:val="aff9"/>
        <w:numPr>
          <w:ilvl w:val="0"/>
          <w:numId w:val="115"/>
        </w:numPr>
        <w:rPr>
          <w:rFonts w:ascii="Arial" w:hAnsi="Arial" w:cs="Arial"/>
        </w:rPr>
      </w:pPr>
      <w:r w:rsidRPr="002B3F36">
        <w:rPr>
          <w:rStyle w:val="affffb"/>
        </w:rPr>
        <w:t>Compliance criteria</w:t>
      </w:r>
      <w:r w:rsidRPr="002B3F36">
        <w:rPr>
          <w:rFonts w:ascii="Arial" w:hAnsi="Arial" w:cs="Arial"/>
        </w:rPr>
        <w:t xml:space="preserve">: meet applicable </w:t>
      </w:r>
      <w:r w:rsidRPr="002B3F36">
        <w:rPr>
          <w:rStyle w:val="affffb"/>
        </w:rPr>
        <w:t>RoK limits</w:t>
      </w:r>
      <w:r w:rsidRPr="002B3F36">
        <w:rPr>
          <w:rFonts w:ascii="Arial" w:hAnsi="Arial" w:cs="Arial"/>
        </w:rPr>
        <w:t>. Where local limits are absent/exceeded, follow</w:t>
      </w:r>
      <w:r w:rsidR="00F95BD8" w:rsidRPr="002B3F36">
        <w:rPr>
          <w:rStyle w:val="affffb"/>
        </w:rPr>
        <w:t xml:space="preserve"> </w:t>
      </w:r>
      <w:r w:rsidRPr="002B3F36">
        <w:rPr>
          <w:rStyle w:val="affffb"/>
        </w:rPr>
        <w:t>/WB EHS Guidelines</w:t>
      </w:r>
      <w:r w:rsidRPr="002B3F36">
        <w:rPr>
          <w:rFonts w:ascii="Arial" w:hAnsi="Arial" w:cs="Arial"/>
        </w:rPr>
        <w:t xml:space="preserve">: </w:t>
      </w:r>
      <w:r w:rsidR="00662145" w:rsidRPr="002B3F36">
        <w:rPr>
          <w:rFonts w:ascii="Arial" w:hAnsi="Arial" w:cs="Arial"/>
        </w:rPr>
        <w:t>typically,</w:t>
      </w:r>
      <w:r w:rsidRPr="002B3F36">
        <w:rPr>
          <w:rFonts w:ascii="Arial" w:hAnsi="Arial" w:cs="Arial"/>
        </w:rPr>
        <w:t xml:space="preserve"> </w:t>
      </w:r>
      <w:r w:rsidRPr="002B3F36">
        <w:rPr>
          <w:rStyle w:val="affffb"/>
        </w:rPr>
        <w:t>55 dB(A) day / 45 dB(A) night</w:t>
      </w:r>
      <w:r w:rsidRPr="002B3F36">
        <w:rPr>
          <w:rFonts w:ascii="Arial" w:hAnsi="Arial" w:cs="Arial"/>
        </w:rPr>
        <w:t xml:space="preserve"> at residential receptors, or </w:t>
      </w:r>
      <w:r w:rsidRPr="002B3F36">
        <w:rPr>
          <w:rStyle w:val="affffb"/>
        </w:rPr>
        <w:t>project contribution ≤3 dB</w:t>
      </w:r>
      <w:r w:rsidRPr="002B3F36">
        <w:rPr>
          <w:rFonts w:ascii="Arial" w:hAnsi="Arial" w:cs="Arial"/>
        </w:rPr>
        <w:t xml:space="preserve"> above baseline where ambient already exceeds guidelines.</w:t>
      </w:r>
    </w:p>
    <w:p w14:paraId="004617E2" w14:textId="77777777" w:rsidR="00385F08" w:rsidRPr="002B3F36" w:rsidRDefault="00385F08" w:rsidP="009B4CDB">
      <w:pPr>
        <w:pStyle w:val="aff9"/>
        <w:numPr>
          <w:ilvl w:val="0"/>
          <w:numId w:val="115"/>
        </w:numPr>
        <w:rPr>
          <w:rFonts w:ascii="Arial" w:hAnsi="Arial" w:cs="Arial"/>
        </w:rPr>
      </w:pPr>
      <w:r w:rsidRPr="002B3F36">
        <w:rPr>
          <w:rFonts w:ascii="Arial" w:hAnsi="Arial" w:cs="Arial"/>
        </w:rPr>
        <w:t xml:space="preserve">Implement </w:t>
      </w:r>
      <w:r w:rsidRPr="002B3F36">
        <w:rPr>
          <w:rStyle w:val="affffb"/>
        </w:rPr>
        <w:t>triggered actions</w:t>
      </w:r>
      <w:r w:rsidRPr="002B3F36">
        <w:rPr>
          <w:rFonts w:ascii="Arial" w:hAnsi="Arial" w:cs="Arial"/>
        </w:rPr>
        <w:t xml:space="preserve"> (e.g., add barriers, reschedule, reduce plant, repair equipment) upon exceedance or validated complaints.</w:t>
      </w:r>
    </w:p>
    <w:p w14:paraId="1C0EE623" w14:textId="77777777" w:rsidR="00385F08" w:rsidRPr="002B3F36" w:rsidRDefault="00385F08" w:rsidP="009B4CDB">
      <w:pPr>
        <w:pStyle w:val="aff9"/>
        <w:numPr>
          <w:ilvl w:val="0"/>
          <w:numId w:val="115"/>
        </w:numPr>
        <w:rPr>
          <w:rFonts w:ascii="Arial" w:hAnsi="Arial" w:cs="Arial"/>
        </w:rPr>
      </w:pPr>
      <w:r w:rsidRPr="002B3F36">
        <w:rPr>
          <w:rFonts w:ascii="Arial" w:hAnsi="Arial" w:cs="Arial"/>
        </w:rPr>
        <w:t xml:space="preserve">Maintain a </w:t>
      </w:r>
      <w:r w:rsidRPr="002B3F36">
        <w:rPr>
          <w:rStyle w:val="affffb"/>
        </w:rPr>
        <w:t>complaint-response protocol</w:t>
      </w:r>
      <w:r w:rsidRPr="002B3F36">
        <w:rPr>
          <w:rFonts w:ascii="Arial" w:hAnsi="Arial" w:cs="Arial"/>
        </w:rPr>
        <w:t xml:space="preserve"> via the community GRM; document investigations, actions, and feedback to complainants.</w:t>
      </w:r>
    </w:p>
    <w:p w14:paraId="029F8691" w14:textId="0A04B646" w:rsidR="00385F08" w:rsidRPr="002B3F36" w:rsidRDefault="00385F08" w:rsidP="009B4CDB">
      <w:pPr>
        <w:pStyle w:val="aff9"/>
        <w:numPr>
          <w:ilvl w:val="0"/>
          <w:numId w:val="115"/>
        </w:numPr>
        <w:rPr>
          <w:rFonts w:ascii="Arial" w:hAnsi="Arial" w:cs="Arial"/>
        </w:rPr>
      </w:pPr>
      <w:r w:rsidRPr="002B3F36">
        <w:rPr>
          <w:rFonts w:ascii="Arial" w:hAnsi="Arial" w:cs="Arial"/>
        </w:rPr>
        <w:t>Monthly reporting to the Engineer/</w:t>
      </w:r>
      <w:r w:rsidR="00464922" w:rsidRPr="002B3F36">
        <w:rPr>
          <w:rFonts w:ascii="Arial" w:hAnsi="Arial" w:cs="Arial"/>
        </w:rPr>
        <w:t>KTZ</w:t>
      </w:r>
      <w:r w:rsidRPr="002B3F36">
        <w:rPr>
          <w:rFonts w:ascii="Arial" w:hAnsi="Arial" w:cs="Arial"/>
        </w:rPr>
        <w:t xml:space="preserve"> on noise KPIs (measurements vs. criteria, complaints/resolution time, maintenance logs, night-work approvals).</w:t>
      </w:r>
    </w:p>
    <w:p w14:paraId="3CFA0CDE" w14:textId="77777777" w:rsidR="00385F08" w:rsidRPr="002B3F36" w:rsidRDefault="00385F08" w:rsidP="00684E00">
      <w:pPr>
        <w:pStyle w:val="aff9"/>
        <w:spacing w:before="0" w:beforeAutospacing="0" w:after="0" w:afterAutospacing="0"/>
        <w:rPr>
          <w:rFonts w:ascii="Arial" w:hAnsi="Arial" w:cs="Arial"/>
        </w:rPr>
      </w:pPr>
      <w:r w:rsidRPr="002B3F36">
        <w:rPr>
          <w:rStyle w:val="affffb"/>
        </w:rPr>
        <w:t>Wildlife &amp; Livestock Considerations (PS6 interface)</w:t>
      </w:r>
    </w:p>
    <w:p w14:paraId="2B385878" w14:textId="2C7416FD" w:rsidR="00F14BC1" w:rsidRPr="00F14BC1" w:rsidRDefault="4A47FFB8" w:rsidP="00684E00">
      <w:pPr>
        <w:pStyle w:val="ReportBodyTextNogap"/>
      </w:pPr>
      <w:r w:rsidRPr="002B3F36">
        <w:t xml:space="preserve">Avoid high-noise activities near sensitive habitats and during known breeding periods where identified by pre-construction surveys; limit night-time lighting and noise in steppe/riparian </w:t>
      </w:r>
      <w:r w:rsidRPr="002B3F36">
        <w:lastRenderedPageBreak/>
        <w:t>areas frequented by wildlife and livestock.</w:t>
      </w:r>
      <w:r w:rsidR="00F14BC1">
        <w:t xml:space="preserve"> </w:t>
      </w:r>
      <w:r w:rsidR="00F14BC1" w:rsidRPr="00F14BC1">
        <w:rPr>
          <w:lang w:val="en"/>
        </w:rPr>
        <w:t xml:space="preserve">The areas where the route crosses </w:t>
      </w:r>
      <w:r w:rsidR="00F14BC1">
        <w:rPr>
          <w:lang w:val="en"/>
        </w:rPr>
        <w:t xml:space="preserve">Important Bird Areas </w:t>
      </w:r>
      <w:r w:rsidR="00F14BC1" w:rsidRPr="00F14BC1">
        <w:rPr>
          <w:lang w:val="en"/>
        </w:rPr>
        <w:t xml:space="preserve">and the Andasai </w:t>
      </w:r>
      <w:r w:rsidR="00F14BC1">
        <w:rPr>
          <w:lang w:val="en"/>
        </w:rPr>
        <w:t xml:space="preserve">Sanctuary </w:t>
      </w:r>
      <w:r w:rsidR="00F14BC1" w:rsidRPr="00F14BC1">
        <w:rPr>
          <w:lang w:val="en"/>
        </w:rPr>
        <w:t xml:space="preserve">can be considered as such </w:t>
      </w:r>
      <w:r w:rsidR="00F14BC1">
        <w:rPr>
          <w:lang w:val="en"/>
        </w:rPr>
        <w:t xml:space="preserve">sensitive </w:t>
      </w:r>
      <w:r w:rsidR="00F14BC1" w:rsidRPr="00F14BC1">
        <w:rPr>
          <w:lang w:val="en"/>
        </w:rPr>
        <w:t>habitats.</w:t>
      </w:r>
    </w:p>
    <w:p w14:paraId="35E7AD4E" w14:textId="77777777" w:rsidR="00684E00" w:rsidRPr="002B3F36" w:rsidRDefault="00684E00" w:rsidP="00684E00">
      <w:pPr>
        <w:pStyle w:val="ReportBodyTextNogap"/>
        <w:rPr>
          <w:rFonts w:eastAsia="SimSun"/>
        </w:rPr>
      </w:pPr>
    </w:p>
    <w:p w14:paraId="45BD2C2B" w14:textId="40DC09C2" w:rsidR="00F61F8E" w:rsidRPr="002B3F36" w:rsidRDefault="000F264B" w:rsidP="005A68AD">
      <w:pPr>
        <w:pStyle w:val="31"/>
      </w:pPr>
      <w:bookmarkStart w:id="2468" w:name="_Toc210589514"/>
      <w:bookmarkStart w:id="2469" w:name="_Toc119516820"/>
      <w:bookmarkStart w:id="2470" w:name="_Toc120554547"/>
      <w:bookmarkStart w:id="2471" w:name="_Toc120781332"/>
      <w:bookmarkStart w:id="2472" w:name="_Toc169094787"/>
      <w:bookmarkStart w:id="2473" w:name="_Toc208973872"/>
      <w:bookmarkStart w:id="2474" w:name="_Toc208974072"/>
      <w:bookmarkStart w:id="2475" w:name="_Toc208974272"/>
      <w:bookmarkStart w:id="2476" w:name="_Toc208974475"/>
      <w:bookmarkStart w:id="2477" w:name="_Toc208974680"/>
      <w:bookmarkStart w:id="2478" w:name="_Toc26547791"/>
      <w:bookmarkStart w:id="2479" w:name="_Toc26348180"/>
      <w:bookmarkStart w:id="2480" w:name="_Toc22663034"/>
      <w:bookmarkStart w:id="2481" w:name="_Toc22661968"/>
      <w:r w:rsidRPr="002B3F36">
        <w:t>Wastes Generation</w:t>
      </w:r>
      <w:bookmarkEnd w:id="2468"/>
      <w:r w:rsidRPr="002B3F36">
        <w:t xml:space="preserve"> </w:t>
      </w:r>
      <w:bookmarkEnd w:id="2469"/>
      <w:bookmarkEnd w:id="2470"/>
      <w:bookmarkEnd w:id="2471"/>
      <w:bookmarkEnd w:id="2472"/>
      <w:bookmarkEnd w:id="2473"/>
      <w:bookmarkEnd w:id="2474"/>
      <w:bookmarkEnd w:id="2475"/>
      <w:bookmarkEnd w:id="2476"/>
      <w:bookmarkEnd w:id="2477"/>
    </w:p>
    <w:p w14:paraId="1554C5C9" w14:textId="71D156D8" w:rsidR="00CF2CE2" w:rsidRPr="002B3F36" w:rsidRDefault="00DB3CB4" w:rsidP="00CF2CE2">
      <w:pPr>
        <w:pStyle w:val="ReportBodyPar"/>
        <w:rPr>
          <w:lang w:val="en-PH"/>
        </w:rPr>
      </w:pPr>
      <w:r w:rsidRPr="002B3F36">
        <w:rPr>
          <w:lang w:val="en-PH"/>
        </w:rPr>
        <w:t xml:space="preserve">Railway construction and related activities will generate both hazardous (e.g., paint residues, oily rags, used batteries) and non-hazardous wastes (e.g., construction debris, municipal refuse). In compliance with </w:t>
      </w:r>
      <w:r w:rsidR="00163238" w:rsidRPr="002B3F36">
        <w:rPr>
          <w:lang w:val="en-PH"/>
        </w:rPr>
        <w:t>WB PS</w:t>
      </w:r>
      <w:r w:rsidRPr="002B3F36">
        <w:rPr>
          <w:lang w:val="en-PH"/>
        </w:rPr>
        <w:t>3 and Kazakhstan’s regulations, all wastes will be classified, safely stored in designated areas, and handed over to licensed contractors for treatment or disposal. A Waste Management Plan will guide handling practices, and no direct discharge of solid or liquid waste into land or water bodies will be permitted, with domestic wastewater transported to approved treatment facilities.</w:t>
      </w:r>
    </w:p>
    <w:p w14:paraId="1D29AF99" w14:textId="77777777" w:rsidR="00DB3CB4" w:rsidRPr="002B3F36" w:rsidRDefault="00DB3CB4" w:rsidP="00CF2CE2">
      <w:pPr>
        <w:pStyle w:val="ReportBodyPar"/>
        <w:rPr>
          <w:lang w:val="en-PH"/>
        </w:rPr>
      </w:pPr>
    </w:p>
    <w:p w14:paraId="0C889414" w14:textId="156B333A" w:rsidR="00F61F8E" w:rsidRPr="002B3F36" w:rsidRDefault="000F264B" w:rsidP="00CF2CE2">
      <w:pPr>
        <w:pStyle w:val="ReportBodyPar"/>
        <w:rPr>
          <w:lang w:val="en-PH"/>
        </w:rPr>
      </w:pPr>
      <w:r w:rsidRPr="002B3F36">
        <w:rPr>
          <w:lang w:val="en-PH"/>
        </w:rPr>
        <w:t>Possible negative impacts are assessed as moderate risk. Regular monitoring on waste handling practices is required.</w:t>
      </w:r>
    </w:p>
    <w:p w14:paraId="4C9901CD" w14:textId="77777777" w:rsidR="00CF2CE2" w:rsidRPr="002B3F36" w:rsidRDefault="00CF2CE2" w:rsidP="00CF2CE2">
      <w:pPr>
        <w:pStyle w:val="ReportBodyPar"/>
        <w:rPr>
          <w:lang w:val="en-PH"/>
        </w:rPr>
      </w:pPr>
    </w:p>
    <w:p w14:paraId="6EA579BC" w14:textId="77777777" w:rsidR="00F61F8E" w:rsidRPr="002B3F36" w:rsidRDefault="000F264B" w:rsidP="00B769F7">
      <w:pPr>
        <w:pStyle w:val="DiaList12"/>
        <w:rPr>
          <w:rFonts w:eastAsia="SimSun"/>
          <w:lang w:val="en-PH"/>
        </w:rPr>
      </w:pPr>
      <w:bookmarkStart w:id="2482" w:name="_Toc26547792"/>
      <w:bookmarkStart w:id="2483" w:name="_Toc26348181"/>
      <w:bookmarkStart w:id="2484" w:name="_Toc22663036"/>
      <w:bookmarkStart w:id="2485" w:name="_Toc22661970"/>
      <w:bookmarkEnd w:id="2478"/>
      <w:bookmarkEnd w:id="2479"/>
      <w:bookmarkEnd w:id="2480"/>
      <w:bookmarkEnd w:id="2481"/>
      <w:r w:rsidRPr="002B3F36">
        <w:rPr>
          <w:rFonts w:eastAsia="SimSun"/>
          <w:lang w:val="en-PH" w:eastAsia="en-US"/>
        </w:rPr>
        <w:t>Origin of Impact and Assessment</w:t>
      </w:r>
    </w:p>
    <w:bookmarkEnd w:id="2482"/>
    <w:bookmarkEnd w:id="2483"/>
    <w:bookmarkEnd w:id="2484"/>
    <w:bookmarkEnd w:id="2485"/>
    <w:p w14:paraId="7F7374D5" w14:textId="6AC30657" w:rsidR="00FE2ED4" w:rsidRPr="002B3F36" w:rsidRDefault="00FE2ED4" w:rsidP="00B769F7">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Construction of the Mointy–Kyzylzhar Railway and its associated facilities (worker camps, workshops, quarries, crushing/batching/</w:t>
      </w:r>
      <w:r w:rsidR="00DE341F" w:rsidRPr="002B3F36">
        <w:rPr>
          <w:rFonts w:ascii="Arial" w:eastAsia="Times New Roman" w:hAnsi="Arial" w:cs="Arial"/>
          <w:sz w:val="24"/>
          <w:szCs w:val="24"/>
        </w:rPr>
        <w:t>cement</w:t>
      </w:r>
      <w:r w:rsidRPr="002B3F36">
        <w:rPr>
          <w:rFonts w:ascii="Arial" w:eastAsia="Times New Roman" w:hAnsi="Arial" w:cs="Arial"/>
          <w:sz w:val="24"/>
          <w:szCs w:val="24"/>
        </w:rPr>
        <w:t xml:space="preserve"> plants, laydown areas, and access roads) will generate a wide range of waste streams:</w:t>
      </w:r>
    </w:p>
    <w:p w14:paraId="0B560E03" w14:textId="77777777" w:rsidR="00FE2ED4" w:rsidRPr="002B3F36" w:rsidRDefault="00FE2ED4" w:rsidP="009B4CDB">
      <w:pPr>
        <w:widowControl/>
        <w:numPr>
          <w:ilvl w:val="0"/>
          <w:numId w:val="153"/>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b/>
          <w:bCs/>
          <w:sz w:val="24"/>
          <w:szCs w:val="24"/>
        </w:rPr>
        <w:t>Municipal Solid Waste (MSW):</w:t>
      </w:r>
      <w:r w:rsidRPr="002B3F36">
        <w:rPr>
          <w:rFonts w:ascii="Arial" w:eastAsia="Times New Roman" w:hAnsi="Arial" w:cs="Arial"/>
          <w:sz w:val="24"/>
          <w:szCs w:val="24"/>
        </w:rPr>
        <w:t xml:space="preserve"> From worker camps and offices, estimated at 0.4–0.5 kg/person/day, comprising mainly food waste, plastics, glass, paper/cardboard, and packaging.</w:t>
      </w:r>
    </w:p>
    <w:p w14:paraId="7F643BAA" w14:textId="77777777" w:rsidR="00FE2ED4" w:rsidRPr="002B3F36" w:rsidRDefault="00FE2ED4" w:rsidP="009B4CDB">
      <w:pPr>
        <w:widowControl/>
        <w:numPr>
          <w:ilvl w:val="0"/>
          <w:numId w:val="15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Inert Construction Waste:</w:t>
      </w:r>
      <w:r w:rsidRPr="002B3F36">
        <w:rPr>
          <w:rFonts w:ascii="Arial" w:eastAsia="Times New Roman" w:hAnsi="Arial" w:cs="Arial"/>
          <w:sz w:val="24"/>
          <w:szCs w:val="24"/>
        </w:rPr>
        <w:t xml:space="preserve"> Concrete debris, aggregates, scrap wood and metal, formwork, empty cement bags, and packaging materials.</w:t>
      </w:r>
    </w:p>
    <w:p w14:paraId="4351D9E6" w14:textId="49D003A9" w:rsidR="00FE2ED4" w:rsidRPr="002B3F36" w:rsidRDefault="00FE2ED4" w:rsidP="009B4CDB">
      <w:pPr>
        <w:widowControl/>
        <w:numPr>
          <w:ilvl w:val="0"/>
          <w:numId w:val="15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Hazardous Waste:</w:t>
      </w:r>
      <w:r w:rsidRPr="002B3F36">
        <w:rPr>
          <w:rFonts w:ascii="Arial" w:eastAsia="Times New Roman" w:hAnsi="Arial" w:cs="Arial"/>
          <w:sz w:val="24"/>
          <w:szCs w:val="24"/>
        </w:rPr>
        <w:t xml:space="preserve"> Used oil and filters, oily rags and absorbents, paint and solvent residues, contaminated containers, </w:t>
      </w:r>
      <w:r w:rsidR="00DE341F" w:rsidRPr="002B3F36">
        <w:rPr>
          <w:rFonts w:ascii="Arial" w:eastAsia="Times New Roman" w:hAnsi="Arial" w:cs="Arial"/>
          <w:sz w:val="24"/>
          <w:szCs w:val="24"/>
        </w:rPr>
        <w:t>concrete cement</w:t>
      </w:r>
      <w:r w:rsidRPr="002B3F36">
        <w:rPr>
          <w:rFonts w:ascii="Arial" w:eastAsia="Times New Roman" w:hAnsi="Arial" w:cs="Arial"/>
          <w:sz w:val="24"/>
          <w:szCs w:val="24"/>
        </w:rPr>
        <w:t xml:space="preserve"> residues, batteries, mercury-containing lamps, and oily sludge.</w:t>
      </w:r>
    </w:p>
    <w:p w14:paraId="3621312F" w14:textId="56BF8D80" w:rsidR="00FE2ED4" w:rsidRPr="002B3F36" w:rsidRDefault="00FE2ED4" w:rsidP="009B4CDB">
      <w:pPr>
        <w:widowControl/>
        <w:numPr>
          <w:ilvl w:val="0"/>
          <w:numId w:val="15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Wastewater:</w:t>
      </w:r>
      <w:r w:rsidRPr="002B3F36">
        <w:rPr>
          <w:rFonts w:ascii="Arial" w:eastAsia="Times New Roman" w:hAnsi="Arial" w:cs="Arial"/>
          <w:sz w:val="24"/>
          <w:szCs w:val="24"/>
        </w:rPr>
        <w:t xml:space="preserve"> Domestic blackwater/greywater from camps, wash-down water from vehicles/equipment, concrete and cement washout, and process water from plants.</w:t>
      </w:r>
    </w:p>
    <w:p w14:paraId="56258B62" w14:textId="77777777" w:rsidR="00B236F2" w:rsidRPr="00A846C7" w:rsidRDefault="00B236F2" w:rsidP="001D01F9">
      <w:pPr>
        <w:widowControl/>
        <w:autoSpaceDE/>
        <w:spacing w:before="120"/>
        <w:jc w:val="both"/>
        <w:rPr>
          <w:rFonts w:eastAsia="Times New Roman"/>
          <w:b/>
          <w:i/>
          <w:iCs/>
        </w:rPr>
      </w:pPr>
      <w:r w:rsidRPr="00A846C7">
        <w:rPr>
          <w:rFonts w:ascii="Arial" w:eastAsia="Times New Roman" w:hAnsi="Arial" w:cs="Arial"/>
          <w:b/>
          <w:i/>
          <w:iCs/>
          <w:sz w:val="24"/>
          <w:szCs w:val="24"/>
        </w:rPr>
        <w:t>Construction</w:t>
      </w:r>
    </w:p>
    <w:p w14:paraId="796124FC" w14:textId="270DFB17" w:rsidR="00B236F2" w:rsidRPr="00A846C7" w:rsidRDefault="00B236F2" w:rsidP="001D01F9">
      <w:pPr>
        <w:pStyle w:val="Bullet12"/>
      </w:pPr>
      <w:r w:rsidRPr="00A846C7">
        <w:t>During the construction period (2 years, ZOND), the following waste types are expected to be generated: Municipal solid waste – 365.7 tons/period, oily rags – 0.127 tons/period, welding electrode stubs – 0.00405 tons/period, paint and varnish containers – 1.6675 tons/period, construction debris – 77,500 tons/period.</w:t>
      </w:r>
    </w:p>
    <w:p w14:paraId="1ED4D774" w14:textId="1969432E" w:rsidR="00B236F2" w:rsidRPr="00A846C7" w:rsidRDefault="00B236F2" w:rsidP="001D01F9">
      <w:pPr>
        <w:pStyle w:val="Bullet12"/>
      </w:pPr>
      <w:r w:rsidRPr="00A846C7">
        <w:t>Municipal solid waste/municipal waste is generated during the maintenance of workers at the rotational camp.</w:t>
      </w:r>
    </w:p>
    <w:p w14:paraId="665A3303" w14:textId="77777777" w:rsidR="00B236F2" w:rsidRPr="00A846C7" w:rsidRDefault="00B236F2" w:rsidP="001D01F9">
      <w:pPr>
        <w:pStyle w:val="Bullet12"/>
      </w:pPr>
      <w:r w:rsidRPr="00A846C7">
        <w:t>Oily rags are generated during the maintenance of vehicles and various types of equipment.</w:t>
      </w:r>
    </w:p>
    <w:p w14:paraId="2D63EAEF" w14:textId="01DEAA9A" w:rsidR="00B236F2" w:rsidRPr="00A846C7" w:rsidRDefault="00B236F2" w:rsidP="001D01F9">
      <w:pPr>
        <w:pStyle w:val="Bullet12"/>
      </w:pPr>
      <w:r w:rsidRPr="00A846C7">
        <w:t>Electrode stubs are generated during welding and consist of electrode stubs and welding filler material residues.</w:t>
      </w:r>
    </w:p>
    <w:p w14:paraId="6D389B6D" w14:textId="77777777" w:rsidR="00B236F2" w:rsidRPr="00A846C7" w:rsidRDefault="00B236F2" w:rsidP="001D01F9">
      <w:pPr>
        <w:pStyle w:val="Bullet12"/>
      </w:pPr>
      <w:r w:rsidRPr="00A846C7">
        <w:t>Tin paint containers are generated during painting work during construction.</w:t>
      </w:r>
    </w:p>
    <w:p w14:paraId="2FAFA52D" w14:textId="77777777" w:rsidR="00B236F2" w:rsidRPr="00A846C7" w:rsidRDefault="00B236F2" w:rsidP="001D01F9">
      <w:pPr>
        <w:pStyle w:val="Bullet12"/>
      </w:pPr>
      <w:r w:rsidRPr="00A846C7">
        <w:t>Construction waste is generated during construction and installation work.</w:t>
      </w:r>
    </w:p>
    <w:p w14:paraId="3FFEFF74" w14:textId="77777777" w:rsidR="00B236F2" w:rsidRPr="00A846C7" w:rsidRDefault="00B236F2" w:rsidP="001D01F9">
      <w:pPr>
        <w:pStyle w:val="ReportBodyPar"/>
        <w:rPr>
          <w:i/>
          <w:iCs/>
        </w:rPr>
      </w:pPr>
    </w:p>
    <w:p w14:paraId="00607D81" w14:textId="6B79F027" w:rsidR="00B236F2" w:rsidRPr="00A846C7" w:rsidRDefault="00B236F2" w:rsidP="001D01F9">
      <w:pPr>
        <w:widowControl/>
        <w:autoSpaceDE/>
        <w:spacing w:before="120"/>
        <w:ind w:left="542" w:hanging="397"/>
        <w:jc w:val="both"/>
        <w:rPr>
          <w:rFonts w:eastAsia="Times New Roman"/>
          <w:b/>
          <w:i/>
          <w:iCs/>
        </w:rPr>
      </w:pPr>
      <w:r w:rsidRPr="00A846C7">
        <w:rPr>
          <w:rFonts w:ascii="Arial" w:eastAsia="Times New Roman" w:hAnsi="Arial" w:cs="Arial"/>
          <w:b/>
          <w:i/>
          <w:iCs/>
          <w:sz w:val="24"/>
          <w:szCs w:val="24"/>
        </w:rPr>
        <w:t>Operation</w:t>
      </w:r>
    </w:p>
    <w:p w14:paraId="10BB5C4A" w14:textId="6C726870" w:rsidR="00B236F2" w:rsidRPr="00A846C7" w:rsidRDefault="00B236F2" w:rsidP="001D01F9">
      <w:pPr>
        <w:pStyle w:val="BulletPar"/>
      </w:pPr>
      <w:r w:rsidRPr="00A846C7">
        <w:t>The total expected waste volume during operation is: municipal solid waste – 22.79 tons/year, mercury-containing lamps – 0.0079 tons/year, waste oils – 8.425 tons/year, used batteries – 0.18224 tons/year, waste containing harmful substances generated during the repair of rolling stock and equipment – 80 tons/year.</w:t>
      </w:r>
    </w:p>
    <w:p w14:paraId="7ED02C9E" w14:textId="77777777" w:rsidR="00B236F2" w:rsidRPr="00A846C7" w:rsidRDefault="00B236F2" w:rsidP="001D01F9">
      <w:pPr>
        <w:pStyle w:val="BulletPar"/>
      </w:pPr>
      <w:r w:rsidRPr="00A846C7">
        <w:lastRenderedPageBreak/>
        <w:t>Waste fluorescent lamps are generated when mercury-containing lamps of various brands fail.</w:t>
      </w:r>
    </w:p>
    <w:p w14:paraId="134C9847" w14:textId="77777777" w:rsidR="00B236F2" w:rsidRPr="00A846C7" w:rsidRDefault="00B236F2" w:rsidP="001D01F9">
      <w:pPr>
        <w:pStyle w:val="BulletPar"/>
      </w:pPr>
      <w:r w:rsidRPr="00A846C7">
        <w:t>Waste oils are generated during the operation of vehicles and special equipment.</w:t>
      </w:r>
    </w:p>
    <w:p w14:paraId="7C7A909D" w14:textId="77777777" w:rsidR="00B236F2" w:rsidRPr="00A846C7" w:rsidRDefault="00B236F2" w:rsidP="001D01F9">
      <w:pPr>
        <w:pStyle w:val="BulletPar"/>
      </w:pPr>
      <w:r w:rsidRPr="00A846C7">
        <w:t>Waste batteries are generated after their expiration date.</w:t>
      </w:r>
    </w:p>
    <w:p w14:paraId="050AD96A" w14:textId="6C3E74BA" w:rsidR="00B236F2" w:rsidRPr="00A846C7" w:rsidRDefault="00B236F2" w:rsidP="001D01F9">
      <w:pPr>
        <w:pStyle w:val="BulletPar"/>
      </w:pPr>
      <w:r w:rsidRPr="00A846C7">
        <w:t>The project does not include the construction of a landfill for the disposal of industrial and consumer waste. All waste generated during the construction and operation of the railway will be transferred to specialized organizations on a contractual basis for disposal, rendering harmless, reuse, or burial. These organizations must have the appropriate license in accordance with Article 336 of the Environmental Code of the Republic of Kazakhstan and the Law "On Permits and Notifications."</w:t>
      </w:r>
    </w:p>
    <w:p w14:paraId="1F9EFBA2" w14:textId="77777777" w:rsidR="00B236F2" w:rsidRPr="00A846C7" w:rsidRDefault="00B236F2" w:rsidP="001D01F9">
      <w:pPr>
        <w:pStyle w:val="BulletPar"/>
      </w:pPr>
      <w:r w:rsidRPr="00A846C7">
        <w:t>Waste collection and temporary storage on the territory of the rotational camp will be organized in accordance with sanitary and epidemiological requirements approved by Order No. KR DSM-272/2020 of the Acting Minister of Health of the Republic of Kazakhstan dated December 15, 2020. Waste will be accumulated separately, according to hazard class, in specially equipped areas that ensure environmental and sanitary safety. Internal regulations will define the waste accumulation procedure, including storage periods (no more than 6 months), permissible volumes, and requirements for disposal conditions. Furthermore, in accordance with Article 329 of the Environmental Code of the Republic of Kazakhstan, the waste management system will adhere to a hierarchy of measures: waste prevention, preparation for reuse, recycling, disposal, and, finally, disposal.</w:t>
      </w:r>
    </w:p>
    <w:p w14:paraId="31283072" w14:textId="77777777" w:rsidR="00B236F2" w:rsidRPr="00A846C7" w:rsidRDefault="00B236F2" w:rsidP="001D01F9">
      <w:pPr>
        <w:pStyle w:val="Bullet12"/>
      </w:pPr>
      <w:r w:rsidRPr="00A846C7">
        <w:t>All waste management activities will be organized in compliance with the requirements of Article 327 of the Environmental Code of the Republic of Kazakhstan, eliminating risks to human health and impacts on environmental components, including air, water, soil, flora, and fauna.</w:t>
      </w:r>
    </w:p>
    <w:p w14:paraId="0A772DAD" w14:textId="77777777" w:rsidR="00B236F2" w:rsidRPr="00A846C7" w:rsidRDefault="00B236F2" w:rsidP="001D01F9">
      <w:pPr>
        <w:pStyle w:val="Bullet12"/>
      </w:pPr>
      <w:r w:rsidRPr="00A846C7">
        <w:t>Compliance with these requirements ensures that waste management operations are carried out without risk to key ecosystem components, thereby minimizing their negative impact on the environment.</w:t>
      </w:r>
    </w:p>
    <w:p w14:paraId="191FF834" w14:textId="7EC37CF5" w:rsidR="00B236F2" w:rsidRPr="00A846C7" w:rsidRDefault="00B236F2" w:rsidP="00CD31FE">
      <w:pPr>
        <w:pStyle w:val="Bullet12"/>
      </w:pPr>
      <w:r w:rsidRPr="00A846C7">
        <w:t>Impact significance: low.</w:t>
      </w:r>
    </w:p>
    <w:p w14:paraId="2C9DD0B2" w14:textId="77777777" w:rsidR="00CD31FE" w:rsidRPr="00A846C7" w:rsidRDefault="00CD31FE" w:rsidP="001D01F9">
      <w:pPr>
        <w:pStyle w:val="ReportBodyPar"/>
      </w:pPr>
    </w:p>
    <w:p w14:paraId="7A8198C3" w14:textId="77777777" w:rsidR="00B236F2" w:rsidRPr="00A846C7" w:rsidRDefault="00B236F2" w:rsidP="001D01F9">
      <w:pPr>
        <w:widowControl/>
        <w:autoSpaceDE/>
        <w:spacing w:before="120"/>
        <w:ind w:left="542" w:hanging="397"/>
        <w:jc w:val="both"/>
        <w:rPr>
          <w:rFonts w:eastAsia="Times New Roman"/>
          <w:b/>
          <w:i/>
        </w:rPr>
      </w:pPr>
      <w:r w:rsidRPr="00A846C7">
        <w:rPr>
          <w:rFonts w:ascii="Arial" w:eastAsia="Times New Roman" w:hAnsi="Arial" w:cs="Arial"/>
          <w:b/>
          <w:i/>
          <w:sz w:val="24"/>
          <w:szCs w:val="24"/>
        </w:rPr>
        <w:t>Wastewater</w:t>
      </w:r>
    </w:p>
    <w:p w14:paraId="58CE61AE" w14:textId="77777777" w:rsidR="00B236F2" w:rsidRPr="00A846C7" w:rsidRDefault="00B236F2" w:rsidP="001D01F9">
      <w:pPr>
        <w:pStyle w:val="BulletPar"/>
      </w:pPr>
      <w:r w:rsidRPr="00A846C7">
        <w:t>Domestic wastewater is generated by human activities. A temporary domestic sewer system is planned for the camp.</w:t>
      </w:r>
    </w:p>
    <w:p w14:paraId="00863F55" w14:textId="77777777" w:rsidR="00B236F2" w:rsidRPr="00A846C7" w:rsidRDefault="00B236F2" w:rsidP="001D01F9">
      <w:pPr>
        <w:pStyle w:val="BulletPar"/>
      </w:pPr>
      <w:r w:rsidRPr="00A846C7">
        <w:t>The total volume of wastewater during construction will be approximately 748,358 cubic meters per period. The total volume during operation will be approximately 67,788 cubic meters per year.</w:t>
      </w:r>
    </w:p>
    <w:p w14:paraId="393861AB" w14:textId="77777777" w:rsidR="00B236F2" w:rsidRPr="00A846C7" w:rsidRDefault="00B236F2" w:rsidP="001D01F9">
      <w:pPr>
        <w:pStyle w:val="BulletPar"/>
      </w:pPr>
      <w:r w:rsidRPr="00A846C7">
        <w:t>Domestic wastewater from the field camp modules will be diverted via a temporary pipeline system to a 20 m³ septic tank isolated from surface and groundwater.</w:t>
      </w:r>
    </w:p>
    <w:p w14:paraId="4307A308" w14:textId="77777777" w:rsidR="00B236F2" w:rsidRPr="00A846C7" w:rsidRDefault="00B236F2" w:rsidP="001D01F9">
      <w:pPr>
        <w:pStyle w:val="BulletPar"/>
      </w:pPr>
      <w:r w:rsidRPr="00A846C7">
        <w:t>Modular composting toilets will also be located on the construction site.</w:t>
      </w:r>
    </w:p>
    <w:p w14:paraId="17063AE8" w14:textId="77777777" w:rsidR="00B236F2" w:rsidRPr="00A846C7" w:rsidRDefault="00B236F2" w:rsidP="00F82096">
      <w:pPr>
        <w:pStyle w:val="BulletPar"/>
      </w:pPr>
      <w:r w:rsidRPr="00A846C7">
        <w:t>As the septic tank fills, wastewater and other waste from the composting toilets will be pumped out and transported by specialized vehicles (tanker trucks) to specially equipped treatment facilities operated by organizations with the appropriate permits for wastewater collection and disposal, under contracts with these organizations.</w:t>
      </w:r>
    </w:p>
    <w:p w14:paraId="650E9751" w14:textId="77777777" w:rsidR="00B236F2" w:rsidRPr="00A846C7" w:rsidRDefault="00B236F2" w:rsidP="00F82096">
      <w:pPr>
        <w:pStyle w:val="BulletPar"/>
      </w:pPr>
      <w:r w:rsidRPr="00A846C7">
        <w:t>After completion of the work, the septic tanks will be emptied and disinfected. The septic tank area will be reclaimed.</w:t>
      </w:r>
    </w:p>
    <w:p w14:paraId="7BCFF1BD" w14:textId="77777777" w:rsidR="00B236F2" w:rsidRPr="00A846C7" w:rsidRDefault="00B236F2" w:rsidP="00F82096">
      <w:pPr>
        <w:pStyle w:val="BulletPar"/>
      </w:pPr>
      <w:r w:rsidRPr="00A846C7">
        <w:t>There will be no discharge of wastewater into natural reservoirs or waterways.</w:t>
      </w:r>
    </w:p>
    <w:p w14:paraId="7379CE67" w14:textId="77777777" w:rsidR="00B236F2" w:rsidRPr="00A846C7" w:rsidRDefault="00B236F2" w:rsidP="00F82096">
      <w:pPr>
        <w:pStyle w:val="BulletPar"/>
      </w:pPr>
      <w:r w:rsidRPr="00A846C7">
        <w:t>Impact significance: low</w:t>
      </w:r>
    </w:p>
    <w:p w14:paraId="22F0313E" w14:textId="77777777" w:rsidR="00B236F2" w:rsidRPr="00A846C7" w:rsidRDefault="00B236F2" w:rsidP="00F82096">
      <w:pPr>
        <w:pStyle w:val="BulletPar"/>
      </w:pPr>
      <w:r w:rsidRPr="00A846C7">
        <w:t>Considering background characteristics,</w:t>
      </w:r>
    </w:p>
    <w:p w14:paraId="739DD9AF" w14:textId="77777777" w:rsidR="00B236F2" w:rsidRPr="00A846C7" w:rsidRDefault="00B236F2" w:rsidP="00F82096">
      <w:pPr>
        <w:pStyle w:val="BulletPar"/>
      </w:pPr>
      <w:r w:rsidRPr="00A846C7">
        <w:t>The road construction will take place away from populated areas, industrial facilities, etc.</w:t>
      </w:r>
    </w:p>
    <w:p w14:paraId="0DA43BA6" w14:textId="23EAC229" w:rsidR="00B236F2" w:rsidRPr="002B3F36" w:rsidRDefault="00B236F2" w:rsidP="00CD31FE">
      <w:pPr>
        <w:pStyle w:val="BulletPar"/>
      </w:pPr>
      <w:r w:rsidRPr="00A846C7">
        <w:lastRenderedPageBreak/>
        <w:t>Waste and wastewater collection and disposal will be provided in accordance with KTZ standards. Waste and wastewater will be delivered to terminal stations and either disposed of at station treatment facilities (effluent) or transferred to specialized organizations (waste).</w:t>
      </w:r>
    </w:p>
    <w:p w14:paraId="47299E12" w14:textId="77777777" w:rsidR="00F16A0A" w:rsidRPr="002B3F36" w:rsidRDefault="00F16A0A" w:rsidP="00F16A0A">
      <w:pPr>
        <w:pStyle w:val="ReportBodyPar"/>
      </w:pPr>
    </w:p>
    <w:p w14:paraId="5AFAF819" w14:textId="77777777" w:rsidR="00C23891" w:rsidRPr="002B3F36" w:rsidRDefault="00C23891" w:rsidP="00C23891">
      <w:pPr>
        <w:pStyle w:val="ReportBodyPar"/>
      </w:pPr>
      <w:r w:rsidRPr="002B3F36">
        <w:t>The Project will generate waste-related risks that are direct for construction workers—who are fully exposed at work sites and camps—and largely indirect for nearby communities given the considerable separation from settlements. For the workforce, exposure can be frequent and sustained over the camp residency period, thus long-term in duration yet limited in scale (principally affecting workers where waste is present). The frequency may be continuous/daily, particularly if waste handling is inadequate. Under the Significance of Impact Matrix, workers are treated as medium-sensitivity receptors with a medium impact magnitude, resulting in an overall Moderate significance (pre-mitigation).</w:t>
      </w:r>
    </w:p>
    <w:p w14:paraId="690CC4DA" w14:textId="77777777" w:rsidR="00C23891" w:rsidRPr="002B3F36" w:rsidRDefault="00C23891" w:rsidP="00C23891">
      <w:pPr>
        <w:pStyle w:val="ReportBodyPar"/>
      </w:pPr>
    </w:p>
    <w:p w14:paraId="4BABB5B7" w14:textId="5C11230E" w:rsidR="00F61F8E" w:rsidRPr="002B3F36" w:rsidRDefault="00C23891">
      <w:pPr>
        <w:pStyle w:val="ReportBodyTextNogap"/>
      </w:pPr>
      <w:r w:rsidRPr="002B3F36">
        <w:t>For the natural environment, localized contamination from mismanaged wastes may also reach Moderate impact levels but is expected to attenuate over time once sources are controlled and remediation occurs. For communities, given distance and dilution/dispersion, the effect is assessed as Minor.</w:t>
      </w:r>
    </w:p>
    <w:p w14:paraId="55BCE8D7" w14:textId="77777777" w:rsidR="00F16A0A" w:rsidRPr="002B3F36" w:rsidRDefault="00F16A0A" w:rsidP="001D01F9">
      <w:pPr>
        <w:pStyle w:val="ReportBodyTextNogap"/>
      </w:pPr>
    </w:p>
    <w:p w14:paraId="156717BB" w14:textId="3E17A793" w:rsidR="00F61F8E" w:rsidRPr="002B3F36" w:rsidRDefault="000F264B">
      <w:pPr>
        <w:pStyle w:val="DiaList12"/>
        <w:rPr>
          <w:rFonts w:eastAsia="SimSun"/>
          <w:lang w:val="en-PH"/>
        </w:rPr>
      </w:pPr>
      <w:r w:rsidRPr="002B3F36">
        <w:rPr>
          <w:rFonts w:eastAsia="SimSun"/>
          <w:lang w:val="en-PH" w:eastAsia="en-US"/>
        </w:rPr>
        <w:t>Mitigation Measures</w:t>
      </w:r>
    </w:p>
    <w:p w14:paraId="2A2A551C"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A. Planning, Responsibilities, and Compliance</w:t>
      </w:r>
    </w:p>
    <w:p w14:paraId="350FE106" w14:textId="77777777" w:rsidR="00FE2ED4" w:rsidRPr="002B3F36" w:rsidRDefault="00FE2ED4" w:rsidP="009B4CDB">
      <w:pPr>
        <w:widowControl/>
        <w:numPr>
          <w:ilvl w:val="0"/>
          <w:numId w:val="154"/>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Prepare a </w:t>
      </w:r>
      <w:r w:rsidRPr="002B3F36">
        <w:rPr>
          <w:rFonts w:ascii="Arial" w:eastAsia="Times New Roman" w:hAnsi="Arial" w:cs="Arial"/>
          <w:b/>
          <w:bCs/>
          <w:sz w:val="24"/>
          <w:szCs w:val="24"/>
        </w:rPr>
        <w:t>site-specific Waste Management Plan (WMP)</w:t>
      </w:r>
      <w:r w:rsidRPr="002B3F36">
        <w:rPr>
          <w:rFonts w:ascii="Arial" w:eastAsia="Times New Roman" w:hAnsi="Arial" w:cs="Arial"/>
          <w:sz w:val="24"/>
          <w:szCs w:val="24"/>
        </w:rPr>
        <w:t xml:space="preserve"> as part of the C-ESMP before works commence, applying the waste hierarchy (avoid → reduce → reuse → recycle → recover → dispose).</w:t>
      </w:r>
    </w:p>
    <w:p w14:paraId="3D387274" w14:textId="77777777" w:rsidR="00FE2ED4" w:rsidRPr="002B3F36" w:rsidRDefault="00FE2ED4" w:rsidP="009B4CDB">
      <w:pPr>
        <w:widowControl/>
        <w:numPr>
          <w:ilvl w:val="0"/>
          <w:numId w:val="15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Define roles and responsibilities (RACI) and set KPIs (segregation rates, % recycled, incidents).</w:t>
      </w:r>
    </w:p>
    <w:p w14:paraId="398BACB9" w14:textId="77777777" w:rsidR="00FE2ED4" w:rsidRPr="002B3F36" w:rsidRDefault="00FE2ED4" w:rsidP="009B4CDB">
      <w:pPr>
        <w:widowControl/>
        <w:numPr>
          <w:ilvl w:val="0"/>
          <w:numId w:val="15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Classify all wastes under RoK legislation, secure required permits, and pre-qualify licensed contractors for transport and disposal.</w:t>
      </w:r>
    </w:p>
    <w:p w14:paraId="3E6E1437" w14:textId="3E5E0766" w:rsidR="00FE2ED4" w:rsidRPr="002B3F36" w:rsidRDefault="00FE2ED4" w:rsidP="009B4CDB">
      <w:pPr>
        <w:widowControl/>
        <w:numPr>
          <w:ilvl w:val="0"/>
          <w:numId w:val="15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Maintain a waste register, manifests, and receipts for all off-site transfers for audit/inspection by the Engineer/</w:t>
      </w:r>
      <w:r w:rsidR="00464922" w:rsidRPr="002B3F36">
        <w:rPr>
          <w:rFonts w:ascii="Arial" w:eastAsia="Times New Roman" w:hAnsi="Arial" w:cs="Arial"/>
          <w:sz w:val="24"/>
          <w:szCs w:val="24"/>
        </w:rPr>
        <w:t>KTZ</w:t>
      </w:r>
      <w:r w:rsidRPr="002B3F36">
        <w:rPr>
          <w:rFonts w:ascii="Arial" w:eastAsia="Times New Roman" w:hAnsi="Arial" w:cs="Arial"/>
          <w:sz w:val="24"/>
          <w:szCs w:val="24"/>
        </w:rPr>
        <w:t>.</w:t>
      </w:r>
    </w:p>
    <w:p w14:paraId="200A681C"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B. Segregation, Storage, and Housekeeping</w:t>
      </w:r>
    </w:p>
    <w:p w14:paraId="4A48C3C0" w14:textId="77777777" w:rsidR="00FE2ED4" w:rsidRPr="002B3F36" w:rsidRDefault="00FE2ED4" w:rsidP="009B4CDB">
      <w:pPr>
        <w:widowControl/>
        <w:numPr>
          <w:ilvl w:val="0"/>
          <w:numId w:val="155"/>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Provide </w:t>
      </w:r>
      <w:r w:rsidRPr="002B3F36">
        <w:rPr>
          <w:rFonts w:ascii="Arial" w:eastAsia="Times New Roman" w:hAnsi="Arial" w:cs="Arial"/>
          <w:b/>
          <w:bCs/>
          <w:sz w:val="24"/>
          <w:szCs w:val="24"/>
        </w:rPr>
        <w:t>color-coded containers</w:t>
      </w:r>
      <w:r w:rsidRPr="002B3F36">
        <w:rPr>
          <w:rFonts w:ascii="Arial" w:eastAsia="Times New Roman" w:hAnsi="Arial" w:cs="Arial"/>
          <w:sz w:val="24"/>
          <w:szCs w:val="24"/>
        </w:rPr>
        <w:t xml:space="preserve"> for recyclables, general waste, organics (if applied), and hazardous waste at camps, plants, and work fronts.</w:t>
      </w:r>
    </w:p>
    <w:p w14:paraId="648A84D3" w14:textId="77777777" w:rsidR="00FE2ED4" w:rsidRPr="002B3F36" w:rsidRDefault="00FE2ED4" w:rsidP="009B4CDB">
      <w:pPr>
        <w:widowControl/>
        <w:numPr>
          <w:ilvl w:val="0"/>
          <w:numId w:val="15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Store hazardous waste in covered, impermeable, bunded areas; segregate incompatibles and ensure containers are closed, labeled, and dated.</w:t>
      </w:r>
    </w:p>
    <w:p w14:paraId="311677F5" w14:textId="77777777" w:rsidR="00FE2ED4" w:rsidRPr="002B3F36" w:rsidRDefault="00FE2ED4" w:rsidP="009B4CDB">
      <w:pPr>
        <w:widowControl/>
        <w:numPr>
          <w:ilvl w:val="0"/>
          <w:numId w:val="15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Designate signed storage areas with spill kits and fire protection; limit on-site storage durations.</w:t>
      </w:r>
    </w:p>
    <w:p w14:paraId="4604BBA9" w14:textId="77777777" w:rsidR="00FE2ED4" w:rsidRPr="002B3F36" w:rsidRDefault="00FE2ED4" w:rsidP="009B4CDB">
      <w:pPr>
        <w:widowControl/>
        <w:numPr>
          <w:ilvl w:val="0"/>
          <w:numId w:val="15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Enforce strict prohibitions on open dumping, open burning, and littering; cover all waste loads during transport.</w:t>
      </w:r>
    </w:p>
    <w:p w14:paraId="3EA00B13"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C. Municipal Solid Waste (MSW)</w:t>
      </w:r>
    </w:p>
    <w:p w14:paraId="1CD5B916" w14:textId="77777777" w:rsidR="00FE2ED4" w:rsidRPr="002B3F36" w:rsidRDefault="00FE2ED4" w:rsidP="009B4CDB">
      <w:pPr>
        <w:widowControl/>
        <w:numPr>
          <w:ilvl w:val="0"/>
          <w:numId w:val="156"/>
        </w:numPr>
        <w:autoSpaceDE/>
        <w:autoSpaceDN/>
        <w:jc w:val="both"/>
        <w:rPr>
          <w:rFonts w:ascii="Arial" w:eastAsia="Times New Roman" w:hAnsi="Arial" w:cs="Arial"/>
          <w:sz w:val="24"/>
          <w:szCs w:val="24"/>
        </w:rPr>
      </w:pPr>
      <w:r w:rsidRPr="002B3F36">
        <w:rPr>
          <w:rFonts w:ascii="Arial" w:eastAsia="Times New Roman" w:hAnsi="Arial" w:cs="Arial"/>
          <w:sz w:val="24"/>
          <w:szCs w:val="24"/>
        </w:rPr>
        <w:t>Contract licensed collectors for routine removal to authorized facilities.</w:t>
      </w:r>
    </w:p>
    <w:p w14:paraId="4E2A4B05" w14:textId="77777777" w:rsidR="00FE2ED4" w:rsidRPr="002B3F36" w:rsidRDefault="00FE2ED4" w:rsidP="009B4CDB">
      <w:pPr>
        <w:widowControl/>
        <w:numPr>
          <w:ilvl w:val="0"/>
          <w:numId w:val="156"/>
        </w:numPr>
        <w:autoSpaceDE/>
        <w:autoSpaceDN/>
        <w:jc w:val="both"/>
        <w:rPr>
          <w:rFonts w:ascii="Arial" w:eastAsia="Times New Roman" w:hAnsi="Arial" w:cs="Arial"/>
          <w:sz w:val="24"/>
          <w:szCs w:val="24"/>
        </w:rPr>
      </w:pPr>
      <w:r w:rsidRPr="002B3F36">
        <w:rPr>
          <w:rFonts w:ascii="Arial" w:eastAsia="Times New Roman" w:hAnsi="Arial" w:cs="Arial"/>
          <w:sz w:val="24"/>
          <w:szCs w:val="24"/>
        </w:rPr>
        <w:t>Maximize recycling opportunities (plastics, paper, glass, metals) where local markets exist.</w:t>
      </w:r>
    </w:p>
    <w:p w14:paraId="478CEA57" w14:textId="77777777" w:rsidR="00FE2ED4" w:rsidRPr="002B3F36" w:rsidRDefault="00FE2ED4" w:rsidP="009B4CDB">
      <w:pPr>
        <w:widowControl/>
        <w:numPr>
          <w:ilvl w:val="0"/>
          <w:numId w:val="15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Implement housekeeping and anti-litter measures, especially at camp perimeters and laydown yards.</w:t>
      </w:r>
    </w:p>
    <w:p w14:paraId="0406D830" w14:textId="77777777" w:rsidR="00FE2ED4" w:rsidRPr="002B3F36" w:rsidRDefault="00FE2ED4" w:rsidP="00DE341F">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D. Inert Construction Waste</w:t>
      </w:r>
    </w:p>
    <w:p w14:paraId="15A04EFB" w14:textId="72EC7B80" w:rsidR="00FE2ED4" w:rsidRPr="002B3F36" w:rsidRDefault="00FE2ED4" w:rsidP="009B4CDB">
      <w:pPr>
        <w:widowControl/>
        <w:numPr>
          <w:ilvl w:val="0"/>
          <w:numId w:val="157"/>
        </w:numPr>
        <w:autoSpaceDE/>
        <w:autoSpaceDN/>
        <w:jc w:val="both"/>
        <w:rPr>
          <w:rFonts w:ascii="Arial" w:eastAsia="Times New Roman" w:hAnsi="Arial" w:cs="Arial"/>
          <w:sz w:val="24"/>
          <w:szCs w:val="24"/>
        </w:rPr>
      </w:pPr>
      <w:r w:rsidRPr="002B3F36">
        <w:rPr>
          <w:rFonts w:ascii="Arial" w:eastAsia="Times New Roman" w:hAnsi="Arial" w:cs="Arial"/>
          <w:sz w:val="24"/>
          <w:szCs w:val="24"/>
        </w:rPr>
        <w:t>Reuse concrete</w:t>
      </w:r>
      <w:r w:rsidR="00DE341F" w:rsidRPr="002B3F36">
        <w:rPr>
          <w:rFonts w:ascii="Arial" w:eastAsia="Times New Roman" w:hAnsi="Arial" w:cs="Arial"/>
          <w:sz w:val="24"/>
          <w:szCs w:val="24"/>
        </w:rPr>
        <w:t xml:space="preserve"> cement</w:t>
      </w:r>
      <w:r w:rsidRPr="002B3F36">
        <w:rPr>
          <w:rFonts w:ascii="Arial" w:eastAsia="Times New Roman" w:hAnsi="Arial" w:cs="Arial"/>
          <w:sz w:val="24"/>
          <w:szCs w:val="24"/>
        </w:rPr>
        <w:t xml:space="preserve"> millings and aggregates for sub-base or temporary access roads where approved.</w:t>
      </w:r>
    </w:p>
    <w:p w14:paraId="4202A6BC" w14:textId="77777777" w:rsidR="00FE2ED4" w:rsidRPr="002B3F36" w:rsidRDefault="00FE2ED4" w:rsidP="009B4CDB">
      <w:pPr>
        <w:widowControl/>
        <w:numPr>
          <w:ilvl w:val="0"/>
          <w:numId w:val="157"/>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Recycle scrap metals and timber through licensed recyclers.</w:t>
      </w:r>
    </w:p>
    <w:p w14:paraId="7AC352EF" w14:textId="77777777" w:rsidR="00FE2ED4" w:rsidRPr="002B3F36" w:rsidRDefault="00FE2ED4" w:rsidP="009B4CDB">
      <w:pPr>
        <w:widowControl/>
        <w:numPr>
          <w:ilvl w:val="0"/>
          <w:numId w:val="157"/>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lastRenderedPageBreak/>
        <w:t>Surplus inert materials to be disposed of at authorized recovery/disposal sites.</w:t>
      </w:r>
    </w:p>
    <w:p w14:paraId="32519675" w14:textId="126D809B" w:rsidR="00FE2ED4" w:rsidRPr="002B3F36" w:rsidRDefault="00FE2ED4" w:rsidP="009B4CDB">
      <w:pPr>
        <w:widowControl/>
        <w:numPr>
          <w:ilvl w:val="0"/>
          <w:numId w:val="157"/>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Donation of safe, non-hazardous reusable materials to local communities may be permitted with </w:t>
      </w:r>
      <w:r w:rsidR="00464922" w:rsidRPr="002B3F36">
        <w:rPr>
          <w:rFonts w:ascii="Arial" w:eastAsia="Times New Roman" w:hAnsi="Arial" w:cs="Arial"/>
          <w:sz w:val="24"/>
          <w:szCs w:val="24"/>
        </w:rPr>
        <w:t>KTZ</w:t>
      </w:r>
      <w:r w:rsidR="0011586A">
        <w:rPr>
          <w:rFonts w:ascii="Arial" w:eastAsia="Times New Roman" w:hAnsi="Arial" w:cs="Arial"/>
          <w:sz w:val="24"/>
          <w:szCs w:val="24"/>
        </w:rPr>
        <w:t>’s</w:t>
      </w:r>
      <w:r w:rsidRPr="002B3F36">
        <w:rPr>
          <w:rFonts w:ascii="Arial" w:eastAsia="Times New Roman" w:hAnsi="Arial" w:cs="Arial"/>
          <w:sz w:val="24"/>
          <w:szCs w:val="24"/>
        </w:rPr>
        <w:t>/Engineer</w:t>
      </w:r>
      <w:r w:rsidR="0011586A">
        <w:rPr>
          <w:rFonts w:ascii="Arial" w:eastAsia="Times New Roman" w:hAnsi="Arial" w:cs="Arial"/>
          <w:sz w:val="24"/>
          <w:szCs w:val="24"/>
        </w:rPr>
        <w:t>’s</w:t>
      </w:r>
      <w:r w:rsidRPr="002B3F36">
        <w:rPr>
          <w:rFonts w:ascii="Arial" w:eastAsia="Times New Roman" w:hAnsi="Arial" w:cs="Arial"/>
          <w:sz w:val="24"/>
          <w:szCs w:val="24"/>
        </w:rPr>
        <w:t xml:space="preserve"> approval.</w:t>
      </w:r>
    </w:p>
    <w:p w14:paraId="7F05D540"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E. Hazardous Waste (Special Controls)</w:t>
      </w:r>
    </w:p>
    <w:p w14:paraId="1DD2F4C9" w14:textId="77777777" w:rsidR="00FE2ED4" w:rsidRPr="002B3F36" w:rsidRDefault="00FE2ED4" w:rsidP="009B4CDB">
      <w:pPr>
        <w:widowControl/>
        <w:numPr>
          <w:ilvl w:val="0"/>
          <w:numId w:val="15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Used oil &amp; oily wastes:</w:t>
      </w:r>
      <w:r w:rsidRPr="002B3F36">
        <w:rPr>
          <w:rFonts w:ascii="Arial" w:eastAsia="Times New Roman" w:hAnsi="Arial" w:cs="Arial"/>
          <w:sz w:val="24"/>
          <w:szCs w:val="24"/>
        </w:rPr>
        <w:t xml:space="preserve"> Store in closed containers on bunded pads; dispatch to licensed facilities with manifests.</w:t>
      </w:r>
    </w:p>
    <w:p w14:paraId="4105724D" w14:textId="7C26EA53" w:rsidR="00FE2ED4" w:rsidRPr="002B3F36" w:rsidRDefault="00FE2ED4" w:rsidP="009B4CDB">
      <w:pPr>
        <w:widowControl/>
        <w:numPr>
          <w:ilvl w:val="0"/>
          <w:numId w:val="15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Paints/solvents/</w:t>
      </w:r>
      <w:r w:rsidR="00DE341F" w:rsidRPr="002B3F36">
        <w:rPr>
          <w:rFonts w:ascii="Arial" w:eastAsia="Times New Roman" w:hAnsi="Arial" w:cs="Arial"/>
          <w:b/>
          <w:bCs/>
          <w:sz w:val="24"/>
          <w:szCs w:val="24"/>
        </w:rPr>
        <w:t>cement</w:t>
      </w:r>
      <w:r w:rsidRPr="002B3F36">
        <w:rPr>
          <w:rFonts w:ascii="Arial" w:eastAsia="Times New Roman" w:hAnsi="Arial" w:cs="Arial"/>
          <w:b/>
          <w:bCs/>
          <w:sz w:val="24"/>
          <w:szCs w:val="24"/>
        </w:rPr>
        <w:t xml:space="preserve"> residues:</w:t>
      </w:r>
      <w:r w:rsidRPr="002B3F36">
        <w:rPr>
          <w:rFonts w:ascii="Arial" w:eastAsia="Times New Roman" w:hAnsi="Arial" w:cs="Arial"/>
          <w:sz w:val="24"/>
          <w:szCs w:val="24"/>
        </w:rPr>
        <w:t xml:space="preserve"> Keep in labeled containers; dispose through licensed hazardous facilities—no distribution to workers or communities.</w:t>
      </w:r>
    </w:p>
    <w:p w14:paraId="08FEBF0E" w14:textId="77777777" w:rsidR="00FE2ED4" w:rsidRPr="002B3F36" w:rsidRDefault="00FE2ED4" w:rsidP="009B4CDB">
      <w:pPr>
        <w:widowControl/>
        <w:numPr>
          <w:ilvl w:val="0"/>
          <w:numId w:val="15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Batteries &amp; mercury lamps:</w:t>
      </w:r>
      <w:r w:rsidRPr="002B3F36">
        <w:rPr>
          <w:rFonts w:ascii="Arial" w:eastAsia="Times New Roman" w:hAnsi="Arial" w:cs="Arial"/>
          <w:sz w:val="24"/>
          <w:szCs w:val="24"/>
        </w:rPr>
        <w:t xml:space="preserve"> Store upright in compatible packaging; transport to licensed handlers; prevent breakage.</w:t>
      </w:r>
    </w:p>
    <w:p w14:paraId="2FF42FB6" w14:textId="77777777" w:rsidR="00FE2ED4" w:rsidRPr="002B3F36" w:rsidRDefault="00FE2ED4" w:rsidP="009B4CDB">
      <w:pPr>
        <w:widowControl/>
        <w:numPr>
          <w:ilvl w:val="0"/>
          <w:numId w:val="15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Contaminated soil/absorbents:</w:t>
      </w:r>
      <w:r w:rsidRPr="002B3F36">
        <w:rPr>
          <w:rFonts w:ascii="Arial" w:eastAsia="Times New Roman" w:hAnsi="Arial" w:cs="Arial"/>
          <w:sz w:val="24"/>
          <w:szCs w:val="24"/>
        </w:rPr>
        <w:t xml:space="preserve"> Containerize and transfer to authorized facilities with disposal documentation.</w:t>
      </w:r>
    </w:p>
    <w:p w14:paraId="45D738BA" w14:textId="77777777" w:rsidR="00FE2ED4" w:rsidRPr="002B3F36" w:rsidRDefault="00FE2ED4" w:rsidP="009B4CDB">
      <w:pPr>
        <w:widowControl/>
        <w:numPr>
          <w:ilvl w:val="0"/>
          <w:numId w:val="15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Legacy hazardous materials (asbestos, PCB):</w:t>
      </w:r>
      <w:r w:rsidRPr="002B3F36">
        <w:rPr>
          <w:rFonts w:ascii="Arial" w:eastAsia="Times New Roman" w:hAnsi="Arial" w:cs="Arial"/>
          <w:sz w:val="24"/>
          <w:szCs w:val="24"/>
        </w:rPr>
        <w:t xml:space="preserve"> If encountered, isolate and manage under a task-specific method statement by certified personnel; notify authorities per RoK requirements.</w:t>
      </w:r>
    </w:p>
    <w:p w14:paraId="6CA808B7"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F. Wastewater and Wash Water</w:t>
      </w:r>
    </w:p>
    <w:p w14:paraId="056349D2" w14:textId="77777777" w:rsidR="00FE2ED4" w:rsidRPr="002B3F36" w:rsidRDefault="00FE2ED4" w:rsidP="009B4CDB">
      <w:pPr>
        <w:widowControl/>
        <w:numPr>
          <w:ilvl w:val="0"/>
          <w:numId w:val="159"/>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Connect camps to </w:t>
      </w:r>
      <w:r w:rsidRPr="002B3F36">
        <w:rPr>
          <w:rFonts w:ascii="Arial" w:eastAsia="Times New Roman" w:hAnsi="Arial" w:cs="Arial"/>
          <w:b/>
          <w:bCs/>
          <w:sz w:val="24"/>
          <w:szCs w:val="24"/>
        </w:rPr>
        <w:t>septic tanks or wastewater treatment plants (WWTPs)</w:t>
      </w:r>
      <w:r w:rsidRPr="002B3F36">
        <w:rPr>
          <w:rFonts w:ascii="Arial" w:eastAsia="Times New Roman" w:hAnsi="Arial" w:cs="Arial"/>
          <w:sz w:val="24"/>
          <w:szCs w:val="24"/>
        </w:rPr>
        <w:t xml:space="preserve"> sized for peak occupancy; desludge via licensed haulers.</w:t>
      </w:r>
    </w:p>
    <w:p w14:paraId="4D13C226" w14:textId="77777777" w:rsidR="00FE2ED4" w:rsidRPr="002B3F36" w:rsidRDefault="00FE2ED4" w:rsidP="009B4CDB">
      <w:pPr>
        <w:widowControl/>
        <w:numPr>
          <w:ilvl w:val="0"/>
          <w:numId w:val="15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Provide portable toilets at remote sites; haul septage to approved facilities—no direct discharge to land or water.</w:t>
      </w:r>
    </w:p>
    <w:p w14:paraId="0A0C02E0" w14:textId="77777777" w:rsidR="00FE2ED4" w:rsidRPr="002B3F36" w:rsidRDefault="00FE2ED4" w:rsidP="009B4CDB">
      <w:pPr>
        <w:widowControl/>
        <w:numPr>
          <w:ilvl w:val="0"/>
          <w:numId w:val="15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Construct lined </w:t>
      </w:r>
      <w:r w:rsidRPr="002B3F36">
        <w:rPr>
          <w:rFonts w:ascii="Arial" w:eastAsia="Times New Roman" w:hAnsi="Arial" w:cs="Arial"/>
          <w:b/>
          <w:bCs/>
          <w:sz w:val="24"/>
          <w:szCs w:val="24"/>
        </w:rPr>
        <w:t>concrete washout pits</w:t>
      </w:r>
      <w:r w:rsidRPr="002B3F36">
        <w:rPr>
          <w:rFonts w:ascii="Arial" w:eastAsia="Times New Roman" w:hAnsi="Arial" w:cs="Arial"/>
          <w:sz w:val="24"/>
          <w:szCs w:val="24"/>
        </w:rPr>
        <w:t xml:space="preserve"> for cement/concrete residues; treat alkaline wash water; prohibit uncontrolled discharges.</w:t>
      </w:r>
    </w:p>
    <w:p w14:paraId="09D70167" w14:textId="77777777" w:rsidR="00FE2ED4" w:rsidRPr="002B3F36" w:rsidRDefault="00FE2ED4" w:rsidP="009B4CDB">
      <w:pPr>
        <w:widowControl/>
        <w:numPr>
          <w:ilvl w:val="0"/>
          <w:numId w:val="15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Install </w:t>
      </w:r>
      <w:r w:rsidRPr="002B3F36">
        <w:rPr>
          <w:rFonts w:ascii="Arial" w:eastAsia="Times New Roman" w:hAnsi="Arial" w:cs="Arial"/>
          <w:b/>
          <w:bCs/>
          <w:sz w:val="24"/>
          <w:szCs w:val="24"/>
        </w:rPr>
        <w:t>oil–water separators</w:t>
      </w:r>
      <w:r w:rsidRPr="002B3F36">
        <w:rPr>
          <w:rFonts w:ascii="Arial" w:eastAsia="Times New Roman" w:hAnsi="Arial" w:cs="Arial"/>
          <w:sz w:val="24"/>
          <w:szCs w:val="24"/>
        </w:rPr>
        <w:t xml:space="preserve"> at wash bays; inspect and desludge regularly; dispose sludge at licensed facilities.</w:t>
      </w:r>
    </w:p>
    <w:p w14:paraId="185D7E79" w14:textId="77777777" w:rsidR="00FE2ED4" w:rsidRPr="002B3F36" w:rsidRDefault="00FE2ED4" w:rsidP="009B4CDB">
      <w:pPr>
        <w:widowControl/>
        <w:numPr>
          <w:ilvl w:val="0"/>
          <w:numId w:val="15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Settle and treat silt-laden water in sumps/tanks before reuse or controlled discharge (subject to permits).</w:t>
      </w:r>
    </w:p>
    <w:p w14:paraId="55C9A852"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G. Monitoring, Reporting, and Continuous Improvement</w:t>
      </w:r>
    </w:p>
    <w:p w14:paraId="344B2CC1" w14:textId="77777777" w:rsidR="00FE2ED4" w:rsidRPr="002B3F36" w:rsidRDefault="00FE2ED4" w:rsidP="009B4CDB">
      <w:pPr>
        <w:widowControl/>
        <w:numPr>
          <w:ilvl w:val="0"/>
          <w:numId w:val="160"/>
        </w:numPr>
        <w:autoSpaceDE/>
        <w:autoSpaceDN/>
        <w:jc w:val="both"/>
        <w:rPr>
          <w:rFonts w:ascii="Arial" w:eastAsia="Times New Roman" w:hAnsi="Arial" w:cs="Arial"/>
          <w:sz w:val="24"/>
          <w:szCs w:val="24"/>
        </w:rPr>
      </w:pPr>
      <w:r w:rsidRPr="002B3F36">
        <w:rPr>
          <w:rFonts w:ascii="Arial" w:eastAsia="Times New Roman" w:hAnsi="Arial" w:cs="Arial"/>
          <w:sz w:val="24"/>
          <w:szCs w:val="24"/>
        </w:rPr>
        <w:t>Weekly inspections of storage areas; monthly waste reports disaggregated by stream (generated, reused, recycled, disposed), with manifests attached.</w:t>
      </w:r>
    </w:p>
    <w:p w14:paraId="4300AF38" w14:textId="77777777" w:rsidR="00FE2ED4" w:rsidRPr="002B3F36" w:rsidRDefault="00FE2ED4" w:rsidP="009B4CDB">
      <w:pPr>
        <w:widowControl/>
        <w:numPr>
          <w:ilvl w:val="0"/>
          <w:numId w:val="160"/>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Track non-conformances and implement CAPAs.</w:t>
      </w:r>
    </w:p>
    <w:p w14:paraId="0C4EDFA6" w14:textId="3A05434F" w:rsidR="00FE2ED4" w:rsidRPr="002B3F36" w:rsidRDefault="00FE2ED4" w:rsidP="009B4CDB">
      <w:pPr>
        <w:widowControl/>
        <w:numPr>
          <w:ilvl w:val="0"/>
          <w:numId w:val="160"/>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Report waste KPIs in monthly E&amp;S reports to the Engineer/</w:t>
      </w:r>
      <w:r w:rsidR="00464922" w:rsidRPr="002B3F36">
        <w:rPr>
          <w:rFonts w:ascii="Arial" w:eastAsia="Times New Roman" w:hAnsi="Arial" w:cs="Arial"/>
          <w:sz w:val="24"/>
          <w:szCs w:val="24"/>
        </w:rPr>
        <w:t>KTZ</w:t>
      </w:r>
      <w:r w:rsidRPr="002B3F36">
        <w:rPr>
          <w:rFonts w:ascii="Arial" w:eastAsia="Times New Roman" w:hAnsi="Arial" w:cs="Arial"/>
          <w:sz w:val="24"/>
          <w:szCs w:val="24"/>
        </w:rPr>
        <w:t>.</w:t>
      </w:r>
    </w:p>
    <w:p w14:paraId="48E690C9" w14:textId="77777777" w:rsidR="00FE2ED4" w:rsidRPr="002B3F36" w:rsidRDefault="00FE2ED4" w:rsidP="009B4CDB">
      <w:pPr>
        <w:widowControl/>
        <w:numPr>
          <w:ilvl w:val="0"/>
          <w:numId w:val="160"/>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Accept waste-related complaints through the worker and community GRMs (e.g., odors, litter, vermin); investigate and close out with documented feedback.</w:t>
      </w:r>
    </w:p>
    <w:p w14:paraId="504D52AC" w14:textId="77777777"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Prohibited Practices</w:t>
      </w:r>
    </w:p>
    <w:p w14:paraId="416980A7" w14:textId="77777777" w:rsidR="00FE2ED4" w:rsidRPr="002B3F36" w:rsidRDefault="00FE2ED4" w:rsidP="009B4CDB">
      <w:pPr>
        <w:widowControl/>
        <w:numPr>
          <w:ilvl w:val="0"/>
          <w:numId w:val="161"/>
        </w:numPr>
        <w:autoSpaceDE/>
        <w:autoSpaceDN/>
        <w:jc w:val="both"/>
        <w:rPr>
          <w:rFonts w:ascii="Arial" w:eastAsia="Times New Roman" w:hAnsi="Arial" w:cs="Arial"/>
          <w:sz w:val="24"/>
          <w:szCs w:val="24"/>
        </w:rPr>
      </w:pPr>
      <w:r w:rsidRPr="002B3F36">
        <w:rPr>
          <w:rFonts w:ascii="Arial" w:eastAsia="Times New Roman" w:hAnsi="Arial" w:cs="Arial"/>
          <w:sz w:val="24"/>
          <w:szCs w:val="24"/>
        </w:rPr>
        <w:t>Open burning or dumping of any waste.</w:t>
      </w:r>
    </w:p>
    <w:p w14:paraId="07795D4A" w14:textId="77777777" w:rsidR="00FE2ED4" w:rsidRPr="002B3F36" w:rsidRDefault="00FE2ED4" w:rsidP="009B4CDB">
      <w:pPr>
        <w:widowControl/>
        <w:numPr>
          <w:ilvl w:val="0"/>
          <w:numId w:val="161"/>
        </w:numPr>
        <w:autoSpaceDE/>
        <w:autoSpaceDN/>
        <w:jc w:val="both"/>
        <w:rPr>
          <w:rFonts w:ascii="Arial" w:eastAsia="Times New Roman" w:hAnsi="Arial" w:cs="Arial"/>
          <w:sz w:val="24"/>
          <w:szCs w:val="24"/>
        </w:rPr>
      </w:pPr>
      <w:r w:rsidRPr="002B3F36">
        <w:rPr>
          <w:rFonts w:ascii="Arial" w:eastAsia="Times New Roman" w:hAnsi="Arial" w:cs="Arial"/>
          <w:sz w:val="24"/>
          <w:szCs w:val="24"/>
        </w:rPr>
        <w:t>Disposal of oils, chemicals, or liquid waste directly onto soil or into drains/watercourses.</w:t>
      </w:r>
    </w:p>
    <w:p w14:paraId="55FC9275" w14:textId="77777777" w:rsidR="00FE2ED4" w:rsidRPr="002B3F36" w:rsidRDefault="00FE2ED4" w:rsidP="009B4CDB">
      <w:pPr>
        <w:widowControl/>
        <w:numPr>
          <w:ilvl w:val="0"/>
          <w:numId w:val="161"/>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Sale or distribution of hazardous residues (e.g., solvents, oils, batteries, contaminated containers) to workers or communities.</w:t>
      </w:r>
    </w:p>
    <w:p w14:paraId="12E43529" w14:textId="50382A43" w:rsidR="00F61F8E" w:rsidRPr="002B3F36" w:rsidRDefault="00FE2ED4" w:rsidP="009B4CDB">
      <w:pPr>
        <w:widowControl/>
        <w:numPr>
          <w:ilvl w:val="0"/>
          <w:numId w:val="161"/>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Allowing scavenging within storage or construction sites.</w:t>
      </w:r>
    </w:p>
    <w:p w14:paraId="57D810AD" w14:textId="1D07846D" w:rsidR="00F61F8E" w:rsidRPr="002B3F36" w:rsidRDefault="000F264B" w:rsidP="00F51590">
      <w:pPr>
        <w:pStyle w:val="31"/>
        <w:ind w:left="720"/>
      </w:pPr>
      <w:bookmarkStart w:id="2486" w:name="_Toc169094788"/>
      <w:bookmarkStart w:id="2487" w:name="_Toc208973873"/>
      <w:bookmarkStart w:id="2488" w:name="_Toc208974073"/>
      <w:bookmarkStart w:id="2489" w:name="_Toc208974273"/>
      <w:bookmarkStart w:id="2490" w:name="_Toc208974476"/>
      <w:bookmarkStart w:id="2491" w:name="_Toc208974681"/>
      <w:bookmarkStart w:id="2492" w:name="_Toc210589515"/>
      <w:r w:rsidRPr="002B3F36">
        <w:t xml:space="preserve">E&amp;S </w:t>
      </w:r>
      <w:r w:rsidR="00737959" w:rsidRPr="002B3F36">
        <w:t>R</w:t>
      </w:r>
      <w:r w:rsidRPr="002B3F36">
        <w:t xml:space="preserve">isks and </w:t>
      </w:r>
      <w:r w:rsidR="00737959" w:rsidRPr="002B3F36">
        <w:t>I</w:t>
      </w:r>
      <w:r w:rsidRPr="002B3F36">
        <w:t xml:space="preserve">mpacts </w:t>
      </w:r>
      <w:r w:rsidR="00737959" w:rsidRPr="002B3F36">
        <w:t>R</w:t>
      </w:r>
      <w:r w:rsidRPr="002B3F36">
        <w:t xml:space="preserve">elating to </w:t>
      </w:r>
      <w:r w:rsidR="00974479" w:rsidRPr="002B3F36">
        <w:t>P</w:t>
      </w:r>
      <w:r w:rsidRPr="002B3F36">
        <w:t>S 4</w:t>
      </w:r>
      <w:bookmarkEnd w:id="2486"/>
      <w:bookmarkEnd w:id="2487"/>
      <w:bookmarkEnd w:id="2488"/>
      <w:bookmarkEnd w:id="2489"/>
      <w:bookmarkEnd w:id="2490"/>
      <w:bookmarkEnd w:id="2491"/>
      <w:bookmarkEnd w:id="2492"/>
    </w:p>
    <w:p w14:paraId="6CD25BDC" w14:textId="18E1E158" w:rsidR="00974479" w:rsidRPr="002B3F36" w:rsidRDefault="00974479" w:rsidP="00974479">
      <w:pPr>
        <w:pStyle w:val="ReportBodyPar"/>
      </w:pPr>
    </w:p>
    <w:p w14:paraId="2C8E9A60" w14:textId="7CA2A8DF" w:rsidR="00737959" w:rsidRPr="002B3F36" w:rsidRDefault="00737959" w:rsidP="00974479">
      <w:pPr>
        <w:pStyle w:val="ReportBodyPar"/>
      </w:pPr>
      <w:r w:rsidRPr="002B3F36">
        <w:t xml:space="preserve">The construction of the </w:t>
      </w:r>
      <w:r w:rsidR="003650DB" w:rsidRPr="002B3F36">
        <w:t xml:space="preserve">Mointy – Kyzylzhar </w:t>
      </w:r>
      <w:r w:rsidRPr="002B3F36">
        <w:t xml:space="preserve">Railway presents a range of potential community health, safety, and security risks that must be carefully managed in accordance with </w:t>
      </w:r>
      <w:r w:rsidR="00F95BD8" w:rsidRPr="002B3F36">
        <w:t>WB</w:t>
      </w:r>
      <w:r w:rsidRPr="002B3F36">
        <w:t xml:space="preserve"> Performance Standard 4 (PS4)</w:t>
      </w:r>
      <w:r w:rsidR="00D149B4" w:rsidRPr="002B3F36">
        <w:t>: Community Health, Safety, and Security</w:t>
      </w:r>
      <w:r w:rsidRPr="002B3F36">
        <w:t xml:space="preserve">, the WBG General EHS Guidelines (2007), and applicable Kazakhstan legislation, including the Environmental Code (2021) and the Law on Civil Protection (2014). Communities along and adjacent to the </w:t>
      </w:r>
      <w:r w:rsidRPr="002B3F36">
        <w:lastRenderedPageBreak/>
        <w:t xml:space="preserve">railway alignment face direct risks from increased traffic volumes, heavy machinery operations, open excavations, and auxiliary facilities such as batching plants, quarries, and camps, as well as indirect risks from hazardous materials, structural instability, and restricted access routes. These risks are amplified in agricultural and pastoral areas where livestock and wildlife may inadvertently enter construction zones, creating additional safety concerns. A systematic approach involving traffic management, worksite safety protocols, community engagement, and continuous monitoring will therefore be essential to minimize accident risks, safeguard vulnerable populations, and ensure compliance with both national regulations and </w:t>
      </w:r>
      <w:r w:rsidR="00163238" w:rsidRPr="002B3F36">
        <w:t>WB PS</w:t>
      </w:r>
      <w:r w:rsidRPr="002B3F36">
        <w:t>4 requirements throughout the project lifecycle.</w:t>
      </w:r>
    </w:p>
    <w:p w14:paraId="290B2F3D" w14:textId="77777777" w:rsidR="00737959" w:rsidRPr="002B3F36" w:rsidRDefault="00737959" w:rsidP="00974479">
      <w:pPr>
        <w:pStyle w:val="ReportBodyPar"/>
      </w:pPr>
    </w:p>
    <w:p w14:paraId="2A34A026" w14:textId="77777777" w:rsidR="00F61F8E" w:rsidRPr="002B3F36" w:rsidRDefault="000F264B" w:rsidP="00526D61">
      <w:pPr>
        <w:pStyle w:val="DiaList12"/>
        <w:rPr>
          <w:rFonts w:eastAsia="SimSun"/>
          <w:lang w:val="en-PH"/>
        </w:rPr>
      </w:pPr>
      <w:r w:rsidRPr="002B3F36">
        <w:rPr>
          <w:rFonts w:eastAsia="SimSun"/>
          <w:lang w:val="en-PH"/>
        </w:rPr>
        <w:t>Origin of Impact</w:t>
      </w:r>
    </w:p>
    <w:p w14:paraId="6ECE8FE5" w14:textId="4BCBB213"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During the construction phase, communities located along or connected to the </w:t>
      </w:r>
      <w:r w:rsidR="003650DB" w:rsidRPr="002B3F36">
        <w:rPr>
          <w:rFonts w:ascii="Arial" w:eastAsia="Times New Roman" w:hAnsi="Arial" w:cs="Arial"/>
          <w:sz w:val="24"/>
          <w:szCs w:val="24"/>
        </w:rPr>
        <w:t xml:space="preserve">Mointy – Kyzylzhar </w:t>
      </w:r>
      <w:r w:rsidRPr="002B3F36">
        <w:rPr>
          <w:rFonts w:ascii="Arial" w:eastAsia="Times New Roman" w:hAnsi="Arial" w:cs="Arial"/>
          <w:sz w:val="24"/>
          <w:szCs w:val="24"/>
        </w:rPr>
        <w:t>Railway alignment may be exposed to a range of health and safety risks. These arise primarily from:</w:t>
      </w:r>
    </w:p>
    <w:p w14:paraId="0573309E" w14:textId="77777777" w:rsidR="00FE2ED4" w:rsidRPr="002B3F36" w:rsidRDefault="00FE2ED4" w:rsidP="009B4CDB">
      <w:pPr>
        <w:widowControl/>
        <w:numPr>
          <w:ilvl w:val="0"/>
          <w:numId w:val="162"/>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Increased traffic and heavy equipment movements</w:t>
      </w:r>
      <w:r w:rsidRPr="002B3F36">
        <w:rPr>
          <w:rFonts w:ascii="Arial" w:eastAsia="Times New Roman" w:hAnsi="Arial" w:cs="Arial"/>
          <w:sz w:val="24"/>
          <w:szCs w:val="24"/>
        </w:rPr>
        <w:t xml:space="preserve"> on local roads, haul routes, and temporary detours.</w:t>
      </w:r>
    </w:p>
    <w:p w14:paraId="2F1CCA95" w14:textId="77777777" w:rsidR="00FE2ED4" w:rsidRPr="002B3F36" w:rsidRDefault="00FE2ED4" w:rsidP="009B4CDB">
      <w:pPr>
        <w:widowControl/>
        <w:numPr>
          <w:ilvl w:val="0"/>
          <w:numId w:val="162"/>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Railroad construction activities</w:t>
      </w:r>
      <w:r w:rsidRPr="002B3F36">
        <w:rPr>
          <w:rFonts w:ascii="Arial" w:eastAsia="Times New Roman" w:hAnsi="Arial" w:cs="Arial"/>
          <w:sz w:val="24"/>
          <w:szCs w:val="24"/>
        </w:rPr>
        <w:t>, including open excavations, embankment works, and bridge/culvert erection.</w:t>
      </w:r>
    </w:p>
    <w:p w14:paraId="7E947DE8" w14:textId="77777777" w:rsidR="00FE2ED4" w:rsidRPr="002B3F36" w:rsidRDefault="00FE2ED4" w:rsidP="009B4CDB">
      <w:pPr>
        <w:widowControl/>
        <w:numPr>
          <w:ilvl w:val="0"/>
          <w:numId w:val="162"/>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Auxiliary facility operations</w:t>
      </w:r>
      <w:r w:rsidRPr="002B3F36">
        <w:rPr>
          <w:rFonts w:ascii="Arial" w:eastAsia="Times New Roman" w:hAnsi="Arial" w:cs="Arial"/>
          <w:sz w:val="24"/>
          <w:szCs w:val="24"/>
        </w:rPr>
        <w:t>, such as batching/crushing plants, quarries, camps, and workshops.</w:t>
      </w:r>
    </w:p>
    <w:p w14:paraId="21AF2DEF" w14:textId="77777777" w:rsidR="00FE2ED4" w:rsidRPr="002B3F36" w:rsidRDefault="00FE2ED4" w:rsidP="009B4CDB">
      <w:pPr>
        <w:widowControl/>
        <w:numPr>
          <w:ilvl w:val="0"/>
          <w:numId w:val="162"/>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Exposed hazards</w:t>
      </w:r>
      <w:r w:rsidRPr="002B3F36">
        <w:rPr>
          <w:rFonts w:ascii="Arial" w:eastAsia="Times New Roman" w:hAnsi="Arial" w:cs="Arial"/>
          <w:sz w:val="24"/>
          <w:szCs w:val="24"/>
        </w:rPr>
        <w:t xml:space="preserve"> such as steep embankments, open pits, stockpiles, and areas prone to natural hazards (flooding, slope collapse, fire).</w:t>
      </w:r>
    </w:p>
    <w:p w14:paraId="0C74A775" w14:textId="5436B159" w:rsidR="00F61F8E" w:rsidRPr="002B3F36" w:rsidRDefault="00FE2ED4" w:rsidP="00FE2ED4">
      <w:pPr>
        <w:widowControl/>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These zones pose risks not only to nearby residents but also to livestock and wildlife, given that much of the corridor traverses </w:t>
      </w:r>
      <w:r w:rsidRPr="002B3F36">
        <w:rPr>
          <w:rFonts w:ascii="Arial" w:eastAsia="Times New Roman" w:hAnsi="Arial" w:cs="Arial"/>
          <w:b/>
          <w:bCs/>
          <w:sz w:val="24"/>
          <w:szCs w:val="24"/>
        </w:rPr>
        <w:t>farmland and pastureland</w:t>
      </w:r>
      <w:r w:rsidRPr="002B3F36">
        <w:rPr>
          <w:rFonts w:ascii="Arial" w:eastAsia="Times New Roman" w:hAnsi="Arial" w:cs="Arial"/>
          <w:sz w:val="24"/>
          <w:szCs w:val="24"/>
        </w:rPr>
        <w:t xml:space="preserve">. Communities may also face indirect safety concerns related to </w:t>
      </w:r>
      <w:r w:rsidRPr="002B3F36">
        <w:rPr>
          <w:rFonts w:ascii="Arial" w:eastAsia="Times New Roman" w:hAnsi="Arial" w:cs="Arial"/>
          <w:b/>
          <w:bCs/>
          <w:sz w:val="24"/>
          <w:szCs w:val="24"/>
        </w:rPr>
        <w:t>structural safety, exposure to hazardous materials, or disruption of existing access routes and circulation patterns</w:t>
      </w:r>
      <w:r w:rsidRPr="002B3F36">
        <w:rPr>
          <w:rFonts w:ascii="Arial" w:eastAsia="Times New Roman" w:hAnsi="Arial" w:cs="Arial"/>
          <w:sz w:val="24"/>
          <w:szCs w:val="24"/>
        </w:rPr>
        <w:t>.</w:t>
      </w:r>
    </w:p>
    <w:p w14:paraId="7248E4CE" w14:textId="77777777" w:rsidR="00F61F8E" w:rsidRPr="002B3F36" w:rsidRDefault="000F264B" w:rsidP="00526D61">
      <w:pPr>
        <w:pStyle w:val="DiaList12"/>
        <w:rPr>
          <w:rFonts w:eastAsia="SimSun"/>
          <w:lang w:val="en-PH"/>
        </w:rPr>
      </w:pPr>
      <w:r w:rsidRPr="002B3F36">
        <w:rPr>
          <w:rFonts w:eastAsia="SimSun"/>
          <w:lang w:val="en-PH"/>
        </w:rPr>
        <w:t>Impact Assessment</w:t>
      </w:r>
    </w:p>
    <w:p w14:paraId="15485FFF" w14:textId="0DECABEB" w:rsidR="00FE2ED4" w:rsidRPr="002B3F36" w:rsidRDefault="00FE2ED4" w:rsidP="00526D61">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Without effective controls, work zones containing heavy machinery, open excavations, chemicals, and high vehicle activity present </w:t>
      </w:r>
      <w:r w:rsidRPr="002B3F36">
        <w:rPr>
          <w:rFonts w:ascii="Arial" w:eastAsia="Times New Roman" w:hAnsi="Arial" w:cs="Arial"/>
          <w:b/>
          <w:bCs/>
          <w:sz w:val="24"/>
          <w:szCs w:val="24"/>
        </w:rPr>
        <w:t>substantial risks</w:t>
      </w:r>
      <w:r w:rsidRPr="002B3F36">
        <w:rPr>
          <w:rFonts w:ascii="Arial" w:eastAsia="Times New Roman" w:hAnsi="Arial" w:cs="Arial"/>
          <w:sz w:val="24"/>
          <w:szCs w:val="24"/>
        </w:rPr>
        <w:t xml:space="preserve"> of accidents to people and animals.</w:t>
      </w:r>
    </w:p>
    <w:p w14:paraId="14977D9A" w14:textId="77777777" w:rsidR="00FE2ED4" w:rsidRPr="002B3F36" w:rsidRDefault="00FE2ED4" w:rsidP="009B4CDB">
      <w:pPr>
        <w:widowControl/>
        <w:numPr>
          <w:ilvl w:val="0"/>
          <w:numId w:val="163"/>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For communities located farther from the right-of-way and bypass routes, impacts are likely to remain </w:t>
      </w:r>
      <w:r w:rsidRPr="002B3F36">
        <w:rPr>
          <w:rFonts w:ascii="Arial" w:eastAsia="Times New Roman" w:hAnsi="Arial" w:cs="Arial"/>
          <w:b/>
          <w:bCs/>
          <w:sz w:val="24"/>
          <w:szCs w:val="24"/>
        </w:rPr>
        <w:t>minor</w:t>
      </w:r>
      <w:r w:rsidRPr="002B3F36">
        <w:rPr>
          <w:rFonts w:ascii="Arial" w:eastAsia="Times New Roman" w:hAnsi="Arial" w:cs="Arial"/>
          <w:sz w:val="24"/>
          <w:szCs w:val="24"/>
        </w:rPr>
        <w:t>, as exposure is limited.</w:t>
      </w:r>
    </w:p>
    <w:p w14:paraId="12BA26C2" w14:textId="77777777" w:rsidR="00FE2ED4" w:rsidRPr="002B3F36" w:rsidRDefault="00FE2ED4" w:rsidP="009B4CDB">
      <w:pPr>
        <w:widowControl/>
        <w:numPr>
          <w:ilvl w:val="0"/>
          <w:numId w:val="16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For farmlands, pasturelands, and livestock crossings, impacts are expected to be </w:t>
      </w:r>
      <w:r w:rsidRPr="002B3F36">
        <w:rPr>
          <w:rFonts w:ascii="Arial" w:eastAsia="Times New Roman" w:hAnsi="Arial" w:cs="Arial"/>
          <w:b/>
          <w:bCs/>
          <w:sz w:val="24"/>
          <w:szCs w:val="24"/>
        </w:rPr>
        <w:t>moderate in magnitude</w:t>
      </w:r>
      <w:r w:rsidRPr="002B3F36">
        <w:rPr>
          <w:rFonts w:ascii="Arial" w:eastAsia="Times New Roman" w:hAnsi="Arial" w:cs="Arial"/>
          <w:sz w:val="24"/>
          <w:szCs w:val="24"/>
        </w:rPr>
        <w:t>, given the likelihood of animals straying into construction areas.</w:t>
      </w:r>
    </w:p>
    <w:p w14:paraId="0A6DA198" w14:textId="77777777" w:rsidR="00FE2ED4" w:rsidRPr="002B3F36" w:rsidRDefault="00FE2ED4" w:rsidP="009B4CDB">
      <w:pPr>
        <w:widowControl/>
        <w:numPr>
          <w:ilvl w:val="0"/>
          <w:numId w:val="16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Existing traffic along public roads connecting to the corridor faces </w:t>
      </w:r>
      <w:r w:rsidRPr="002B3F36">
        <w:rPr>
          <w:rFonts w:ascii="Arial" w:eastAsia="Times New Roman" w:hAnsi="Arial" w:cs="Arial"/>
          <w:b/>
          <w:bCs/>
          <w:sz w:val="24"/>
          <w:szCs w:val="24"/>
        </w:rPr>
        <w:t>higher exposure risks</w:t>
      </w:r>
      <w:r w:rsidRPr="002B3F36">
        <w:rPr>
          <w:rFonts w:ascii="Arial" w:eastAsia="Times New Roman" w:hAnsi="Arial" w:cs="Arial"/>
          <w:sz w:val="24"/>
          <w:szCs w:val="24"/>
        </w:rPr>
        <w:t>, particularly at crossings and detours.</w:t>
      </w:r>
    </w:p>
    <w:p w14:paraId="5FFB28F5" w14:textId="6D41E0C5" w:rsidR="00D149B4" w:rsidRPr="002B3F36" w:rsidRDefault="00D149B4" w:rsidP="00D149B4">
      <w:pPr>
        <w:pStyle w:val="ReportBodyPar"/>
      </w:pPr>
      <w:r w:rsidRPr="002B3F36">
        <w:t xml:space="preserve">In terms of Community Health, Safety, and Security risks, the Project will introduce “indirect” impact to the community as the good safe distance from the project. In terms of duration, “long term”, though “limited and minor in scale” due to distance; however, the “frequency of impact” can be constant due to the daily or continuous construction </w:t>
      </w:r>
      <w:r w:rsidR="009D0CE5" w:rsidRPr="002B3F36">
        <w:t>activities</w:t>
      </w:r>
      <w:r w:rsidRPr="002B3F36">
        <w:t xml:space="preserve">. Applying the “Significance of Impact Matrix”, it can be considered that the </w:t>
      </w:r>
      <w:r w:rsidR="009D0CE5" w:rsidRPr="002B3F36">
        <w:t>communities</w:t>
      </w:r>
      <w:r w:rsidRPr="002B3F36">
        <w:t xml:space="preserve"> may have receptor “Low sensitivity”, while the impact magnitude level is </w:t>
      </w:r>
      <w:r w:rsidR="009D0CE5" w:rsidRPr="002B3F36">
        <w:t>negligible</w:t>
      </w:r>
      <w:r w:rsidRPr="002B3F36">
        <w:t>. This yields a significance impact of “</w:t>
      </w:r>
      <w:r w:rsidR="009D0CE5" w:rsidRPr="002B3F36">
        <w:t>Negligible</w:t>
      </w:r>
      <w:r w:rsidRPr="002B3F36">
        <w:t>”.</w:t>
      </w:r>
    </w:p>
    <w:p w14:paraId="73E29F07" w14:textId="77777777" w:rsidR="00D149B4" w:rsidRPr="002B3F36" w:rsidRDefault="00D149B4" w:rsidP="003D37BF">
      <w:pPr>
        <w:pStyle w:val="ReportBodyPar"/>
      </w:pPr>
    </w:p>
    <w:p w14:paraId="0E8E50F4" w14:textId="77777777" w:rsidR="00FE2ED4" w:rsidRPr="002B3F36" w:rsidRDefault="00FE2ED4" w:rsidP="00526D61">
      <w:pPr>
        <w:pStyle w:val="DiaList12"/>
        <w:rPr>
          <w:rFonts w:eastAsia="SimSun"/>
          <w:lang w:val="en-PH"/>
        </w:rPr>
      </w:pPr>
      <w:r w:rsidRPr="002B3F36">
        <w:rPr>
          <w:rFonts w:eastAsia="SimSun"/>
          <w:lang w:val="en-PH"/>
        </w:rPr>
        <w:t>Mitigation Measures</w:t>
      </w:r>
    </w:p>
    <w:p w14:paraId="04C45DB6" w14:textId="1358D7FC" w:rsidR="00FE2ED4" w:rsidRPr="002B3F36" w:rsidRDefault="00FE2ED4" w:rsidP="00526D61">
      <w:pPr>
        <w:pStyle w:val="aff9"/>
        <w:spacing w:before="0" w:beforeAutospacing="0" w:after="0" w:afterAutospacing="0"/>
        <w:jc w:val="both"/>
        <w:rPr>
          <w:rFonts w:ascii="Arial" w:hAnsi="Arial" w:cs="Arial"/>
        </w:rPr>
      </w:pPr>
      <w:r w:rsidRPr="002B3F36">
        <w:rPr>
          <w:rFonts w:ascii="Arial" w:hAnsi="Arial" w:cs="Arial"/>
        </w:rPr>
        <w:t xml:space="preserve">To reduce risks and ensure alignment with </w:t>
      </w:r>
      <w:r w:rsidR="00163238" w:rsidRPr="002B3F36">
        <w:rPr>
          <w:rStyle w:val="affffb"/>
        </w:rPr>
        <w:t>WB PS</w:t>
      </w:r>
      <w:r w:rsidRPr="002B3F36">
        <w:rPr>
          <w:rStyle w:val="affffb"/>
        </w:rPr>
        <w:t>4</w:t>
      </w:r>
      <w:r w:rsidRPr="002B3F36">
        <w:rPr>
          <w:rFonts w:ascii="Arial" w:hAnsi="Arial" w:cs="Arial"/>
        </w:rPr>
        <w:t>, the Contractor shall adopt and implement the following measures:</w:t>
      </w:r>
    </w:p>
    <w:p w14:paraId="20D74E30" w14:textId="77777777" w:rsidR="00526D61" w:rsidRPr="002B3F36" w:rsidRDefault="00526D61" w:rsidP="00526D61">
      <w:pPr>
        <w:pStyle w:val="aff9"/>
        <w:spacing w:before="0" w:beforeAutospacing="0" w:after="0" w:afterAutospacing="0"/>
        <w:jc w:val="both"/>
        <w:rPr>
          <w:rFonts w:ascii="Arial" w:hAnsi="Arial" w:cs="Arial"/>
        </w:rPr>
      </w:pPr>
    </w:p>
    <w:p w14:paraId="7C4BC403" w14:textId="77777777" w:rsidR="00FE2ED4" w:rsidRPr="002B3F36" w:rsidRDefault="00FE2ED4" w:rsidP="00526D61">
      <w:pPr>
        <w:pStyle w:val="aff9"/>
        <w:spacing w:before="0" w:beforeAutospacing="0" w:after="0" w:afterAutospacing="0"/>
        <w:jc w:val="both"/>
        <w:rPr>
          <w:rFonts w:ascii="Arial" w:hAnsi="Arial" w:cs="Arial"/>
        </w:rPr>
      </w:pPr>
      <w:r w:rsidRPr="002B3F36">
        <w:rPr>
          <w:rStyle w:val="affffb"/>
        </w:rPr>
        <w:lastRenderedPageBreak/>
        <w:t>Traffic and Access Management</w:t>
      </w:r>
    </w:p>
    <w:p w14:paraId="01ABB070" w14:textId="77777777" w:rsidR="00FE2ED4" w:rsidRPr="002B3F36" w:rsidRDefault="00FE2ED4" w:rsidP="009B4CDB">
      <w:pPr>
        <w:pStyle w:val="aff9"/>
        <w:numPr>
          <w:ilvl w:val="0"/>
          <w:numId w:val="164"/>
        </w:numPr>
        <w:spacing w:before="0" w:beforeAutospacing="0" w:after="0" w:afterAutospacing="0"/>
        <w:jc w:val="both"/>
        <w:rPr>
          <w:rFonts w:ascii="Arial" w:hAnsi="Arial" w:cs="Arial"/>
        </w:rPr>
      </w:pPr>
      <w:r w:rsidRPr="002B3F36">
        <w:rPr>
          <w:rFonts w:ascii="Arial" w:hAnsi="Arial" w:cs="Arial"/>
        </w:rPr>
        <w:t xml:space="preserve">Develop and implement a </w:t>
      </w:r>
      <w:r w:rsidRPr="002B3F36">
        <w:rPr>
          <w:rStyle w:val="affffb"/>
        </w:rPr>
        <w:t>site-specific Traffic Management Plan (TMP)</w:t>
      </w:r>
      <w:r w:rsidRPr="002B3F36">
        <w:rPr>
          <w:rFonts w:ascii="Arial" w:hAnsi="Arial" w:cs="Arial"/>
        </w:rPr>
        <w:t xml:space="preserve"> prior to commencing civil works.</w:t>
      </w:r>
    </w:p>
    <w:p w14:paraId="329C6A37" w14:textId="77777777" w:rsidR="00FE2ED4" w:rsidRPr="002B3F36" w:rsidRDefault="00FE2ED4" w:rsidP="009B4CDB">
      <w:pPr>
        <w:pStyle w:val="aff9"/>
        <w:numPr>
          <w:ilvl w:val="0"/>
          <w:numId w:val="164"/>
        </w:numPr>
        <w:jc w:val="both"/>
        <w:rPr>
          <w:rFonts w:ascii="Arial" w:hAnsi="Arial" w:cs="Arial"/>
        </w:rPr>
      </w:pPr>
      <w:r w:rsidRPr="002B3F36">
        <w:rPr>
          <w:rFonts w:ascii="Arial" w:hAnsi="Arial" w:cs="Arial"/>
        </w:rPr>
        <w:t xml:space="preserve">Establish an </w:t>
      </w:r>
      <w:r w:rsidRPr="002B3F36">
        <w:rPr>
          <w:rStyle w:val="affffb"/>
        </w:rPr>
        <w:t>Access and Circulation Management Strategy</w:t>
      </w:r>
      <w:r w:rsidRPr="002B3F36">
        <w:rPr>
          <w:rFonts w:ascii="Arial" w:hAnsi="Arial" w:cs="Arial"/>
        </w:rPr>
        <w:t xml:space="preserve"> for adjacent communities as part of the Community Health and Safety Plan.</w:t>
      </w:r>
    </w:p>
    <w:p w14:paraId="35A39C4C" w14:textId="77777777" w:rsidR="00FE2ED4" w:rsidRPr="002B3F36" w:rsidRDefault="00FE2ED4" w:rsidP="009B4CDB">
      <w:pPr>
        <w:pStyle w:val="aff9"/>
        <w:numPr>
          <w:ilvl w:val="0"/>
          <w:numId w:val="164"/>
        </w:numPr>
        <w:jc w:val="both"/>
        <w:rPr>
          <w:rFonts w:ascii="Arial" w:hAnsi="Arial" w:cs="Arial"/>
        </w:rPr>
      </w:pPr>
      <w:r w:rsidRPr="002B3F36">
        <w:rPr>
          <w:rFonts w:ascii="Arial" w:hAnsi="Arial" w:cs="Arial"/>
        </w:rPr>
        <w:t>Enforce safe driving practices, vehicle inspections, and defined haul routes with speed limits and restrictions on horn use.</w:t>
      </w:r>
    </w:p>
    <w:p w14:paraId="60AFD1B2" w14:textId="77777777" w:rsidR="00FE2ED4" w:rsidRPr="002B3F36" w:rsidRDefault="00FE2ED4" w:rsidP="009B4CDB">
      <w:pPr>
        <w:pStyle w:val="aff9"/>
        <w:numPr>
          <w:ilvl w:val="0"/>
          <w:numId w:val="164"/>
        </w:numPr>
        <w:jc w:val="both"/>
        <w:rPr>
          <w:rFonts w:ascii="Arial" w:hAnsi="Arial" w:cs="Arial"/>
        </w:rPr>
      </w:pPr>
      <w:r w:rsidRPr="002B3F36">
        <w:rPr>
          <w:rFonts w:ascii="Arial" w:hAnsi="Arial" w:cs="Arial"/>
        </w:rPr>
        <w:t xml:space="preserve">Require that suppliers’ vehicles are also maintained in safe operating condition, with </w:t>
      </w:r>
      <w:r w:rsidRPr="002B3F36">
        <w:rPr>
          <w:rStyle w:val="affffb"/>
        </w:rPr>
        <w:t>loads secured and covered</w:t>
      </w:r>
      <w:r w:rsidRPr="002B3F36">
        <w:rPr>
          <w:rFonts w:ascii="Arial" w:hAnsi="Arial" w:cs="Arial"/>
        </w:rPr>
        <w:t xml:space="preserve"> (especially fugitive materials like sand, soil, or aggregates).</w:t>
      </w:r>
    </w:p>
    <w:p w14:paraId="540C7B72" w14:textId="77777777" w:rsidR="00FE2ED4" w:rsidRPr="002B3F36" w:rsidRDefault="00FE2ED4" w:rsidP="00526D61">
      <w:pPr>
        <w:pStyle w:val="aff9"/>
        <w:spacing w:before="0" w:beforeAutospacing="0" w:after="0" w:afterAutospacing="0"/>
        <w:jc w:val="both"/>
        <w:rPr>
          <w:rFonts w:ascii="Arial" w:hAnsi="Arial" w:cs="Arial"/>
        </w:rPr>
      </w:pPr>
      <w:r w:rsidRPr="002B3F36">
        <w:rPr>
          <w:rStyle w:val="affffb"/>
        </w:rPr>
        <w:t>Worksite Safety</w:t>
      </w:r>
    </w:p>
    <w:p w14:paraId="7DE89FD3" w14:textId="77777777" w:rsidR="00FE2ED4" w:rsidRPr="002B3F36" w:rsidRDefault="00FE2ED4" w:rsidP="009B4CDB">
      <w:pPr>
        <w:pStyle w:val="aff9"/>
        <w:numPr>
          <w:ilvl w:val="0"/>
          <w:numId w:val="165"/>
        </w:numPr>
        <w:spacing w:before="0" w:beforeAutospacing="0" w:after="0" w:afterAutospacing="0"/>
        <w:jc w:val="both"/>
        <w:rPr>
          <w:rFonts w:ascii="Arial" w:hAnsi="Arial" w:cs="Arial"/>
        </w:rPr>
      </w:pPr>
      <w:r w:rsidRPr="002B3F36">
        <w:rPr>
          <w:rFonts w:ascii="Arial" w:hAnsi="Arial" w:cs="Arial"/>
        </w:rPr>
        <w:t xml:space="preserve">Secure all </w:t>
      </w:r>
      <w:r w:rsidRPr="002B3F36">
        <w:rPr>
          <w:rStyle w:val="affffb"/>
        </w:rPr>
        <w:t>excavations, embankments, and bridge sites</w:t>
      </w:r>
      <w:r w:rsidRPr="002B3F36">
        <w:rPr>
          <w:rFonts w:ascii="Arial" w:hAnsi="Arial" w:cs="Arial"/>
        </w:rPr>
        <w:t xml:space="preserve"> with fencing, barriers, and warning signage.</w:t>
      </w:r>
    </w:p>
    <w:p w14:paraId="60485291" w14:textId="77777777" w:rsidR="00FE2ED4" w:rsidRPr="002B3F36" w:rsidRDefault="00FE2ED4" w:rsidP="009B4CDB">
      <w:pPr>
        <w:pStyle w:val="aff9"/>
        <w:numPr>
          <w:ilvl w:val="0"/>
          <w:numId w:val="165"/>
        </w:numPr>
        <w:jc w:val="both"/>
        <w:rPr>
          <w:rFonts w:ascii="Arial" w:hAnsi="Arial" w:cs="Arial"/>
        </w:rPr>
      </w:pPr>
      <w:r w:rsidRPr="002B3F36">
        <w:rPr>
          <w:rFonts w:ascii="Arial" w:hAnsi="Arial" w:cs="Arial"/>
        </w:rPr>
        <w:t xml:space="preserve">Install </w:t>
      </w:r>
      <w:r w:rsidRPr="002B3F36">
        <w:rPr>
          <w:rStyle w:val="affffb"/>
        </w:rPr>
        <w:t>cordons and safety fencing</w:t>
      </w:r>
      <w:r w:rsidRPr="002B3F36">
        <w:rPr>
          <w:rFonts w:ascii="Arial" w:hAnsi="Arial" w:cs="Arial"/>
        </w:rPr>
        <w:t xml:space="preserve"> around auxiliary facilities and high-risk zones (plants, quarries, camps).</w:t>
      </w:r>
    </w:p>
    <w:p w14:paraId="51947AB0" w14:textId="77777777" w:rsidR="00FE2ED4" w:rsidRPr="002B3F36" w:rsidRDefault="00FE2ED4" w:rsidP="009B4CDB">
      <w:pPr>
        <w:pStyle w:val="aff9"/>
        <w:numPr>
          <w:ilvl w:val="0"/>
          <w:numId w:val="165"/>
        </w:numPr>
        <w:jc w:val="both"/>
        <w:rPr>
          <w:rFonts w:ascii="Arial" w:hAnsi="Arial" w:cs="Arial"/>
        </w:rPr>
      </w:pPr>
      <w:r w:rsidRPr="002B3F36">
        <w:rPr>
          <w:rFonts w:ascii="Arial" w:hAnsi="Arial" w:cs="Arial"/>
        </w:rPr>
        <w:t xml:space="preserve">Clearly mark and signpost hazardous areas, including </w:t>
      </w:r>
      <w:r w:rsidRPr="002B3F36">
        <w:rPr>
          <w:rStyle w:val="affffb"/>
        </w:rPr>
        <w:t>temporary detours, work zones, and storage sites</w:t>
      </w:r>
      <w:r w:rsidRPr="002B3F36">
        <w:rPr>
          <w:rFonts w:ascii="Arial" w:hAnsi="Arial" w:cs="Arial"/>
        </w:rPr>
        <w:t>.</w:t>
      </w:r>
    </w:p>
    <w:p w14:paraId="48338F00" w14:textId="77777777" w:rsidR="00FE2ED4" w:rsidRPr="002B3F36" w:rsidRDefault="00FE2ED4" w:rsidP="009B4CDB">
      <w:pPr>
        <w:pStyle w:val="aff9"/>
        <w:numPr>
          <w:ilvl w:val="0"/>
          <w:numId w:val="165"/>
        </w:numPr>
        <w:jc w:val="both"/>
        <w:rPr>
          <w:rFonts w:ascii="Arial" w:hAnsi="Arial" w:cs="Arial"/>
        </w:rPr>
      </w:pPr>
      <w:r w:rsidRPr="002B3F36">
        <w:rPr>
          <w:rFonts w:ascii="Arial" w:hAnsi="Arial" w:cs="Arial"/>
        </w:rPr>
        <w:t xml:space="preserve">Ensure that any introduced structures or machinery are adequately </w:t>
      </w:r>
      <w:r w:rsidRPr="002B3F36">
        <w:rPr>
          <w:rStyle w:val="affffb"/>
        </w:rPr>
        <w:t>sheltered, fenced, or signposted</w:t>
      </w:r>
      <w:r w:rsidRPr="002B3F36">
        <w:rPr>
          <w:rFonts w:ascii="Arial" w:hAnsi="Arial" w:cs="Arial"/>
        </w:rPr>
        <w:t xml:space="preserve"> to prevent unauthorized access.</w:t>
      </w:r>
    </w:p>
    <w:p w14:paraId="7D01BD67" w14:textId="77777777" w:rsidR="00FE2ED4" w:rsidRPr="002B3F36" w:rsidRDefault="00FE2ED4" w:rsidP="00526D61">
      <w:pPr>
        <w:pStyle w:val="aff9"/>
        <w:spacing w:before="0" w:beforeAutospacing="0" w:after="0" w:afterAutospacing="0"/>
        <w:jc w:val="both"/>
        <w:rPr>
          <w:rFonts w:ascii="Arial" w:hAnsi="Arial" w:cs="Arial"/>
        </w:rPr>
      </w:pPr>
      <w:r w:rsidRPr="002B3F36">
        <w:rPr>
          <w:rStyle w:val="affffb"/>
        </w:rPr>
        <w:t>Community Protection and Engagement</w:t>
      </w:r>
    </w:p>
    <w:p w14:paraId="46CC006B" w14:textId="77777777" w:rsidR="00FE2ED4" w:rsidRPr="002B3F36" w:rsidRDefault="00FE2ED4" w:rsidP="009B4CDB">
      <w:pPr>
        <w:pStyle w:val="aff9"/>
        <w:numPr>
          <w:ilvl w:val="0"/>
          <w:numId w:val="166"/>
        </w:numPr>
        <w:spacing w:before="0" w:beforeAutospacing="0" w:after="0" w:afterAutospacing="0"/>
        <w:jc w:val="both"/>
        <w:rPr>
          <w:rFonts w:ascii="Arial" w:hAnsi="Arial" w:cs="Arial"/>
        </w:rPr>
      </w:pPr>
      <w:r w:rsidRPr="002B3F36">
        <w:rPr>
          <w:rFonts w:ascii="Arial" w:hAnsi="Arial" w:cs="Arial"/>
        </w:rPr>
        <w:t>Provide early notification to communities about high-risk activities, detours, or night works.</w:t>
      </w:r>
    </w:p>
    <w:p w14:paraId="1B38E735" w14:textId="77777777" w:rsidR="00FE2ED4" w:rsidRPr="002B3F36" w:rsidRDefault="00FE2ED4" w:rsidP="009B4CDB">
      <w:pPr>
        <w:pStyle w:val="aff9"/>
        <w:numPr>
          <w:ilvl w:val="0"/>
          <w:numId w:val="166"/>
        </w:numPr>
        <w:jc w:val="both"/>
        <w:rPr>
          <w:rFonts w:ascii="Arial" w:hAnsi="Arial" w:cs="Arial"/>
        </w:rPr>
      </w:pPr>
      <w:r w:rsidRPr="002B3F36">
        <w:rPr>
          <w:rFonts w:ascii="Arial" w:hAnsi="Arial" w:cs="Arial"/>
        </w:rPr>
        <w:t>Engage with community leaders, local authorities, and vulnerable groups to explain hazards, safe behavior, and complaint channels.</w:t>
      </w:r>
    </w:p>
    <w:p w14:paraId="710AAA07" w14:textId="77777777" w:rsidR="00FE2ED4" w:rsidRPr="002B3F36" w:rsidRDefault="00FE2ED4" w:rsidP="009B4CDB">
      <w:pPr>
        <w:pStyle w:val="aff9"/>
        <w:numPr>
          <w:ilvl w:val="0"/>
          <w:numId w:val="166"/>
        </w:numPr>
        <w:jc w:val="both"/>
        <w:rPr>
          <w:rFonts w:ascii="Arial" w:hAnsi="Arial" w:cs="Arial"/>
        </w:rPr>
      </w:pPr>
      <w:r w:rsidRPr="002B3F36">
        <w:rPr>
          <w:rFonts w:ascii="Arial" w:hAnsi="Arial" w:cs="Arial"/>
        </w:rPr>
        <w:t xml:space="preserve">Integrate safety awareness into the </w:t>
      </w:r>
      <w:r w:rsidRPr="002B3F36">
        <w:rPr>
          <w:rStyle w:val="affffb"/>
        </w:rPr>
        <w:t>Stakeholder Engagement Plan (SEP)</w:t>
      </w:r>
      <w:r w:rsidRPr="002B3F36">
        <w:rPr>
          <w:rFonts w:ascii="Arial" w:hAnsi="Arial" w:cs="Arial"/>
        </w:rPr>
        <w:t>, including culturally appropriate outreach.</w:t>
      </w:r>
    </w:p>
    <w:p w14:paraId="4129BD36" w14:textId="77777777" w:rsidR="00FE2ED4" w:rsidRPr="002B3F36" w:rsidRDefault="00FE2ED4" w:rsidP="00526D61">
      <w:pPr>
        <w:pStyle w:val="aff9"/>
        <w:spacing w:before="0" w:beforeAutospacing="0" w:after="0" w:afterAutospacing="0"/>
        <w:jc w:val="both"/>
        <w:rPr>
          <w:rFonts w:ascii="Arial" w:hAnsi="Arial" w:cs="Arial"/>
        </w:rPr>
      </w:pPr>
      <w:r w:rsidRPr="002B3F36">
        <w:rPr>
          <w:rStyle w:val="affffb"/>
        </w:rPr>
        <w:t>Monitoring and Enforcement</w:t>
      </w:r>
    </w:p>
    <w:p w14:paraId="794CA564" w14:textId="5262A01C" w:rsidR="00FE2ED4" w:rsidRPr="002B3F36" w:rsidRDefault="00FE2ED4" w:rsidP="009B4CDB">
      <w:pPr>
        <w:pStyle w:val="aff9"/>
        <w:numPr>
          <w:ilvl w:val="0"/>
          <w:numId w:val="167"/>
        </w:numPr>
        <w:spacing w:before="0" w:beforeAutospacing="0" w:after="0" w:afterAutospacing="0"/>
        <w:jc w:val="both"/>
        <w:rPr>
          <w:rFonts w:ascii="Arial" w:hAnsi="Arial" w:cs="Arial"/>
        </w:rPr>
      </w:pPr>
      <w:r w:rsidRPr="002B3F36">
        <w:rPr>
          <w:rFonts w:ascii="Arial" w:hAnsi="Arial" w:cs="Arial"/>
        </w:rPr>
        <w:t xml:space="preserve">Regular inspections of safety barriers, signage, and traffic management arrangements by the Engineer and </w:t>
      </w:r>
      <w:r w:rsidR="00464922" w:rsidRPr="002B3F36">
        <w:rPr>
          <w:rFonts w:ascii="Arial" w:hAnsi="Arial" w:cs="Arial"/>
        </w:rPr>
        <w:t>KTZ</w:t>
      </w:r>
      <w:r w:rsidRPr="002B3F36">
        <w:rPr>
          <w:rFonts w:ascii="Arial" w:hAnsi="Arial" w:cs="Arial"/>
        </w:rPr>
        <w:t>.</w:t>
      </w:r>
    </w:p>
    <w:p w14:paraId="0C71F94C" w14:textId="77777777" w:rsidR="00FE2ED4" w:rsidRPr="002B3F36" w:rsidRDefault="00FE2ED4" w:rsidP="009B4CDB">
      <w:pPr>
        <w:pStyle w:val="aff9"/>
        <w:numPr>
          <w:ilvl w:val="0"/>
          <w:numId w:val="167"/>
        </w:numPr>
        <w:jc w:val="both"/>
        <w:rPr>
          <w:rFonts w:ascii="Arial" w:hAnsi="Arial" w:cs="Arial"/>
        </w:rPr>
      </w:pPr>
      <w:r w:rsidRPr="002B3F36">
        <w:rPr>
          <w:rFonts w:ascii="Arial" w:hAnsi="Arial" w:cs="Arial"/>
        </w:rPr>
        <w:t>Use of KPIs such as accident rates, number of community complaints, and response times.</w:t>
      </w:r>
    </w:p>
    <w:p w14:paraId="3671AEDA" w14:textId="63F94A80" w:rsidR="00F61F8E" w:rsidRPr="002B3F36" w:rsidRDefault="00FE2ED4" w:rsidP="009B4CDB">
      <w:pPr>
        <w:pStyle w:val="aff9"/>
        <w:numPr>
          <w:ilvl w:val="0"/>
          <w:numId w:val="167"/>
        </w:numPr>
        <w:jc w:val="both"/>
        <w:rPr>
          <w:rFonts w:ascii="Arial" w:hAnsi="Arial" w:cs="Arial"/>
        </w:rPr>
      </w:pPr>
      <w:r w:rsidRPr="002B3F36">
        <w:rPr>
          <w:rFonts w:ascii="Arial" w:hAnsi="Arial" w:cs="Arial"/>
        </w:rPr>
        <w:t>Contractor performance linked to enforcement clauses, with penalties for repeated non-compliance.</w:t>
      </w:r>
    </w:p>
    <w:p w14:paraId="3EFA3232" w14:textId="2CA5298A" w:rsidR="0038476D" w:rsidRPr="002B3F36" w:rsidRDefault="000F264B" w:rsidP="0038476D">
      <w:pPr>
        <w:pStyle w:val="31"/>
      </w:pPr>
      <w:bookmarkStart w:id="2493" w:name="_Toc169094790"/>
      <w:bookmarkStart w:id="2494" w:name="_Toc208973874"/>
      <w:bookmarkStart w:id="2495" w:name="_Toc208974074"/>
      <w:bookmarkStart w:id="2496" w:name="_Toc208974274"/>
      <w:bookmarkStart w:id="2497" w:name="_Toc208974477"/>
      <w:bookmarkStart w:id="2498" w:name="_Toc208974682"/>
      <w:bookmarkStart w:id="2499" w:name="_Toc210589516"/>
      <w:r w:rsidRPr="002B3F36">
        <w:t xml:space="preserve">E&amp;S risks and impacts relating to </w:t>
      </w:r>
      <w:r w:rsidR="00974479" w:rsidRPr="002B3F36">
        <w:t>P</w:t>
      </w:r>
      <w:r w:rsidRPr="002B3F36">
        <w:t>S 5</w:t>
      </w:r>
      <w:bookmarkEnd w:id="2493"/>
      <w:bookmarkEnd w:id="2494"/>
      <w:bookmarkEnd w:id="2495"/>
      <w:bookmarkEnd w:id="2496"/>
      <w:bookmarkEnd w:id="2497"/>
      <w:bookmarkEnd w:id="2498"/>
      <w:bookmarkEnd w:id="2499"/>
    </w:p>
    <w:p w14:paraId="6BD05ADA" w14:textId="2489ACC6" w:rsidR="00F3729F" w:rsidRPr="002B3F36" w:rsidRDefault="00F3729F" w:rsidP="00F3729F">
      <w:pPr>
        <w:pStyle w:val="ReportBodyPar"/>
      </w:pPr>
    </w:p>
    <w:p w14:paraId="7DF8E8B0" w14:textId="07355F5D" w:rsidR="00590E70" w:rsidRPr="002B3F36" w:rsidRDefault="00590E70" w:rsidP="00590E70">
      <w:pPr>
        <w:pStyle w:val="ReportBodyPar"/>
        <w:rPr>
          <w:lang w:val="en-PH"/>
        </w:rPr>
      </w:pPr>
      <w:r w:rsidRPr="002B3F36">
        <w:rPr>
          <w:lang w:val="en-PH"/>
        </w:rPr>
        <w:t xml:space="preserve">The Mointy–Kyzylzhar Railway Project requires both permanent and temporary land acquisition for the railway right-of-way, associated civil works, and ancillary facilities, triggering the provisions of </w:t>
      </w:r>
      <w:r w:rsidR="00F95BD8" w:rsidRPr="002B3F36">
        <w:rPr>
          <w:lang w:val="en-PH"/>
        </w:rPr>
        <w:t>WB</w:t>
      </w:r>
      <w:r w:rsidRPr="002B3F36">
        <w:rPr>
          <w:lang w:val="en-PH"/>
        </w:rPr>
        <w:t xml:space="preserve"> Performance Standard 5 (PS5) on Land Acquisition and Involuntary Resettlement. In compliance with Kazakhstan’s Land Code (2003, as amended), Environmental Code (2021), and applicable regulations on land valuation and compensation, the project acknowledges that land take and temporary occupation may lead to economic displacement, livelihood impacts, and restricted access to agricultural lands, grazing routes, commercial areas, and community assets. While physical displacement of households is not anticipated, risks to land-based livelihoods, vulnerable groups, and community infrastructure require careful planning and mitigation.</w:t>
      </w:r>
    </w:p>
    <w:p w14:paraId="10616E4D" w14:textId="77777777" w:rsidR="00590E70" w:rsidRPr="002B3F36" w:rsidRDefault="00590E70" w:rsidP="00590E70">
      <w:pPr>
        <w:pStyle w:val="ReportBodyPar"/>
        <w:rPr>
          <w:lang w:val="en-PH"/>
        </w:rPr>
      </w:pPr>
    </w:p>
    <w:p w14:paraId="5103A2AB" w14:textId="65CD3A80" w:rsidR="00590E70" w:rsidRPr="002B3F36" w:rsidRDefault="00590E70" w:rsidP="00590E70">
      <w:pPr>
        <w:pStyle w:val="ReportBodyPar"/>
        <w:rPr>
          <w:lang w:val="en-PH"/>
        </w:rPr>
      </w:pPr>
      <w:r w:rsidRPr="002B3F36">
        <w:rPr>
          <w:lang w:val="en-PH"/>
        </w:rPr>
        <w:t>To address these risks, the project adopts the PS5 mitigation hierarchy—</w:t>
      </w:r>
      <w:r w:rsidRPr="002B3F36">
        <w:rPr>
          <w:b/>
          <w:bCs/>
          <w:lang w:val="en-PH"/>
        </w:rPr>
        <w:t>avoid, minimize, restore, and improve</w:t>
      </w:r>
      <w:r w:rsidRPr="002B3F36">
        <w:rPr>
          <w:lang w:val="en-PH"/>
        </w:rPr>
        <w:t xml:space="preserve">—and commits to implementing a </w:t>
      </w:r>
      <w:r w:rsidRPr="002B3F36">
        <w:rPr>
          <w:b/>
          <w:bCs/>
          <w:lang w:val="en-PH"/>
        </w:rPr>
        <w:t xml:space="preserve">Land Acquisition and </w:t>
      </w:r>
      <w:r w:rsidRPr="002B3F36">
        <w:rPr>
          <w:b/>
          <w:bCs/>
          <w:lang w:val="en-PH"/>
        </w:rPr>
        <w:lastRenderedPageBreak/>
        <w:t>Resettlement Action Plan (LARAP)</w:t>
      </w:r>
      <w:r w:rsidRPr="002B3F36">
        <w:rPr>
          <w:lang w:val="en-PH"/>
        </w:rPr>
        <w:t xml:space="preserve"> ensuring compensation at full replacement cost, restoration of livelihoods, targeted support for vulnerable households, and the maintenance of community access during construction. Continuous stakeholder engagement, integration of </w:t>
      </w:r>
      <w:r w:rsidRPr="002B3F36">
        <w:rPr>
          <w:b/>
          <w:bCs/>
          <w:lang w:val="en-PH"/>
        </w:rPr>
        <w:t>grievance redress mechanisms</w:t>
      </w:r>
      <w:r w:rsidRPr="002B3F36">
        <w:rPr>
          <w:lang w:val="en-PH"/>
        </w:rPr>
        <w:t xml:space="preserve">, and independent monitoring will ensure alignment with both Kazakhstan’s legal framework and </w:t>
      </w:r>
      <w:r w:rsidR="00163238" w:rsidRPr="002B3F36">
        <w:rPr>
          <w:lang w:val="en-PH"/>
        </w:rPr>
        <w:t>WB PS</w:t>
      </w:r>
      <w:r w:rsidRPr="002B3F36">
        <w:rPr>
          <w:lang w:val="en-PH"/>
        </w:rPr>
        <w:t>5 requirements, reducing residual risks to acceptable levels while safeguarding social equity and project sustainability.</w:t>
      </w:r>
    </w:p>
    <w:p w14:paraId="50B5E1B3" w14:textId="77777777" w:rsidR="00F3729F" w:rsidRPr="002B3F36" w:rsidRDefault="00F3729F" w:rsidP="00F3729F">
      <w:pPr>
        <w:pStyle w:val="ReportBodyPar"/>
      </w:pPr>
    </w:p>
    <w:p w14:paraId="3BF30F99" w14:textId="03AFD053" w:rsidR="00F61F8E" w:rsidRPr="002B3F36" w:rsidRDefault="000F264B" w:rsidP="00701F4F">
      <w:pPr>
        <w:pStyle w:val="41"/>
      </w:pPr>
      <w:bookmarkStart w:id="2500" w:name="_Toc169094791"/>
      <w:bookmarkStart w:id="2501" w:name="_Toc208973875"/>
      <w:bookmarkStart w:id="2502" w:name="_Toc208974075"/>
      <w:bookmarkStart w:id="2503" w:name="_Toc208974275"/>
      <w:bookmarkStart w:id="2504" w:name="_Toc208974478"/>
      <w:bookmarkStart w:id="2505" w:name="_Toc210589517"/>
      <w:r w:rsidRPr="002B3F36">
        <w:t>Land Acquisition, Resettlements and Involuntary Resettlement</w:t>
      </w:r>
      <w:bookmarkEnd w:id="2500"/>
      <w:bookmarkEnd w:id="2501"/>
      <w:bookmarkEnd w:id="2502"/>
      <w:bookmarkEnd w:id="2503"/>
      <w:bookmarkEnd w:id="2504"/>
      <w:bookmarkEnd w:id="2505"/>
    </w:p>
    <w:p w14:paraId="6557FF7E" w14:textId="25981913" w:rsidR="00E76D11" w:rsidRPr="002B3F36" w:rsidRDefault="00E153F3" w:rsidP="00E76D11">
      <w:pPr>
        <w:pStyle w:val="ReportBodyPar"/>
      </w:pPr>
      <w:r w:rsidRPr="002B3F36">
        <w:t xml:space="preserve">The </w:t>
      </w:r>
      <w:r w:rsidR="003650DB" w:rsidRPr="002B3F36">
        <w:t xml:space="preserve">Mointy – Kyzylzhar </w:t>
      </w:r>
      <w:r w:rsidRPr="002B3F36">
        <w:t xml:space="preserve">Railway Project requires permanent and temporary land acquisition for the right-of-way, passing loops/points, bridges, access roads, and ancillary facilities, potentially affecting agricultural lands, grazing routes, community assets, and commercial activities, though no physical displacement of residences is anticipated. In line with </w:t>
      </w:r>
      <w:r w:rsidR="00F95BD8" w:rsidRPr="002B3F36">
        <w:t>WB</w:t>
      </w:r>
      <w:r w:rsidRPr="002B3F36">
        <w:t xml:space="preserve"> Performance Standard 5 (PS5), the Land Code (2003, as amended), and the Environmental Code (2021) of Kazakhstan, the project will apply the mitigation hierarchy—avoid, minimize, restore, and improve—through a Land Acquisition and Resettlement Action Plan (LARAP) ensuring fair compensation at replacement cost, livelihood restoration, gender-sensitive consultations, written agreements for temporary occupation, and accessible grievance mechanisms. Continuous stakeholder engagement, independent valuation, and compliance monitoring will safeguard social equity, protect vulnerable groups, and ensure alignment with national legislation and international safeguards throughout implementation.</w:t>
      </w:r>
    </w:p>
    <w:p w14:paraId="55CE9798" w14:textId="77777777" w:rsidR="00E153F3" w:rsidRPr="002B3F36" w:rsidRDefault="00E153F3" w:rsidP="00E76D11">
      <w:pPr>
        <w:pStyle w:val="ReportBodyPar"/>
      </w:pPr>
    </w:p>
    <w:p w14:paraId="1724EE87" w14:textId="77777777" w:rsidR="00E27C01" w:rsidRPr="002B3F36" w:rsidRDefault="00E27C01" w:rsidP="001F1FD1">
      <w:pPr>
        <w:pStyle w:val="DiaList12"/>
        <w:rPr>
          <w:rFonts w:eastAsia="SimSun"/>
          <w:lang w:val="en-PH"/>
        </w:rPr>
      </w:pPr>
      <w:r w:rsidRPr="002B3F36">
        <w:rPr>
          <w:rFonts w:eastAsia="SimSun"/>
          <w:lang w:val="en-PH"/>
        </w:rPr>
        <w:t>Origin of Impact</w:t>
      </w:r>
    </w:p>
    <w:p w14:paraId="7EDF6650" w14:textId="1D50199B" w:rsidR="00E27C01" w:rsidRPr="002B3F36" w:rsidRDefault="00E27C01" w:rsidP="00827658">
      <w:pPr>
        <w:pStyle w:val="ReportBodyTextNogap"/>
      </w:pPr>
      <w:r w:rsidRPr="002B3F36">
        <w:t xml:space="preserve">The Mointy–Kyzylzhar Railway Project requires </w:t>
      </w:r>
      <w:r w:rsidRPr="002B3F36">
        <w:rPr>
          <w:rStyle w:val="affffb"/>
        </w:rPr>
        <w:t>permanent and temporary land take</w:t>
      </w:r>
      <w:r w:rsidRPr="002B3F36">
        <w:t xml:space="preserve"> to accommodate the right-of-way, passing loops, bridge and culvert works, and associated facilities such as access roads, worker camps, quarries, borrow pits, and batching/crushing plants. </w:t>
      </w:r>
      <w:r w:rsidR="00E64646" w:rsidRPr="002B3F36">
        <w:t>However, l</w:t>
      </w:r>
      <w:r w:rsidRPr="002B3F36">
        <w:t xml:space="preserve">and acquisition </w:t>
      </w:r>
      <w:r w:rsidRPr="00A846C7">
        <w:rPr>
          <w:b/>
        </w:rPr>
        <w:t xml:space="preserve">will </w:t>
      </w:r>
      <w:r w:rsidR="00E64646" w:rsidRPr="00A846C7">
        <w:rPr>
          <w:b/>
        </w:rPr>
        <w:t xml:space="preserve">not </w:t>
      </w:r>
      <w:r w:rsidRPr="00A846C7">
        <w:rPr>
          <w:b/>
        </w:rPr>
        <w:t xml:space="preserve">affect </w:t>
      </w:r>
      <w:r w:rsidR="00E64646" w:rsidRPr="002B3F36">
        <w:rPr>
          <w:b/>
        </w:rPr>
        <w:t>permanent businesses, roadside facilities, or commercial enterprises are located within the land acquisition corridor</w:t>
      </w:r>
      <w:r w:rsidRPr="002B3F36">
        <w:t xml:space="preserve"> across </w:t>
      </w:r>
      <w:r w:rsidR="003A184C">
        <w:t>Karagandy</w:t>
      </w:r>
      <w:r w:rsidRPr="002B3F36">
        <w:t xml:space="preserve"> and Ulytau regions.</w:t>
      </w:r>
    </w:p>
    <w:p w14:paraId="35BBB04A" w14:textId="77777777" w:rsidR="00827658" w:rsidRPr="002B3F36" w:rsidRDefault="00827658" w:rsidP="00827658">
      <w:pPr>
        <w:pStyle w:val="ReportBodyTextNogap"/>
      </w:pPr>
    </w:p>
    <w:p w14:paraId="5B6510E2" w14:textId="24F31B70" w:rsidR="00E27C01" w:rsidRPr="002B3F36" w:rsidRDefault="00E64646" w:rsidP="00827658">
      <w:pPr>
        <w:pStyle w:val="ReportBodyTextNogap"/>
      </w:pPr>
      <w:r w:rsidRPr="002B3F36">
        <w:t>How</w:t>
      </w:r>
      <w:r w:rsidR="0011586A">
        <w:t>e</w:t>
      </w:r>
      <w:r w:rsidRPr="002B3F36">
        <w:t>ver, b</w:t>
      </w:r>
      <w:r w:rsidR="00E27C01" w:rsidRPr="002B3F36">
        <w:t xml:space="preserve">eyond land and structures, </w:t>
      </w:r>
      <w:r w:rsidR="00E27C01" w:rsidRPr="002B3F36">
        <w:rPr>
          <w:rStyle w:val="affffb"/>
        </w:rPr>
        <w:t>livelihoods tied to agriculture, herding, and small businesses</w:t>
      </w:r>
      <w:r w:rsidR="00E27C01" w:rsidRPr="002B3F36">
        <w:t xml:space="preserve"> will also be impacted.</w:t>
      </w:r>
      <w:r w:rsidRPr="002B3F36">
        <w:t xml:space="preserve"> This would mean empairment of pasture connectivity.</w:t>
      </w:r>
    </w:p>
    <w:p w14:paraId="0F8904BF" w14:textId="77777777" w:rsidR="00827658" w:rsidRPr="002B3F36" w:rsidRDefault="00827658" w:rsidP="00827658">
      <w:pPr>
        <w:pStyle w:val="ReportBodyTextNogap"/>
      </w:pPr>
    </w:p>
    <w:p w14:paraId="4F4597D3" w14:textId="7D50ED24" w:rsidR="00E27C01" w:rsidRPr="002B3F36" w:rsidRDefault="00E27C01" w:rsidP="00827658">
      <w:pPr>
        <w:pStyle w:val="ReportBodyTextNogap"/>
      </w:pPr>
      <w:r w:rsidRPr="002B3F36">
        <w:t>Temporary occupation for construction easements, laydown areas, or detours may restrict access to grazing lands, farms, or markets. Without proper agreements, such occupation can cause loss of crops, reduced income, or disputes.</w:t>
      </w:r>
    </w:p>
    <w:p w14:paraId="24A67E5B" w14:textId="77777777" w:rsidR="008775AF" w:rsidRPr="002B3F36" w:rsidRDefault="008775AF" w:rsidP="00827658">
      <w:pPr>
        <w:pStyle w:val="ReportBodyTextNogap"/>
      </w:pPr>
    </w:p>
    <w:p w14:paraId="62319347" w14:textId="2D645656" w:rsidR="008775AF" w:rsidRPr="00A846C7" w:rsidRDefault="008775AF" w:rsidP="00A846C7">
      <w:pPr>
        <w:pStyle w:val="DiaList12"/>
        <w:rPr>
          <w:rFonts w:eastAsia="SimSun"/>
          <w:lang w:val="en-PH"/>
        </w:rPr>
      </w:pPr>
      <w:r w:rsidRPr="00A846C7">
        <w:rPr>
          <w:rFonts w:eastAsia="SimSun"/>
          <w:lang w:val="en-PH"/>
        </w:rPr>
        <w:t>Overview of Impacts</w:t>
      </w:r>
    </w:p>
    <w:p w14:paraId="598ECDC8" w14:textId="1D706025" w:rsidR="008775AF" w:rsidRPr="002B3F36" w:rsidRDefault="008775AF" w:rsidP="001C5478">
      <w:pPr>
        <w:pStyle w:val="ReportBodyPar"/>
      </w:pPr>
      <w:r w:rsidRPr="002B3F36">
        <w:t xml:space="preserve">In line with </w:t>
      </w:r>
      <w:r w:rsidR="00F95BD8" w:rsidRPr="002B3F36">
        <w:t>WB</w:t>
      </w:r>
      <w:r w:rsidRPr="002B3F36">
        <w:t xml:space="preserve"> Performance Standard 5, the Project is expected to cause </w:t>
      </w:r>
      <w:r w:rsidRPr="002B3F36">
        <w:rPr>
          <w:b/>
          <w:bCs/>
        </w:rPr>
        <w:t>economic displacement only</w:t>
      </w:r>
      <w:r w:rsidRPr="002B3F36">
        <w:t xml:space="preserve">, primarily affecting agricultural and pasture users, with </w:t>
      </w:r>
      <w:r w:rsidRPr="002B3F36">
        <w:rPr>
          <w:b/>
          <w:bCs/>
        </w:rPr>
        <w:t>no physical displacement of residences</w:t>
      </w:r>
      <w:r w:rsidRPr="002B3F36">
        <w:t xml:space="preserve"> identified. Land acquisition along the Mointy–Kyzylzhar alignment will proceed through reservation and state acquisition under the Land Code of Kazakhstan, covering agricultural, settlement, forest fund, and industrial/transport plots. Most agricultural impacts are minor (below 1%), though a few plots in Ulytau Region exceed the 3–5% threshold and will require tailored livelihood restoration measures. A small number of settlement and forest fund plots have also been identified, as well as industrial/transport parcels with incomplete ownership data requiring further clarification.</w:t>
      </w:r>
    </w:p>
    <w:p w14:paraId="593E0480" w14:textId="77777777" w:rsidR="001C5478" w:rsidRPr="002B3F36" w:rsidRDefault="001C5478" w:rsidP="003D37BF">
      <w:pPr>
        <w:pStyle w:val="ReportBodyPar"/>
      </w:pPr>
    </w:p>
    <w:p w14:paraId="0C7F0EBE" w14:textId="7C835D50" w:rsidR="001C5478" w:rsidRPr="002B3F36" w:rsidRDefault="001C5478" w:rsidP="003D37BF">
      <w:pPr>
        <w:pStyle w:val="ReportBodyPar"/>
      </w:pPr>
      <w:r w:rsidRPr="002B3F36">
        <w:t>Based on the LARAP, the land acquisition and resettlement impacts due to the projects are:</w:t>
      </w:r>
    </w:p>
    <w:p w14:paraId="60C646A4" w14:textId="33169614" w:rsidR="001C5478" w:rsidRPr="002B3F36" w:rsidRDefault="001C5478" w:rsidP="003D37BF">
      <w:pPr>
        <w:pStyle w:val="UnderlineBold"/>
        <w:rPr>
          <w:rFonts w:eastAsia="Times New Roman"/>
        </w:rPr>
      </w:pPr>
      <w:r w:rsidRPr="002B3F36">
        <w:t>Ulytau Region</w:t>
      </w:r>
    </w:p>
    <w:p w14:paraId="57E53B5A" w14:textId="64ACE035" w:rsidR="000D648F" w:rsidRPr="002B3F36" w:rsidRDefault="000D648F" w:rsidP="001C5478">
      <w:pPr>
        <w:pStyle w:val="aff9"/>
        <w:numPr>
          <w:ilvl w:val="0"/>
          <w:numId w:val="257"/>
        </w:numPr>
        <w:spacing w:before="0" w:beforeAutospacing="0" w:after="0" w:afterAutospacing="0"/>
        <w:rPr>
          <w:rStyle w:val="affffb"/>
          <w:b w:val="0"/>
        </w:rPr>
      </w:pPr>
      <w:r w:rsidRPr="002B3F36">
        <w:rPr>
          <w:rStyle w:val="affffb"/>
          <w:b w:val="0"/>
        </w:rPr>
        <w:t xml:space="preserve">The affected properties are in </w:t>
      </w:r>
      <w:r w:rsidR="009D0CE5" w:rsidRPr="002B3F36">
        <w:rPr>
          <w:rStyle w:val="affffb"/>
          <w:b w:val="0"/>
        </w:rPr>
        <w:t>Karazhal</w:t>
      </w:r>
      <w:r w:rsidRPr="002B3F36">
        <w:rPr>
          <w:rStyle w:val="affffb"/>
          <w:b w:val="0"/>
        </w:rPr>
        <w:t>, Togusken and Aktau.</w:t>
      </w:r>
    </w:p>
    <w:p w14:paraId="3190E383" w14:textId="08A5B389" w:rsidR="001C5478" w:rsidRPr="002B3F36" w:rsidRDefault="001C5478" w:rsidP="003D37BF">
      <w:pPr>
        <w:pStyle w:val="aff9"/>
        <w:numPr>
          <w:ilvl w:val="0"/>
          <w:numId w:val="257"/>
        </w:numPr>
        <w:spacing w:before="0" w:beforeAutospacing="0" w:after="0" w:afterAutospacing="0"/>
        <w:rPr>
          <w:rFonts w:ascii="Arial" w:hAnsi="Arial" w:cs="Arial"/>
        </w:rPr>
      </w:pPr>
      <w:r w:rsidRPr="002B3F36">
        <w:rPr>
          <w:rStyle w:val="affffb"/>
        </w:rPr>
        <w:lastRenderedPageBreak/>
        <w:t>No physical displacement:</w:t>
      </w:r>
      <w:r w:rsidRPr="002B3F36">
        <w:rPr>
          <w:rFonts w:ascii="Arial" w:hAnsi="Arial" w:cs="Arial"/>
        </w:rPr>
        <w:t xml:space="preserve"> No demolition of homes or compulsory relocation anticipated.</w:t>
      </w:r>
    </w:p>
    <w:p w14:paraId="1E74DB94" w14:textId="389D8F1D" w:rsidR="001C5478" w:rsidRPr="002B3F36" w:rsidRDefault="001C5478" w:rsidP="003D37BF">
      <w:pPr>
        <w:pStyle w:val="aff9"/>
        <w:numPr>
          <w:ilvl w:val="0"/>
          <w:numId w:val="257"/>
        </w:numPr>
        <w:spacing w:before="0" w:beforeAutospacing="0" w:after="0" w:afterAutospacing="0"/>
        <w:rPr>
          <w:rFonts w:ascii="Arial" w:hAnsi="Arial" w:cs="Arial"/>
        </w:rPr>
      </w:pPr>
      <w:r w:rsidRPr="002B3F36">
        <w:rPr>
          <w:rStyle w:val="affffb"/>
        </w:rPr>
        <w:t>Economic displacement only:</w:t>
      </w:r>
      <w:r w:rsidRPr="002B3F36">
        <w:rPr>
          <w:rFonts w:ascii="Arial" w:hAnsi="Arial" w:cs="Arial"/>
        </w:rPr>
        <w:t xml:space="preserve"> Impacts arise from land-use restrictions and temporary access limitations</w:t>
      </w:r>
      <w:r w:rsidR="00E64646" w:rsidRPr="002B3F36">
        <w:rPr>
          <w:rFonts w:ascii="Arial" w:hAnsi="Arial" w:cs="Arial"/>
        </w:rPr>
        <w:t xml:space="preserve"> (also termed as pasture connectivity)</w:t>
      </w:r>
      <w:r w:rsidRPr="002B3F36">
        <w:rPr>
          <w:rFonts w:ascii="Arial" w:hAnsi="Arial" w:cs="Arial"/>
        </w:rPr>
        <w:t xml:space="preserve"> during construction.</w:t>
      </w:r>
    </w:p>
    <w:p w14:paraId="04187F15" w14:textId="77777777" w:rsidR="001C5478" w:rsidRPr="002B3F36" w:rsidRDefault="001C5478" w:rsidP="003D37BF">
      <w:pPr>
        <w:pStyle w:val="aff9"/>
        <w:numPr>
          <w:ilvl w:val="0"/>
          <w:numId w:val="257"/>
        </w:numPr>
        <w:spacing w:before="0" w:beforeAutospacing="0" w:after="0" w:afterAutospacing="0"/>
        <w:rPr>
          <w:rFonts w:ascii="Arial" w:hAnsi="Arial" w:cs="Arial"/>
        </w:rPr>
      </w:pPr>
      <w:r w:rsidRPr="002B3F36">
        <w:rPr>
          <w:rStyle w:val="affffb"/>
        </w:rPr>
        <w:t>Large agricultural plots, minor proportional loss:</w:t>
      </w:r>
      <w:r w:rsidRPr="002B3F36">
        <w:rPr>
          <w:rFonts w:ascii="Arial" w:hAnsi="Arial" w:cs="Arial"/>
        </w:rPr>
        <w:t xml:space="preserve"> Most affected plots have </w:t>
      </w:r>
      <w:r w:rsidRPr="002B3F36">
        <w:rPr>
          <w:rStyle w:val="affffb"/>
        </w:rPr>
        <w:t>&lt;1%</w:t>
      </w:r>
      <w:r w:rsidRPr="002B3F36">
        <w:rPr>
          <w:rFonts w:ascii="Arial" w:hAnsi="Arial" w:cs="Arial"/>
        </w:rPr>
        <w:t xml:space="preserve"> reservation.</w:t>
      </w:r>
    </w:p>
    <w:p w14:paraId="3ACFF297" w14:textId="77777777" w:rsidR="001C5478" w:rsidRPr="002B3F36" w:rsidRDefault="001C5478" w:rsidP="003D37BF">
      <w:pPr>
        <w:pStyle w:val="aff9"/>
        <w:numPr>
          <w:ilvl w:val="0"/>
          <w:numId w:val="257"/>
        </w:numPr>
        <w:spacing w:before="0" w:beforeAutospacing="0" w:after="0" w:afterAutospacing="0"/>
        <w:rPr>
          <w:rFonts w:ascii="Arial" w:hAnsi="Arial" w:cs="Arial"/>
        </w:rPr>
      </w:pPr>
      <w:r w:rsidRPr="002B3F36">
        <w:rPr>
          <w:rStyle w:val="affffb"/>
        </w:rPr>
        <w:t>Mid-sized plots with higher loss:</w:t>
      </w:r>
      <w:r w:rsidRPr="002B3F36">
        <w:rPr>
          <w:rFonts w:ascii="Arial" w:hAnsi="Arial" w:cs="Arial"/>
        </w:rPr>
        <w:t xml:space="preserve"> Several plots show </w:t>
      </w:r>
      <w:r w:rsidRPr="002B3F36">
        <w:rPr>
          <w:rStyle w:val="affffb"/>
        </w:rPr>
        <w:t>3–5%</w:t>
      </w:r>
      <w:r w:rsidRPr="002B3F36">
        <w:rPr>
          <w:rFonts w:ascii="Arial" w:hAnsi="Arial" w:cs="Arial"/>
        </w:rPr>
        <w:t xml:space="preserve"> proportional impact.</w:t>
      </w:r>
    </w:p>
    <w:p w14:paraId="569A59E7" w14:textId="77777777" w:rsidR="001C5478" w:rsidRPr="002B3F36" w:rsidRDefault="001C5478" w:rsidP="003D37BF">
      <w:pPr>
        <w:pStyle w:val="aff9"/>
        <w:numPr>
          <w:ilvl w:val="0"/>
          <w:numId w:val="257"/>
        </w:numPr>
        <w:spacing w:before="0" w:beforeAutospacing="0" w:after="0" w:afterAutospacing="0"/>
        <w:rPr>
          <w:rFonts w:ascii="Arial" w:hAnsi="Arial" w:cs="Arial"/>
        </w:rPr>
      </w:pPr>
      <w:r w:rsidRPr="002B3F36">
        <w:rPr>
          <w:rStyle w:val="affffb"/>
        </w:rPr>
        <w:t>One settlement parcel at higher end:</w:t>
      </w:r>
      <w:r w:rsidRPr="002B3F36">
        <w:rPr>
          <w:rFonts w:ascii="Arial" w:hAnsi="Arial" w:cs="Arial"/>
        </w:rPr>
        <w:t xml:space="preserve"> A Karazhal town parcel faces </w:t>
      </w:r>
      <w:r w:rsidRPr="002B3F36">
        <w:rPr>
          <w:rStyle w:val="affffb"/>
        </w:rPr>
        <w:t>5.34%</w:t>
      </w:r>
      <w:r w:rsidRPr="002B3F36">
        <w:rPr>
          <w:rFonts w:ascii="Arial" w:hAnsi="Arial" w:cs="Arial"/>
        </w:rPr>
        <w:t xml:space="preserve"> impact.</w:t>
      </w:r>
    </w:p>
    <w:p w14:paraId="7A77E4F5" w14:textId="273B69FA" w:rsidR="001C5478" w:rsidRPr="002B3F36" w:rsidRDefault="001C5478" w:rsidP="003D37BF">
      <w:pPr>
        <w:pStyle w:val="aff9"/>
        <w:numPr>
          <w:ilvl w:val="0"/>
          <w:numId w:val="257"/>
        </w:numPr>
        <w:spacing w:before="0" w:beforeAutospacing="0" w:after="0" w:afterAutospacing="0"/>
        <w:rPr>
          <w:rFonts w:ascii="Arial" w:hAnsi="Arial" w:cs="Arial"/>
        </w:rPr>
      </w:pPr>
      <w:r w:rsidRPr="002B3F36">
        <w:rPr>
          <w:rStyle w:val="affffb"/>
        </w:rPr>
        <w:t>Priority cases for LRP screening:</w:t>
      </w:r>
      <w:r w:rsidRPr="002B3F36">
        <w:rPr>
          <w:rFonts w:ascii="Arial" w:hAnsi="Arial" w:cs="Arial"/>
        </w:rPr>
        <w:t xml:space="preserve"> Mid- to higher-impact plots to be </w:t>
      </w:r>
      <w:r w:rsidRPr="002B3F36">
        <w:rPr>
          <w:rStyle w:val="affffb"/>
        </w:rPr>
        <w:t>prioritized for tailored mitigation</w:t>
      </w:r>
      <w:r w:rsidRPr="002B3F36">
        <w:rPr>
          <w:rFonts w:ascii="Arial" w:hAnsi="Arial" w:cs="Arial"/>
        </w:rPr>
        <w:t xml:space="preserve"> and </w:t>
      </w:r>
      <w:r w:rsidRPr="002B3F36">
        <w:rPr>
          <w:rStyle w:val="affffb"/>
        </w:rPr>
        <w:t>Livelihood Restoration Program (LRP)</w:t>
      </w:r>
      <w:r w:rsidRPr="002B3F36">
        <w:rPr>
          <w:rFonts w:ascii="Arial" w:hAnsi="Arial" w:cs="Arial"/>
        </w:rPr>
        <w:t xml:space="preserve"> enrollment </w:t>
      </w:r>
      <w:r w:rsidRPr="002B3F36">
        <w:rPr>
          <w:rStyle w:val="affffb"/>
        </w:rPr>
        <w:t>if verified losses exceed 10%</w:t>
      </w:r>
      <w:r w:rsidRPr="002B3F36">
        <w:rPr>
          <w:rFonts w:ascii="Arial" w:hAnsi="Arial" w:cs="Arial"/>
        </w:rPr>
        <w:t xml:space="preserve"> of productive assets/income.</w:t>
      </w:r>
    </w:p>
    <w:p w14:paraId="2D5D5D3C" w14:textId="080ACBEE" w:rsidR="00627208" w:rsidRPr="002B3F36" w:rsidRDefault="00D27E2D" w:rsidP="003D37BF">
      <w:pPr>
        <w:pStyle w:val="aff9"/>
        <w:numPr>
          <w:ilvl w:val="0"/>
          <w:numId w:val="257"/>
        </w:numPr>
        <w:spacing w:before="0" w:beforeAutospacing="0" w:after="0" w:afterAutospacing="0"/>
        <w:rPr>
          <w:rFonts w:ascii="Arial" w:hAnsi="Arial" w:cs="Arial"/>
        </w:rPr>
      </w:pPr>
      <w:r w:rsidRPr="002B3F36">
        <w:rPr>
          <w:rFonts w:ascii="Arial" w:hAnsi="Arial" w:cs="Arial"/>
        </w:rPr>
        <w:t>The cadastral list provided by the Akimat confirms the total area of 1 888.873 ha. and identifies 45 land plots, primarily agricultural lands under long-term lease or permanent use by farming households (Tentative and preliminary).</w:t>
      </w:r>
    </w:p>
    <w:p w14:paraId="64977660" w14:textId="7B2537B7" w:rsidR="001C5478" w:rsidRPr="002B3F36" w:rsidRDefault="003A184C" w:rsidP="003D37BF">
      <w:pPr>
        <w:pStyle w:val="UnderlineBold"/>
      </w:pPr>
      <w:r>
        <w:t>Karagandy</w:t>
      </w:r>
      <w:r w:rsidR="001C5478" w:rsidRPr="002B3F36">
        <w:t xml:space="preserve"> Region</w:t>
      </w:r>
    </w:p>
    <w:p w14:paraId="0B84CFDD" w14:textId="1E1B8FF5" w:rsidR="000D648F" w:rsidRPr="002B3F36" w:rsidRDefault="000D648F" w:rsidP="000D648F">
      <w:pPr>
        <w:pStyle w:val="aff9"/>
        <w:numPr>
          <w:ilvl w:val="0"/>
          <w:numId w:val="258"/>
        </w:numPr>
        <w:spacing w:before="0" w:beforeAutospacing="0" w:after="0" w:afterAutospacing="0"/>
        <w:rPr>
          <w:rStyle w:val="affffb"/>
          <w:b w:val="0"/>
        </w:rPr>
      </w:pPr>
      <w:r w:rsidRPr="002B3F36">
        <w:rPr>
          <w:rStyle w:val="affffb"/>
          <w:b w:val="0"/>
        </w:rPr>
        <w:t>The affected properties are in settlements of Aqadyr; Mointy, Kyikty and Bosaga.</w:t>
      </w:r>
    </w:p>
    <w:p w14:paraId="21A525F5" w14:textId="6C5D3251" w:rsidR="001C5478" w:rsidRPr="002B3F36" w:rsidRDefault="001C5478" w:rsidP="003D37BF">
      <w:pPr>
        <w:pStyle w:val="aff9"/>
        <w:numPr>
          <w:ilvl w:val="0"/>
          <w:numId w:val="258"/>
        </w:numPr>
        <w:spacing w:before="0" w:beforeAutospacing="0" w:after="0" w:afterAutospacing="0"/>
        <w:rPr>
          <w:rFonts w:ascii="Arial" w:hAnsi="Arial" w:cs="Arial"/>
        </w:rPr>
      </w:pPr>
      <w:r w:rsidRPr="002B3F36">
        <w:rPr>
          <w:rStyle w:val="affffb"/>
        </w:rPr>
        <w:t>No physical displacement:</w:t>
      </w:r>
      <w:r w:rsidRPr="002B3F36">
        <w:rPr>
          <w:rFonts w:ascii="Arial" w:hAnsi="Arial" w:cs="Arial"/>
        </w:rPr>
        <w:t xml:space="preserve"> No demolition of residential structures or household relocation expected.</w:t>
      </w:r>
    </w:p>
    <w:p w14:paraId="57ADDCC1" w14:textId="77777777" w:rsidR="001C5478" w:rsidRPr="002B3F36" w:rsidRDefault="001C5478" w:rsidP="003D37BF">
      <w:pPr>
        <w:pStyle w:val="aff9"/>
        <w:numPr>
          <w:ilvl w:val="0"/>
          <w:numId w:val="258"/>
        </w:numPr>
        <w:spacing w:before="0" w:beforeAutospacing="0" w:after="0" w:afterAutospacing="0"/>
        <w:rPr>
          <w:rFonts w:ascii="Arial" w:hAnsi="Arial" w:cs="Arial"/>
        </w:rPr>
      </w:pPr>
      <w:r w:rsidRPr="002B3F36">
        <w:rPr>
          <w:rStyle w:val="affffb"/>
        </w:rPr>
        <w:t>Economic displacement only:</w:t>
      </w:r>
      <w:r w:rsidRPr="002B3F36">
        <w:rPr>
          <w:rFonts w:ascii="Arial" w:hAnsi="Arial" w:cs="Arial"/>
        </w:rPr>
        <w:t xml:space="preserve"> Effects stem from land reservation and related use/access restrictions.</w:t>
      </w:r>
    </w:p>
    <w:p w14:paraId="43FAAD28" w14:textId="19A6BD5A" w:rsidR="001C5478" w:rsidRPr="002B3F36" w:rsidRDefault="001C5478" w:rsidP="003D37BF">
      <w:pPr>
        <w:pStyle w:val="aff9"/>
        <w:numPr>
          <w:ilvl w:val="0"/>
          <w:numId w:val="258"/>
        </w:numPr>
        <w:spacing w:before="0" w:beforeAutospacing="0" w:after="0" w:afterAutospacing="0"/>
        <w:rPr>
          <w:rFonts w:ascii="Arial" w:hAnsi="Arial" w:cs="Arial"/>
        </w:rPr>
      </w:pPr>
      <w:r w:rsidRPr="002B3F36">
        <w:rPr>
          <w:rStyle w:val="affffb"/>
        </w:rPr>
        <w:t>Primary risks:</w:t>
      </w:r>
      <w:r w:rsidRPr="002B3F36">
        <w:rPr>
          <w:rFonts w:ascii="Arial" w:hAnsi="Arial" w:cs="Arial"/>
        </w:rPr>
        <w:t xml:space="preserve"> Partial loss of pasture/farmland, </w:t>
      </w:r>
      <w:r w:rsidRPr="002B3F36">
        <w:rPr>
          <w:rStyle w:val="affffb"/>
        </w:rPr>
        <w:t>temporary construction-phase access limits</w:t>
      </w:r>
      <w:r w:rsidRPr="002B3F36">
        <w:rPr>
          <w:rFonts w:ascii="Arial" w:hAnsi="Arial" w:cs="Arial"/>
        </w:rPr>
        <w:t xml:space="preserve">, and </w:t>
      </w:r>
      <w:r w:rsidRPr="002B3F36">
        <w:rPr>
          <w:rStyle w:val="affffb"/>
        </w:rPr>
        <w:t>disruption of grazing routes</w:t>
      </w:r>
      <w:r w:rsidR="00E64646" w:rsidRPr="002B3F36">
        <w:rPr>
          <w:rStyle w:val="affffb"/>
        </w:rPr>
        <w:t xml:space="preserve">, pasture connectivity </w:t>
      </w:r>
      <w:r w:rsidRPr="002B3F36">
        <w:rPr>
          <w:rStyle w:val="affffb"/>
        </w:rPr>
        <w:t>/seasonal patterns</w:t>
      </w:r>
      <w:r w:rsidRPr="002B3F36">
        <w:rPr>
          <w:rFonts w:ascii="Arial" w:hAnsi="Arial" w:cs="Arial"/>
        </w:rPr>
        <w:t>.</w:t>
      </w:r>
    </w:p>
    <w:p w14:paraId="02D1B798" w14:textId="77777777" w:rsidR="001C5478" w:rsidRPr="002B3F36" w:rsidRDefault="001C5478" w:rsidP="003D37BF">
      <w:pPr>
        <w:pStyle w:val="aff9"/>
        <w:numPr>
          <w:ilvl w:val="0"/>
          <w:numId w:val="258"/>
        </w:numPr>
        <w:spacing w:before="0" w:beforeAutospacing="0" w:after="0" w:afterAutospacing="0"/>
        <w:rPr>
          <w:rFonts w:ascii="Arial" w:hAnsi="Arial" w:cs="Arial"/>
        </w:rPr>
      </w:pPr>
      <w:r w:rsidRPr="002B3F36">
        <w:rPr>
          <w:rStyle w:val="affffb"/>
        </w:rPr>
        <w:t>High-impact case identified:</w:t>
      </w:r>
      <w:r w:rsidRPr="002B3F36">
        <w:rPr>
          <w:rFonts w:ascii="Arial" w:hAnsi="Arial" w:cs="Arial"/>
        </w:rPr>
        <w:t xml:space="preserve"> Cadastre </w:t>
      </w:r>
      <w:r w:rsidRPr="002B3F36">
        <w:rPr>
          <w:rStyle w:val="affffb"/>
        </w:rPr>
        <w:t>№ 09-107-073-153</w:t>
      </w:r>
      <w:r w:rsidRPr="002B3F36">
        <w:rPr>
          <w:rFonts w:ascii="Arial" w:hAnsi="Arial" w:cs="Arial"/>
        </w:rPr>
        <w:t xml:space="preserve"> with </w:t>
      </w:r>
      <w:r w:rsidRPr="002B3F36">
        <w:rPr>
          <w:rStyle w:val="affffb"/>
        </w:rPr>
        <w:t>8.5%</w:t>
      </w:r>
      <w:r w:rsidRPr="002B3F36">
        <w:rPr>
          <w:rFonts w:ascii="Arial" w:hAnsi="Arial" w:cs="Arial"/>
        </w:rPr>
        <w:t xml:space="preserve"> proportional impact—requires </w:t>
      </w:r>
      <w:r w:rsidRPr="002B3F36">
        <w:rPr>
          <w:rStyle w:val="affffb"/>
        </w:rPr>
        <w:t>tailored livelihood restoration</w:t>
      </w:r>
      <w:r w:rsidRPr="002B3F36">
        <w:rPr>
          <w:rFonts w:ascii="Arial" w:hAnsi="Arial" w:cs="Arial"/>
        </w:rPr>
        <w:t>.</w:t>
      </w:r>
    </w:p>
    <w:p w14:paraId="427CF073" w14:textId="0BE082AD" w:rsidR="001C5478" w:rsidRPr="002B3F36" w:rsidRDefault="001C5478" w:rsidP="003D37BF">
      <w:pPr>
        <w:pStyle w:val="aff9"/>
        <w:numPr>
          <w:ilvl w:val="0"/>
          <w:numId w:val="258"/>
        </w:numPr>
        <w:spacing w:before="0" w:beforeAutospacing="0" w:after="0" w:afterAutospacing="0"/>
        <w:rPr>
          <w:rFonts w:ascii="Arial" w:hAnsi="Arial" w:cs="Arial"/>
        </w:rPr>
      </w:pPr>
      <w:r w:rsidRPr="002B3F36">
        <w:rPr>
          <w:rStyle w:val="affffb"/>
        </w:rPr>
        <w:t>Minor losses for most users:</w:t>
      </w:r>
      <w:r w:rsidRPr="002B3F36">
        <w:rPr>
          <w:rFonts w:ascii="Arial" w:hAnsi="Arial" w:cs="Arial"/>
        </w:rPr>
        <w:t xml:space="preserve"> Majority experience </w:t>
      </w:r>
      <w:r w:rsidRPr="002B3F36">
        <w:rPr>
          <w:rStyle w:val="affffb"/>
        </w:rPr>
        <w:t>&lt;3%</w:t>
      </w:r>
      <w:r w:rsidRPr="002B3F36">
        <w:rPr>
          <w:rFonts w:ascii="Arial" w:hAnsi="Arial" w:cs="Arial"/>
        </w:rPr>
        <w:t xml:space="preserve"> proportional loss, though short-term construction activities may still affect seasonal grazing logistics.</w:t>
      </w:r>
    </w:p>
    <w:p w14:paraId="3F01EBEF" w14:textId="5DD7643C" w:rsidR="00D27E2D" w:rsidRPr="002B3F36" w:rsidRDefault="00D27E2D" w:rsidP="003D37BF">
      <w:pPr>
        <w:pStyle w:val="aff9"/>
        <w:numPr>
          <w:ilvl w:val="0"/>
          <w:numId w:val="258"/>
        </w:numPr>
        <w:spacing w:before="0" w:beforeAutospacing="0" w:after="0" w:afterAutospacing="0"/>
        <w:rPr>
          <w:rFonts w:ascii="Arial" w:hAnsi="Arial" w:cs="Arial"/>
        </w:rPr>
      </w:pPr>
      <w:r w:rsidRPr="002B3F36">
        <w:rPr>
          <w:rFonts w:ascii="Arial" w:hAnsi="Arial" w:cs="Arial"/>
        </w:rPr>
        <w:t xml:space="preserve">The total reserved land area in Shet District, </w:t>
      </w:r>
      <w:r w:rsidR="003A184C">
        <w:rPr>
          <w:rFonts w:ascii="Arial" w:hAnsi="Arial" w:cs="Arial"/>
        </w:rPr>
        <w:t>Karagandy</w:t>
      </w:r>
      <w:r w:rsidRPr="002B3F36">
        <w:rPr>
          <w:rFonts w:ascii="Arial" w:hAnsi="Arial" w:cs="Arial"/>
        </w:rPr>
        <w:t xml:space="preserve"> Region, amounts to 793.362 ha, whereas the detailed cadastral explication indicates a total of 1 879.257 ha. (Tentative and preliminary).</w:t>
      </w:r>
    </w:p>
    <w:p w14:paraId="51275012" w14:textId="77777777" w:rsidR="008775AF" w:rsidRPr="002B3F36" w:rsidRDefault="008775AF" w:rsidP="00827658">
      <w:pPr>
        <w:pStyle w:val="ReportBodyTextNogap"/>
      </w:pPr>
    </w:p>
    <w:p w14:paraId="5FB4B1AE" w14:textId="77777777" w:rsidR="005443FE" w:rsidRPr="002B3F36" w:rsidRDefault="005443FE" w:rsidP="00E153F3">
      <w:pPr>
        <w:pStyle w:val="DiaList12"/>
        <w:rPr>
          <w:rFonts w:eastAsia="SimSun"/>
          <w:lang w:val="en-PH"/>
        </w:rPr>
      </w:pPr>
      <w:r w:rsidRPr="002B3F36">
        <w:rPr>
          <w:rFonts w:eastAsia="SimSun"/>
          <w:lang w:val="en-PH"/>
        </w:rPr>
        <w:t>Impact Assessment</w:t>
      </w:r>
    </w:p>
    <w:p w14:paraId="321156E6" w14:textId="77777777" w:rsidR="005443FE" w:rsidRPr="002B3F36" w:rsidRDefault="005443FE" w:rsidP="009B4CDB">
      <w:pPr>
        <w:pStyle w:val="aff9"/>
        <w:numPr>
          <w:ilvl w:val="0"/>
          <w:numId w:val="168"/>
        </w:numPr>
        <w:spacing w:before="0" w:beforeAutospacing="0" w:after="0" w:afterAutospacing="0"/>
        <w:jc w:val="both"/>
        <w:rPr>
          <w:rFonts w:ascii="Arial" w:hAnsi="Arial" w:cs="Arial"/>
        </w:rPr>
      </w:pPr>
      <w:r w:rsidRPr="002B3F36">
        <w:rPr>
          <w:rStyle w:val="affffb"/>
        </w:rPr>
        <w:t>Agricultural land:</w:t>
      </w:r>
      <w:r w:rsidRPr="002B3F36">
        <w:rPr>
          <w:rFonts w:ascii="Arial" w:hAnsi="Arial" w:cs="Arial"/>
        </w:rPr>
        <w:t xml:space="preserve"> Loss of cropland or pastures could reduce farm and herder income, with disproportionate impacts on households dependent on seasonal grazing.</w:t>
      </w:r>
    </w:p>
    <w:p w14:paraId="45CEF9FC" w14:textId="7B7E2210" w:rsidR="005443FE" w:rsidRPr="002B3F36" w:rsidRDefault="005443FE" w:rsidP="009B4CDB">
      <w:pPr>
        <w:pStyle w:val="aff9"/>
        <w:numPr>
          <w:ilvl w:val="0"/>
          <w:numId w:val="168"/>
        </w:numPr>
        <w:spacing w:before="0" w:beforeAutospacing="0" w:after="0" w:afterAutospacing="0"/>
        <w:jc w:val="both"/>
        <w:rPr>
          <w:rFonts w:ascii="Arial" w:hAnsi="Arial" w:cs="Arial"/>
        </w:rPr>
      </w:pPr>
      <w:r w:rsidRPr="002B3F36">
        <w:rPr>
          <w:rStyle w:val="affffb"/>
        </w:rPr>
        <w:t>Residential/structure impacts:</w:t>
      </w:r>
      <w:r w:rsidRPr="002B3F36">
        <w:rPr>
          <w:rFonts w:ascii="Arial" w:hAnsi="Arial" w:cs="Arial"/>
        </w:rPr>
        <w:t xml:space="preserve"> </w:t>
      </w:r>
      <w:r w:rsidR="00F3729F" w:rsidRPr="002B3F36">
        <w:rPr>
          <w:rFonts w:ascii="Arial" w:hAnsi="Arial" w:cs="Arial"/>
        </w:rPr>
        <w:t xml:space="preserve">No </w:t>
      </w:r>
      <w:r w:rsidRPr="002B3F36">
        <w:rPr>
          <w:rFonts w:ascii="Arial" w:hAnsi="Arial" w:cs="Arial"/>
        </w:rPr>
        <w:t>residential displacements are expected, but where structures are present, relocation could disrupt social ties and livelihoods.</w:t>
      </w:r>
    </w:p>
    <w:p w14:paraId="305923EC" w14:textId="77777777" w:rsidR="005443FE" w:rsidRPr="002B3F36" w:rsidRDefault="005443FE" w:rsidP="009B4CDB">
      <w:pPr>
        <w:pStyle w:val="aff9"/>
        <w:numPr>
          <w:ilvl w:val="0"/>
          <w:numId w:val="168"/>
        </w:numPr>
        <w:jc w:val="both"/>
        <w:rPr>
          <w:rFonts w:ascii="Arial" w:hAnsi="Arial" w:cs="Arial"/>
        </w:rPr>
      </w:pPr>
      <w:r w:rsidRPr="002B3F36">
        <w:rPr>
          <w:rStyle w:val="affffb"/>
        </w:rPr>
        <w:t>Livelihoods:</w:t>
      </w:r>
      <w:r w:rsidRPr="002B3F36">
        <w:rPr>
          <w:rFonts w:ascii="Arial" w:hAnsi="Arial" w:cs="Arial"/>
        </w:rPr>
        <w:t xml:space="preserve"> Sharecroppers, tenants, and informal users risk loss of access and income without formal compensation unless explicitly included.</w:t>
      </w:r>
    </w:p>
    <w:p w14:paraId="66C3D35F" w14:textId="77777777" w:rsidR="005443FE" w:rsidRPr="002B3F36" w:rsidRDefault="005443FE" w:rsidP="009B4CDB">
      <w:pPr>
        <w:pStyle w:val="aff9"/>
        <w:numPr>
          <w:ilvl w:val="0"/>
          <w:numId w:val="168"/>
        </w:numPr>
        <w:jc w:val="both"/>
        <w:rPr>
          <w:rFonts w:ascii="Arial" w:hAnsi="Arial" w:cs="Arial"/>
        </w:rPr>
      </w:pPr>
      <w:r w:rsidRPr="002B3F36">
        <w:rPr>
          <w:rStyle w:val="affffb"/>
        </w:rPr>
        <w:t>Temporary occupation:</w:t>
      </w:r>
      <w:r w:rsidRPr="002B3F36">
        <w:rPr>
          <w:rFonts w:ascii="Arial" w:hAnsi="Arial" w:cs="Arial"/>
        </w:rPr>
        <w:t xml:space="preserve"> Risks include crop damage, income loss, and delayed restoration of land to usable condition.</w:t>
      </w:r>
    </w:p>
    <w:p w14:paraId="0190DE06" w14:textId="77777777" w:rsidR="005443FE" w:rsidRPr="002B3F36" w:rsidRDefault="005443FE" w:rsidP="003D37BF">
      <w:pPr>
        <w:pStyle w:val="aff9"/>
        <w:numPr>
          <w:ilvl w:val="0"/>
          <w:numId w:val="168"/>
        </w:numPr>
        <w:spacing w:before="0" w:beforeAutospacing="0" w:after="0" w:afterAutospacing="0"/>
        <w:jc w:val="both"/>
        <w:rPr>
          <w:rFonts w:ascii="Arial" w:hAnsi="Arial" w:cs="Arial"/>
        </w:rPr>
      </w:pPr>
      <w:r w:rsidRPr="002B3F36">
        <w:rPr>
          <w:rStyle w:val="affffb"/>
        </w:rPr>
        <w:t>Vulnerable groups:</w:t>
      </w:r>
      <w:r w:rsidRPr="002B3F36">
        <w:rPr>
          <w:rFonts w:ascii="Arial" w:hAnsi="Arial" w:cs="Arial"/>
        </w:rPr>
        <w:t xml:space="preserve"> Small farmers, women-headed households, and the elderly may face barriers in accessing compensation, legal processes, or livelihood restoration.</w:t>
      </w:r>
    </w:p>
    <w:p w14:paraId="2DA23EFC" w14:textId="6D7004D8" w:rsidR="005443FE" w:rsidRPr="002B3F36" w:rsidRDefault="005443FE" w:rsidP="003D37BF">
      <w:pPr>
        <w:pStyle w:val="aff9"/>
        <w:numPr>
          <w:ilvl w:val="0"/>
          <w:numId w:val="168"/>
        </w:numPr>
        <w:spacing w:before="0" w:beforeAutospacing="0" w:after="0" w:afterAutospacing="0"/>
        <w:jc w:val="both"/>
        <w:rPr>
          <w:rFonts w:ascii="Arial" w:hAnsi="Arial" w:cs="Arial"/>
        </w:rPr>
      </w:pPr>
      <w:r w:rsidRPr="002B3F36">
        <w:rPr>
          <w:rStyle w:val="affffb"/>
        </w:rPr>
        <w:t>Community resources:</w:t>
      </w:r>
      <w:r w:rsidRPr="002B3F36">
        <w:rPr>
          <w:rFonts w:ascii="Arial" w:hAnsi="Arial" w:cs="Arial"/>
        </w:rPr>
        <w:t xml:space="preserve"> Common property resources such as grazing routes, wells, or cultural sites may be temporarily or permanently affected, risking community tensions.</w:t>
      </w:r>
    </w:p>
    <w:p w14:paraId="7D76C64E" w14:textId="77777777" w:rsidR="00DE1806" w:rsidRPr="002B3F36" w:rsidRDefault="00DE1806" w:rsidP="003D37BF">
      <w:pPr>
        <w:pStyle w:val="ReportBodyPar"/>
      </w:pPr>
    </w:p>
    <w:p w14:paraId="1F2C3CDE" w14:textId="605650E3" w:rsidR="00DE1806" w:rsidRPr="002B3F36" w:rsidRDefault="00DE1806" w:rsidP="003D37BF">
      <w:pPr>
        <w:pStyle w:val="ReportBodyPar"/>
      </w:pPr>
      <w:r w:rsidRPr="002B3F36">
        <w:t xml:space="preserve">In terms of Land Acquisition and Resettlement impact and risks, the Project will introduce “direct” impact to several people/household that will be traversed by the alignment, </w:t>
      </w:r>
      <w:r w:rsidR="009D0CE5" w:rsidRPr="002B3F36">
        <w:t>though</w:t>
      </w:r>
      <w:r w:rsidRPr="002B3F36">
        <w:t xml:space="preserve"> as mentioned, this will be minor no physical displacement. In terms of duration, this will be permanent. Applying the “Significance of Impact Matrix”, it can be considered that the </w:t>
      </w:r>
      <w:r w:rsidRPr="002B3F36">
        <w:lastRenderedPageBreak/>
        <w:t>persons may have receptor “Low sensitivity” as the land-</w:t>
      </w:r>
      <w:r w:rsidR="009D0CE5" w:rsidRPr="002B3F36">
        <w:t>takings</w:t>
      </w:r>
      <w:r w:rsidRPr="002B3F36">
        <w:t xml:space="preserve"> will </w:t>
      </w:r>
      <w:r w:rsidR="009D0CE5" w:rsidRPr="002B3F36">
        <w:t>be</w:t>
      </w:r>
      <w:r w:rsidRPr="002B3F36">
        <w:t xml:space="preserve"> minimal. On the impact magnitude, this can be small; thus, yielding a significance impact of “</w:t>
      </w:r>
      <w:r w:rsidRPr="002B3F36">
        <w:rPr>
          <w:b/>
        </w:rPr>
        <w:t>Minor</w:t>
      </w:r>
      <w:r w:rsidRPr="002B3F36">
        <w:t>”.</w:t>
      </w:r>
    </w:p>
    <w:p w14:paraId="1CA08B5F" w14:textId="77777777" w:rsidR="0005187B" w:rsidRPr="002B3F36" w:rsidRDefault="0005187B" w:rsidP="0005187B">
      <w:pPr>
        <w:pStyle w:val="ReportParagraph"/>
      </w:pPr>
    </w:p>
    <w:p w14:paraId="064A5003" w14:textId="77777777" w:rsidR="005443FE" w:rsidRPr="002B3F36" w:rsidRDefault="005443FE" w:rsidP="001F1FD1">
      <w:pPr>
        <w:pStyle w:val="DiaList12"/>
        <w:rPr>
          <w:rFonts w:eastAsia="SimSun"/>
          <w:lang w:val="en-PH"/>
        </w:rPr>
      </w:pPr>
      <w:r w:rsidRPr="002B3F36">
        <w:rPr>
          <w:rFonts w:eastAsia="SimSun"/>
          <w:lang w:val="en-PH"/>
        </w:rPr>
        <w:t>Mitigation Measures</w:t>
      </w:r>
    </w:p>
    <w:p w14:paraId="6BEC2C86" w14:textId="41305D11" w:rsidR="005443FE" w:rsidRPr="002B3F36" w:rsidRDefault="005443FE" w:rsidP="0005187B">
      <w:pPr>
        <w:pStyle w:val="ReportBodyPar"/>
      </w:pPr>
      <w:r w:rsidRPr="002B3F36">
        <w:t xml:space="preserve">Mitigation follows the </w:t>
      </w:r>
      <w:r w:rsidRPr="002B3F36">
        <w:rPr>
          <w:rStyle w:val="affffb"/>
        </w:rPr>
        <w:t>PS5 mitigation hierarchy</w:t>
      </w:r>
      <w:r w:rsidRPr="002B3F36">
        <w:t xml:space="preserve">—avoid, minimize, restore, and improve—and the project’s </w:t>
      </w:r>
      <w:r w:rsidR="00F3729F" w:rsidRPr="002B3F36">
        <w:t>LA</w:t>
      </w:r>
      <w:r w:rsidRPr="002B3F36">
        <w:t>RAP:</w:t>
      </w:r>
    </w:p>
    <w:p w14:paraId="5E74FBAD" w14:textId="71D9C3C9" w:rsidR="005443FE" w:rsidRPr="002B3F36" w:rsidRDefault="005443FE" w:rsidP="009B4CDB">
      <w:pPr>
        <w:pStyle w:val="aff9"/>
        <w:numPr>
          <w:ilvl w:val="0"/>
          <w:numId w:val="175"/>
        </w:numPr>
        <w:spacing w:before="0" w:beforeAutospacing="0" w:after="0" w:afterAutospacing="0"/>
        <w:jc w:val="both"/>
        <w:rPr>
          <w:rFonts w:ascii="Arial" w:hAnsi="Arial" w:cs="Arial"/>
        </w:rPr>
      </w:pPr>
      <w:r w:rsidRPr="002B3F36">
        <w:rPr>
          <w:rStyle w:val="affffb"/>
        </w:rPr>
        <w:t>Planning and Process</w:t>
      </w:r>
    </w:p>
    <w:p w14:paraId="48E8045F" w14:textId="77777777" w:rsidR="005443FE" w:rsidRPr="002B3F36" w:rsidRDefault="005443FE" w:rsidP="009B4CDB">
      <w:pPr>
        <w:pStyle w:val="aff9"/>
        <w:numPr>
          <w:ilvl w:val="0"/>
          <w:numId w:val="169"/>
        </w:numPr>
        <w:spacing w:before="0" w:beforeAutospacing="0" w:after="0" w:afterAutospacing="0"/>
        <w:jc w:val="both"/>
        <w:rPr>
          <w:rFonts w:ascii="Arial" w:hAnsi="Arial" w:cs="Arial"/>
        </w:rPr>
      </w:pPr>
      <w:r w:rsidRPr="002B3F36">
        <w:rPr>
          <w:rFonts w:ascii="Arial" w:hAnsi="Arial" w:cs="Arial"/>
        </w:rPr>
        <w:t xml:space="preserve">Establish and publicly disclose a </w:t>
      </w:r>
      <w:r w:rsidRPr="002B3F36">
        <w:rPr>
          <w:rStyle w:val="affffb"/>
        </w:rPr>
        <w:t>cut-off date</w:t>
      </w:r>
      <w:r w:rsidRPr="002B3F36">
        <w:rPr>
          <w:rFonts w:ascii="Arial" w:hAnsi="Arial" w:cs="Arial"/>
        </w:rPr>
        <w:t>, ensuring eligibility is clear and preventing speculative claims.</w:t>
      </w:r>
    </w:p>
    <w:p w14:paraId="07FC9944" w14:textId="77777777" w:rsidR="005443FE" w:rsidRPr="002B3F36" w:rsidRDefault="005443FE" w:rsidP="009B4CDB">
      <w:pPr>
        <w:pStyle w:val="aff9"/>
        <w:numPr>
          <w:ilvl w:val="0"/>
          <w:numId w:val="169"/>
        </w:numPr>
        <w:spacing w:before="0" w:beforeAutospacing="0" w:after="0" w:afterAutospacing="0"/>
        <w:jc w:val="both"/>
        <w:rPr>
          <w:rFonts w:ascii="Arial" w:hAnsi="Arial" w:cs="Arial"/>
        </w:rPr>
      </w:pPr>
      <w:r w:rsidRPr="002B3F36">
        <w:rPr>
          <w:rFonts w:ascii="Arial" w:hAnsi="Arial" w:cs="Arial"/>
        </w:rPr>
        <w:t xml:space="preserve">Conduct a </w:t>
      </w:r>
      <w:r w:rsidRPr="002B3F36">
        <w:rPr>
          <w:rStyle w:val="affffb"/>
        </w:rPr>
        <w:t>census and socio-economic survey</w:t>
      </w:r>
      <w:r w:rsidRPr="002B3F36">
        <w:rPr>
          <w:rFonts w:ascii="Arial" w:hAnsi="Arial" w:cs="Arial"/>
        </w:rPr>
        <w:t xml:space="preserve"> to identify all PAPs, including vulnerable groups and informal users.</w:t>
      </w:r>
    </w:p>
    <w:p w14:paraId="009076A3" w14:textId="245E9B05" w:rsidR="005443FE" w:rsidRPr="002B3F36" w:rsidRDefault="005443FE" w:rsidP="009B4CDB">
      <w:pPr>
        <w:pStyle w:val="aff9"/>
        <w:numPr>
          <w:ilvl w:val="0"/>
          <w:numId w:val="169"/>
        </w:numPr>
        <w:spacing w:before="0" w:beforeAutospacing="0" w:after="0" w:afterAutospacing="0"/>
        <w:jc w:val="both"/>
        <w:rPr>
          <w:rFonts w:ascii="Arial" w:hAnsi="Arial" w:cs="Arial"/>
        </w:rPr>
      </w:pPr>
      <w:r w:rsidRPr="002B3F36">
        <w:rPr>
          <w:rFonts w:ascii="Arial" w:hAnsi="Arial" w:cs="Arial"/>
        </w:rPr>
        <w:t xml:space="preserve">Apply </w:t>
      </w:r>
      <w:r w:rsidRPr="002B3F36">
        <w:rPr>
          <w:rStyle w:val="affffb"/>
        </w:rPr>
        <w:t>independent valuation at full replacement cost</w:t>
      </w:r>
      <w:r w:rsidRPr="002B3F36">
        <w:rPr>
          <w:rFonts w:ascii="Arial" w:hAnsi="Arial" w:cs="Arial"/>
        </w:rPr>
        <w:t>, with project-financed top-ups if statutory rates fall short.</w:t>
      </w:r>
    </w:p>
    <w:p w14:paraId="5C6DD912" w14:textId="77777777" w:rsidR="00E153F3" w:rsidRPr="002B3F36" w:rsidRDefault="00E153F3" w:rsidP="00E153F3">
      <w:pPr>
        <w:pStyle w:val="ReportBodyPar"/>
      </w:pPr>
    </w:p>
    <w:p w14:paraId="4123EFC8" w14:textId="217DABF9" w:rsidR="005443FE" w:rsidRPr="002B3F36" w:rsidRDefault="005443FE" w:rsidP="009B4CDB">
      <w:pPr>
        <w:pStyle w:val="aff9"/>
        <w:numPr>
          <w:ilvl w:val="0"/>
          <w:numId w:val="175"/>
        </w:numPr>
        <w:spacing w:before="0" w:beforeAutospacing="0" w:after="0" w:afterAutospacing="0"/>
        <w:jc w:val="both"/>
        <w:rPr>
          <w:rFonts w:ascii="Arial" w:hAnsi="Arial" w:cs="Arial"/>
        </w:rPr>
      </w:pPr>
      <w:r w:rsidRPr="002B3F36">
        <w:rPr>
          <w:rStyle w:val="affffb"/>
        </w:rPr>
        <w:t>Compensation and Assistance</w:t>
      </w:r>
    </w:p>
    <w:p w14:paraId="1AB297B6" w14:textId="77777777" w:rsidR="005443FE" w:rsidRPr="002B3F36" w:rsidRDefault="005443FE" w:rsidP="009B4CDB">
      <w:pPr>
        <w:pStyle w:val="aff9"/>
        <w:numPr>
          <w:ilvl w:val="0"/>
          <w:numId w:val="170"/>
        </w:numPr>
        <w:spacing w:before="0" w:beforeAutospacing="0" w:after="0" w:afterAutospacing="0"/>
        <w:jc w:val="both"/>
        <w:rPr>
          <w:rFonts w:ascii="Arial" w:hAnsi="Arial" w:cs="Arial"/>
        </w:rPr>
      </w:pPr>
      <w:r w:rsidRPr="002B3F36">
        <w:rPr>
          <w:rStyle w:val="affffb"/>
        </w:rPr>
        <w:t>Land-for-land or cash compensation</w:t>
      </w:r>
      <w:r w:rsidRPr="002B3F36">
        <w:rPr>
          <w:rFonts w:ascii="Arial" w:hAnsi="Arial" w:cs="Arial"/>
        </w:rPr>
        <w:t xml:space="preserve"> at replacement cost for agricultural and commercial plots; transaction costs, fees, and registration borne by the project.</w:t>
      </w:r>
    </w:p>
    <w:p w14:paraId="5072EE11" w14:textId="77777777" w:rsidR="005443FE" w:rsidRPr="002B3F36" w:rsidRDefault="005443FE" w:rsidP="009B4CDB">
      <w:pPr>
        <w:pStyle w:val="aff9"/>
        <w:numPr>
          <w:ilvl w:val="0"/>
          <w:numId w:val="170"/>
        </w:numPr>
        <w:spacing w:before="0" w:beforeAutospacing="0" w:after="0" w:afterAutospacing="0"/>
        <w:jc w:val="both"/>
        <w:rPr>
          <w:rFonts w:ascii="Arial" w:hAnsi="Arial" w:cs="Arial"/>
        </w:rPr>
      </w:pPr>
      <w:r w:rsidRPr="002B3F36">
        <w:rPr>
          <w:rStyle w:val="affffb"/>
        </w:rPr>
        <w:t>Compensation for structures</w:t>
      </w:r>
      <w:r w:rsidRPr="002B3F36">
        <w:rPr>
          <w:rFonts w:ascii="Arial" w:hAnsi="Arial" w:cs="Arial"/>
        </w:rPr>
        <w:t xml:space="preserve"> at replacement cost with salvage rights, plus moving and transitional allowances.</w:t>
      </w:r>
    </w:p>
    <w:p w14:paraId="6423F0EB" w14:textId="77777777" w:rsidR="005443FE" w:rsidRPr="002B3F36" w:rsidRDefault="005443FE" w:rsidP="009B4CDB">
      <w:pPr>
        <w:pStyle w:val="aff9"/>
        <w:numPr>
          <w:ilvl w:val="0"/>
          <w:numId w:val="170"/>
        </w:numPr>
        <w:spacing w:before="0" w:beforeAutospacing="0" w:after="0" w:afterAutospacing="0"/>
        <w:jc w:val="both"/>
        <w:rPr>
          <w:rFonts w:ascii="Arial" w:hAnsi="Arial" w:cs="Arial"/>
        </w:rPr>
      </w:pPr>
      <w:r w:rsidRPr="002B3F36">
        <w:rPr>
          <w:rStyle w:val="affffb"/>
        </w:rPr>
        <w:t>Livelihood restoration measures</w:t>
      </w:r>
      <w:r w:rsidRPr="002B3F36">
        <w:rPr>
          <w:rFonts w:ascii="Arial" w:hAnsi="Arial" w:cs="Arial"/>
        </w:rPr>
        <w:t xml:space="preserve"> for farmers, herders, and small businesses (training, alternative grazing, market access support).</w:t>
      </w:r>
    </w:p>
    <w:p w14:paraId="51DE530B" w14:textId="59DCC580" w:rsidR="005443FE" w:rsidRPr="002B3F36" w:rsidRDefault="005443FE" w:rsidP="009B4CDB">
      <w:pPr>
        <w:pStyle w:val="aff9"/>
        <w:numPr>
          <w:ilvl w:val="0"/>
          <w:numId w:val="170"/>
        </w:numPr>
        <w:spacing w:before="0" w:beforeAutospacing="0" w:after="0" w:afterAutospacing="0"/>
        <w:jc w:val="both"/>
        <w:rPr>
          <w:rFonts w:ascii="Arial" w:hAnsi="Arial" w:cs="Arial"/>
        </w:rPr>
      </w:pPr>
      <w:r w:rsidRPr="002B3F36">
        <w:rPr>
          <w:rStyle w:val="affffb"/>
        </w:rPr>
        <w:t>Business interruption support</w:t>
      </w:r>
      <w:r w:rsidR="00E76D11" w:rsidRPr="002B3F36">
        <w:rPr>
          <w:rStyle w:val="affffb"/>
        </w:rPr>
        <w:t xml:space="preserve"> – Not expected</w:t>
      </w:r>
      <w:r w:rsidRPr="002B3F36">
        <w:rPr>
          <w:rFonts w:ascii="Arial" w:hAnsi="Arial" w:cs="Arial"/>
        </w:rPr>
        <w:t xml:space="preserve"> (e.g., income loss for ≤3 months, access management, moving/re-establishment assistance).</w:t>
      </w:r>
    </w:p>
    <w:p w14:paraId="5924A782" w14:textId="720CF48B" w:rsidR="005443FE" w:rsidRPr="002B3F36" w:rsidRDefault="005443FE" w:rsidP="009B4CDB">
      <w:pPr>
        <w:pStyle w:val="aff9"/>
        <w:numPr>
          <w:ilvl w:val="0"/>
          <w:numId w:val="170"/>
        </w:numPr>
        <w:spacing w:before="0" w:beforeAutospacing="0" w:after="0" w:afterAutospacing="0"/>
        <w:jc w:val="both"/>
        <w:rPr>
          <w:rFonts w:ascii="Arial" w:hAnsi="Arial" w:cs="Arial"/>
        </w:rPr>
      </w:pPr>
      <w:r w:rsidRPr="002B3F36">
        <w:rPr>
          <w:rStyle w:val="affffb"/>
        </w:rPr>
        <w:t>Temporary occupation agreements</w:t>
      </w:r>
      <w:r w:rsidRPr="002B3F36">
        <w:rPr>
          <w:rFonts w:ascii="Arial" w:hAnsi="Arial" w:cs="Arial"/>
        </w:rPr>
        <w:t xml:space="preserve"> in writing, with clear terms on rent, restoration, and damages.</w:t>
      </w:r>
    </w:p>
    <w:p w14:paraId="760E79AB" w14:textId="77777777" w:rsidR="00E153F3" w:rsidRPr="002B3F36" w:rsidRDefault="00E153F3" w:rsidP="00E153F3">
      <w:pPr>
        <w:pStyle w:val="ReportBodyPar"/>
      </w:pPr>
    </w:p>
    <w:p w14:paraId="6E3B103F" w14:textId="694975FD" w:rsidR="005443FE" w:rsidRPr="002B3F36" w:rsidRDefault="005443FE" w:rsidP="009B4CDB">
      <w:pPr>
        <w:pStyle w:val="aff9"/>
        <w:numPr>
          <w:ilvl w:val="0"/>
          <w:numId w:val="175"/>
        </w:numPr>
        <w:spacing w:before="0" w:beforeAutospacing="0" w:after="0" w:afterAutospacing="0"/>
        <w:jc w:val="both"/>
        <w:rPr>
          <w:rFonts w:ascii="Arial" w:hAnsi="Arial" w:cs="Arial"/>
        </w:rPr>
      </w:pPr>
      <w:r w:rsidRPr="002B3F36">
        <w:rPr>
          <w:rStyle w:val="affffb"/>
        </w:rPr>
        <w:t>Vulnerability and Gender</w:t>
      </w:r>
    </w:p>
    <w:p w14:paraId="6AEB41E9" w14:textId="77777777" w:rsidR="005443FE" w:rsidRPr="002B3F36" w:rsidRDefault="005443FE" w:rsidP="009B4CDB">
      <w:pPr>
        <w:pStyle w:val="aff9"/>
        <w:numPr>
          <w:ilvl w:val="0"/>
          <w:numId w:val="171"/>
        </w:numPr>
        <w:spacing w:before="0" w:beforeAutospacing="0" w:after="0" w:afterAutospacing="0"/>
        <w:jc w:val="both"/>
        <w:rPr>
          <w:rFonts w:ascii="Arial" w:hAnsi="Arial" w:cs="Arial"/>
        </w:rPr>
      </w:pPr>
      <w:r w:rsidRPr="002B3F36">
        <w:rPr>
          <w:rFonts w:ascii="Arial" w:hAnsi="Arial" w:cs="Arial"/>
        </w:rPr>
        <w:t xml:space="preserve">Targeted assistance for </w:t>
      </w:r>
      <w:r w:rsidRPr="002B3F36">
        <w:rPr>
          <w:rStyle w:val="affffb"/>
        </w:rPr>
        <w:t>vulnerable households</w:t>
      </w:r>
      <w:r w:rsidRPr="002B3F36">
        <w:rPr>
          <w:rFonts w:ascii="Arial" w:hAnsi="Arial" w:cs="Arial"/>
        </w:rPr>
        <w:t>: transport stipends, priority jobs, accompaniment during payments, or additional livelihood support.</w:t>
      </w:r>
    </w:p>
    <w:p w14:paraId="5E4C7FC1" w14:textId="2E6832DA" w:rsidR="005443FE" w:rsidRPr="002B3F36" w:rsidRDefault="005443FE" w:rsidP="009B4CDB">
      <w:pPr>
        <w:pStyle w:val="aff9"/>
        <w:numPr>
          <w:ilvl w:val="0"/>
          <w:numId w:val="171"/>
        </w:numPr>
        <w:spacing w:before="0" w:beforeAutospacing="0" w:after="0" w:afterAutospacing="0"/>
        <w:jc w:val="both"/>
        <w:rPr>
          <w:rFonts w:ascii="Arial" w:hAnsi="Arial" w:cs="Arial"/>
        </w:rPr>
      </w:pPr>
      <w:r w:rsidRPr="002B3F36">
        <w:rPr>
          <w:rFonts w:ascii="Arial" w:hAnsi="Arial" w:cs="Arial"/>
        </w:rPr>
        <w:t xml:space="preserve">Ensure </w:t>
      </w:r>
      <w:r w:rsidRPr="002B3F36">
        <w:rPr>
          <w:rStyle w:val="affffb"/>
        </w:rPr>
        <w:t>women’s equal participation</w:t>
      </w:r>
      <w:r w:rsidRPr="002B3F36">
        <w:rPr>
          <w:rFonts w:ascii="Arial" w:hAnsi="Arial" w:cs="Arial"/>
        </w:rPr>
        <w:t xml:space="preserve"> and access to compensation, livelihood programs, and grievance processes.</w:t>
      </w:r>
    </w:p>
    <w:p w14:paraId="6E73B0C1" w14:textId="77777777" w:rsidR="00E153F3" w:rsidRPr="002B3F36" w:rsidRDefault="00E153F3" w:rsidP="00E153F3">
      <w:pPr>
        <w:pStyle w:val="ReportBodyPar"/>
      </w:pPr>
    </w:p>
    <w:p w14:paraId="37CDEF8C" w14:textId="28A1E475" w:rsidR="005443FE" w:rsidRPr="002B3F36" w:rsidRDefault="005443FE" w:rsidP="009B4CDB">
      <w:pPr>
        <w:pStyle w:val="aff9"/>
        <w:numPr>
          <w:ilvl w:val="0"/>
          <w:numId w:val="175"/>
        </w:numPr>
        <w:spacing w:before="0" w:beforeAutospacing="0" w:after="0" w:afterAutospacing="0"/>
        <w:jc w:val="both"/>
        <w:rPr>
          <w:rFonts w:ascii="Arial" w:hAnsi="Arial" w:cs="Arial"/>
        </w:rPr>
      </w:pPr>
      <w:r w:rsidRPr="002B3F36">
        <w:rPr>
          <w:rStyle w:val="affffb"/>
        </w:rPr>
        <w:t>Access and Community Measures</w:t>
      </w:r>
    </w:p>
    <w:p w14:paraId="726B9EEE" w14:textId="77777777" w:rsidR="005443FE" w:rsidRPr="002B3F36" w:rsidRDefault="005443FE" w:rsidP="009B4CDB">
      <w:pPr>
        <w:pStyle w:val="aff9"/>
        <w:numPr>
          <w:ilvl w:val="0"/>
          <w:numId w:val="172"/>
        </w:numPr>
        <w:spacing w:before="0" w:beforeAutospacing="0" w:after="0" w:afterAutospacing="0"/>
        <w:jc w:val="both"/>
        <w:rPr>
          <w:rFonts w:ascii="Arial" w:hAnsi="Arial" w:cs="Arial"/>
        </w:rPr>
      </w:pPr>
      <w:r w:rsidRPr="002B3F36">
        <w:rPr>
          <w:rFonts w:ascii="Arial" w:hAnsi="Arial" w:cs="Arial"/>
        </w:rPr>
        <w:t xml:space="preserve">Manage temporary disruptions with a </w:t>
      </w:r>
      <w:r w:rsidRPr="002B3F36">
        <w:rPr>
          <w:rStyle w:val="affffb"/>
        </w:rPr>
        <w:t>Traffic and Access Management Plan</w:t>
      </w:r>
      <w:r w:rsidRPr="002B3F36">
        <w:rPr>
          <w:rFonts w:ascii="Arial" w:hAnsi="Arial" w:cs="Arial"/>
        </w:rPr>
        <w:t xml:space="preserve"> (temporary crossings, footbridges, signage, reinstatement).</w:t>
      </w:r>
    </w:p>
    <w:p w14:paraId="25BCFED5" w14:textId="4119B42C" w:rsidR="005443FE" w:rsidRPr="002B3F36" w:rsidRDefault="005443FE" w:rsidP="009B4CDB">
      <w:pPr>
        <w:pStyle w:val="aff9"/>
        <w:numPr>
          <w:ilvl w:val="0"/>
          <w:numId w:val="172"/>
        </w:numPr>
        <w:spacing w:before="0" w:beforeAutospacing="0" w:after="0" w:afterAutospacing="0"/>
        <w:jc w:val="both"/>
        <w:rPr>
          <w:rFonts w:ascii="Arial" w:hAnsi="Arial" w:cs="Arial"/>
        </w:rPr>
      </w:pPr>
      <w:r w:rsidRPr="002B3F36">
        <w:rPr>
          <w:rFonts w:ascii="Arial" w:hAnsi="Arial" w:cs="Arial"/>
        </w:rPr>
        <w:t xml:space="preserve">Replace or restore </w:t>
      </w:r>
      <w:r w:rsidRPr="002B3F36">
        <w:rPr>
          <w:rStyle w:val="affffb"/>
        </w:rPr>
        <w:t>community/common property resources</w:t>
      </w:r>
      <w:r w:rsidRPr="002B3F36">
        <w:rPr>
          <w:rFonts w:ascii="Arial" w:hAnsi="Arial" w:cs="Arial"/>
        </w:rPr>
        <w:t xml:space="preserve"> (wells, grazing areas, cultural sites) in consultation with local stakeholders.</w:t>
      </w:r>
    </w:p>
    <w:p w14:paraId="1221DA3F" w14:textId="77777777" w:rsidR="00E153F3" w:rsidRPr="002B3F36" w:rsidRDefault="00E153F3" w:rsidP="00E153F3">
      <w:pPr>
        <w:pStyle w:val="ReportBodyPar"/>
      </w:pPr>
    </w:p>
    <w:p w14:paraId="5E88FA48" w14:textId="06EB427A" w:rsidR="005443FE" w:rsidRPr="002B3F36" w:rsidRDefault="005443FE" w:rsidP="009B4CDB">
      <w:pPr>
        <w:pStyle w:val="aff9"/>
        <w:numPr>
          <w:ilvl w:val="0"/>
          <w:numId w:val="175"/>
        </w:numPr>
        <w:spacing w:before="0" w:beforeAutospacing="0" w:after="0" w:afterAutospacing="0"/>
        <w:jc w:val="both"/>
        <w:rPr>
          <w:rFonts w:ascii="Arial" w:hAnsi="Arial" w:cs="Arial"/>
        </w:rPr>
      </w:pPr>
      <w:r w:rsidRPr="002B3F36">
        <w:rPr>
          <w:rStyle w:val="affffb"/>
        </w:rPr>
        <w:t>Engagement and Grievance Redress</w:t>
      </w:r>
    </w:p>
    <w:p w14:paraId="47F6923E" w14:textId="05919D04" w:rsidR="005443FE" w:rsidRPr="002B3F36" w:rsidRDefault="005443FE" w:rsidP="009B4CDB">
      <w:pPr>
        <w:pStyle w:val="aff9"/>
        <w:numPr>
          <w:ilvl w:val="0"/>
          <w:numId w:val="173"/>
        </w:numPr>
        <w:spacing w:before="0" w:beforeAutospacing="0" w:after="0" w:afterAutospacing="0"/>
        <w:jc w:val="both"/>
        <w:rPr>
          <w:rFonts w:ascii="Arial" w:hAnsi="Arial" w:cs="Arial"/>
        </w:rPr>
      </w:pPr>
      <w:r w:rsidRPr="002B3F36">
        <w:rPr>
          <w:rFonts w:ascii="Arial" w:hAnsi="Arial" w:cs="Arial"/>
        </w:rPr>
        <w:t xml:space="preserve">Maintain continuous </w:t>
      </w:r>
      <w:r w:rsidRPr="002B3F36">
        <w:rPr>
          <w:rStyle w:val="affffb"/>
        </w:rPr>
        <w:t>consultations</w:t>
      </w:r>
      <w:r w:rsidRPr="002B3F36">
        <w:rPr>
          <w:rFonts w:ascii="Arial" w:hAnsi="Arial" w:cs="Arial"/>
        </w:rPr>
        <w:t xml:space="preserve"> with PAPs, community leaders, and akimats throughout</w:t>
      </w:r>
      <w:r w:rsidR="00E76D11" w:rsidRPr="002B3F36">
        <w:rPr>
          <w:rFonts w:ascii="Arial" w:hAnsi="Arial" w:cs="Arial"/>
        </w:rPr>
        <w:t xml:space="preserve"> </w:t>
      </w:r>
      <w:r w:rsidR="002E585D" w:rsidRPr="002B3F36">
        <w:rPr>
          <w:rFonts w:ascii="Arial" w:hAnsi="Arial" w:cs="Arial"/>
        </w:rPr>
        <w:t>LARAP</w:t>
      </w:r>
      <w:r w:rsidRPr="002B3F36">
        <w:rPr>
          <w:rFonts w:ascii="Arial" w:hAnsi="Arial" w:cs="Arial"/>
        </w:rPr>
        <w:t xml:space="preserve"> implementation.</w:t>
      </w:r>
    </w:p>
    <w:p w14:paraId="5955388D" w14:textId="6FDE74F4" w:rsidR="005443FE" w:rsidRPr="002B3F36" w:rsidRDefault="005443FE" w:rsidP="009B4CDB">
      <w:pPr>
        <w:pStyle w:val="aff9"/>
        <w:numPr>
          <w:ilvl w:val="0"/>
          <w:numId w:val="173"/>
        </w:numPr>
        <w:spacing w:before="0" w:beforeAutospacing="0" w:after="0" w:afterAutospacing="0"/>
        <w:jc w:val="both"/>
        <w:rPr>
          <w:rFonts w:ascii="Arial" w:hAnsi="Arial" w:cs="Arial"/>
        </w:rPr>
      </w:pPr>
      <w:r w:rsidRPr="002B3F36">
        <w:rPr>
          <w:rFonts w:ascii="Arial" w:hAnsi="Arial" w:cs="Arial"/>
        </w:rPr>
        <w:t xml:space="preserve">Operate a </w:t>
      </w:r>
      <w:r w:rsidRPr="002B3F36">
        <w:rPr>
          <w:rStyle w:val="affffb"/>
        </w:rPr>
        <w:t>grievance redress mechanism (GRM)</w:t>
      </w:r>
      <w:r w:rsidRPr="002B3F36">
        <w:rPr>
          <w:rFonts w:ascii="Arial" w:hAnsi="Arial" w:cs="Arial"/>
        </w:rPr>
        <w:t xml:space="preserve"> with accessible and confidential channels, including dedicated staff for land and resettlement issues.</w:t>
      </w:r>
    </w:p>
    <w:p w14:paraId="4439A21C" w14:textId="77777777" w:rsidR="00E153F3" w:rsidRPr="002B3F36" w:rsidRDefault="00E153F3" w:rsidP="00E153F3">
      <w:pPr>
        <w:pStyle w:val="ReportBodyPar"/>
      </w:pPr>
    </w:p>
    <w:p w14:paraId="356765DF" w14:textId="41E6E961" w:rsidR="005443FE" w:rsidRPr="002B3F36" w:rsidRDefault="005443FE" w:rsidP="009B4CDB">
      <w:pPr>
        <w:pStyle w:val="aff9"/>
        <w:numPr>
          <w:ilvl w:val="0"/>
          <w:numId w:val="175"/>
        </w:numPr>
        <w:spacing w:before="0" w:beforeAutospacing="0" w:after="0" w:afterAutospacing="0"/>
        <w:jc w:val="both"/>
        <w:rPr>
          <w:rFonts w:ascii="Arial" w:hAnsi="Arial" w:cs="Arial"/>
        </w:rPr>
      </w:pPr>
      <w:r w:rsidRPr="002B3F36">
        <w:rPr>
          <w:rStyle w:val="affffb"/>
        </w:rPr>
        <w:t>Monitoring and Compliance</w:t>
      </w:r>
    </w:p>
    <w:p w14:paraId="5ABBDE06" w14:textId="0D4A1F23" w:rsidR="005443FE" w:rsidRPr="002B3F36" w:rsidRDefault="005443FE" w:rsidP="009B4CDB">
      <w:pPr>
        <w:pStyle w:val="aff9"/>
        <w:numPr>
          <w:ilvl w:val="0"/>
          <w:numId w:val="174"/>
        </w:numPr>
        <w:spacing w:before="0" w:beforeAutospacing="0" w:after="0" w:afterAutospacing="0"/>
        <w:jc w:val="both"/>
        <w:rPr>
          <w:rFonts w:ascii="Arial" w:hAnsi="Arial" w:cs="Arial"/>
        </w:rPr>
      </w:pPr>
      <w:r w:rsidRPr="002B3F36">
        <w:rPr>
          <w:rFonts w:ascii="Arial" w:hAnsi="Arial" w:cs="Arial"/>
        </w:rPr>
        <w:t xml:space="preserve">Internal monitoring by the </w:t>
      </w:r>
      <w:r w:rsidR="00464922" w:rsidRPr="002B3F36">
        <w:rPr>
          <w:rFonts w:ascii="Arial" w:hAnsi="Arial" w:cs="Arial"/>
        </w:rPr>
        <w:t>KTZ</w:t>
      </w:r>
      <w:r w:rsidRPr="002B3F36">
        <w:rPr>
          <w:rFonts w:ascii="Arial" w:hAnsi="Arial" w:cs="Arial"/>
        </w:rPr>
        <w:t xml:space="preserve"> and external completion audits (if displacement is significant) to verify restoration of livelihoods and living standards.</w:t>
      </w:r>
    </w:p>
    <w:p w14:paraId="376BFBF6" w14:textId="3D467181" w:rsidR="00E27C01" w:rsidRPr="002B3F36" w:rsidRDefault="005443FE" w:rsidP="009B4CDB">
      <w:pPr>
        <w:pStyle w:val="aff9"/>
        <w:numPr>
          <w:ilvl w:val="0"/>
          <w:numId w:val="174"/>
        </w:numPr>
        <w:spacing w:before="0" w:beforeAutospacing="0" w:after="0" w:afterAutospacing="0"/>
        <w:jc w:val="both"/>
        <w:rPr>
          <w:rFonts w:ascii="Arial" w:hAnsi="Arial" w:cs="Arial"/>
        </w:rPr>
      </w:pPr>
      <w:r w:rsidRPr="002B3F36">
        <w:rPr>
          <w:rFonts w:ascii="Arial" w:hAnsi="Arial" w:cs="Arial"/>
        </w:rPr>
        <w:t>Documentation of payments, agreements, and restoration measures; corrective actions where targets are not met.</w:t>
      </w:r>
    </w:p>
    <w:p w14:paraId="7814FAFE" w14:textId="2DB8362D" w:rsidR="00F61F8E" w:rsidRPr="002B3F36" w:rsidRDefault="00662145" w:rsidP="00701F4F">
      <w:pPr>
        <w:pStyle w:val="41"/>
      </w:pPr>
      <w:bookmarkStart w:id="2506" w:name="_Toc210589518"/>
      <w:r w:rsidRPr="002B3F36">
        <w:lastRenderedPageBreak/>
        <w:t>Constrained</w:t>
      </w:r>
      <w:r w:rsidR="00E27C01" w:rsidRPr="002B3F36">
        <w:t xml:space="preserve"> Access</w:t>
      </w:r>
      <w:bookmarkEnd w:id="2506"/>
    </w:p>
    <w:p w14:paraId="5DBFA0ED" w14:textId="77777777" w:rsidR="00F61F8E" w:rsidRPr="002B3F36" w:rsidRDefault="000F264B" w:rsidP="005443FE">
      <w:pPr>
        <w:pStyle w:val="DiaList12"/>
        <w:rPr>
          <w:rFonts w:eastAsia="SimSun"/>
          <w:lang w:val="en-PH"/>
        </w:rPr>
      </w:pPr>
      <w:r w:rsidRPr="002B3F36">
        <w:rPr>
          <w:rFonts w:eastAsia="SimSun"/>
          <w:lang w:val="en-PH"/>
        </w:rPr>
        <w:t>Origin of Impact</w:t>
      </w:r>
    </w:p>
    <w:p w14:paraId="1FB4BFE3" w14:textId="5FE4984B" w:rsidR="00F61F8E" w:rsidRPr="002B3F36" w:rsidRDefault="005443FE" w:rsidP="005443FE">
      <w:pPr>
        <w:jc w:val="both"/>
        <w:rPr>
          <w:rFonts w:ascii="Arial" w:hAnsi="Arial" w:cs="Arial"/>
          <w:sz w:val="24"/>
          <w:szCs w:val="24"/>
        </w:rPr>
      </w:pPr>
      <w:r w:rsidRPr="002B3F36">
        <w:rPr>
          <w:rFonts w:ascii="Arial" w:hAnsi="Arial" w:cs="Arial"/>
          <w:sz w:val="24"/>
          <w:szCs w:val="24"/>
        </w:rPr>
        <w:t>During the construction phase, general railway civil works</w:t>
      </w:r>
      <w:r w:rsidR="00673AAB" w:rsidRPr="002B3F36">
        <w:rPr>
          <w:rFonts w:ascii="Arial" w:hAnsi="Arial" w:cs="Arial"/>
          <w:sz w:val="24"/>
          <w:szCs w:val="24"/>
        </w:rPr>
        <w:t xml:space="preserve">, </w:t>
      </w:r>
      <w:r w:rsidRPr="002B3F36">
        <w:rPr>
          <w:rFonts w:ascii="Arial" w:hAnsi="Arial" w:cs="Arial"/>
          <w:sz w:val="24"/>
          <w:szCs w:val="24"/>
        </w:rPr>
        <w:t>including embankment formation, bridge and culvert installation, and operation of auxiliary facilities</w:t>
      </w:r>
      <w:r w:rsidR="00673AAB" w:rsidRPr="002B3F36">
        <w:rPr>
          <w:rFonts w:ascii="Arial" w:hAnsi="Arial" w:cs="Arial"/>
          <w:sz w:val="24"/>
          <w:szCs w:val="24"/>
        </w:rPr>
        <w:t xml:space="preserve">, </w:t>
      </w:r>
      <w:r w:rsidRPr="002B3F36">
        <w:rPr>
          <w:rFonts w:ascii="Arial" w:hAnsi="Arial" w:cs="Arial"/>
          <w:sz w:val="24"/>
          <w:szCs w:val="24"/>
        </w:rPr>
        <w:t>will temporarily restrict access to properties, farms</w:t>
      </w:r>
      <w:r w:rsidR="00CC03AE" w:rsidRPr="002B3F36">
        <w:rPr>
          <w:rFonts w:ascii="Arial" w:hAnsi="Arial" w:cs="Arial"/>
          <w:sz w:val="24"/>
          <w:szCs w:val="24"/>
        </w:rPr>
        <w:t xml:space="preserve"> (e.g. pasture connectivities)</w:t>
      </w:r>
      <w:r w:rsidRPr="002B3F36">
        <w:rPr>
          <w:rFonts w:ascii="Arial" w:hAnsi="Arial" w:cs="Arial"/>
          <w:sz w:val="24"/>
          <w:szCs w:val="24"/>
        </w:rPr>
        <w:t>, markets, and public facilities along the corridor. Local access routes to villages and towns connected to the railway may also be disrupted, with detours or closures affecting both residents and through-traffic. Such restrictions could impede people’s ability to reach homes, fields, workplaces, or services, and may also interfere with livestock movement along established grazing routes</w:t>
      </w:r>
      <w:r w:rsidR="00CC03AE" w:rsidRPr="002B3F36">
        <w:rPr>
          <w:rFonts w:ascii="Arial" w:hAnsi="Arial" w:cs="Arial"/>
          <w:sz w:val="24"/>
          <w:szCs w:val="24"/>
        </w:rPr>
        <w:t xml:space="preserve"> or pasture connectivity</w:t>
      </w:r>
      <w:r w:rsidRPr="002B3F36">
        <w:rPr>
          <w:rFonts w:ascii="Arial" w:hAnsi="Arial" w:cs="Arial"/>
          <w:sz w:val="24"/>
          <w:szCs w:val="24"/>
        </w:rPr>
        <w:t>.</w:t>
      </w:r>
    </w:p>
    <w:p w14:paraId="5800D896" w14:textId="77777777" w:rsidR="005443FE" w:rsidRPr="002B3F36" w:rsidRDefault="005443FE" w:rsidP="005443FE">
      <w:pPr>
        <w:jc w:val="both"/>
        <w:rPr>
          <w:rFonts w:ascii="Arial" w:eastAsia="SimSun" w:hAnsi="Arial" w:cs="Arial"/>
          <w:sz w:val="24"/>
          <w:szCs w:val="24"/>
          <w:lang w:val="en-PH" w:eastAsia="en-GB"/>
        </w:rPr>
      </w:pPr>
    </w:p>
    <w:p w14:paraId="74321D1C" w14:textId="77777777" w:rsidR="00F61F8E" w:rsidRPr="002B3F36" w:rsidRDefault="000F264B" w:rsidP="005443FE">
      <w:pPr>
        <w:pStyle w:val="DiaList12"/>
        <w:rPr>
          <w:rFonts w:eastAsia="SimSun"/>
          <w:lang w:val="en-PH"/>
        </w:rPr>
      </w:pPr>
      <w:r w:rsidRPr="002B3F36">
        <w:rPr>
          <w:rFonts w:eastAsia="SimSun"/>
          <w:lang w:val="en-PH"/>
        </w:rPr>
        <w:t>Impact Assessment</w:t>
      </w:r>
    </w:p>
    <w:p w14:paraId="74A03A8C" w14:textId="18DA5F87" w:rsidR="00DE1806" w:rsidRPr="002B3F36" w:rsidRDefault="005443FE" w:rsidP="00DE1806">
      <w:pPr>
        <w:pStyle w:val="ReportBodyPar"/>
      </w:pPr>
      <w:r w:rsidRPr="002B3F36">
        <w:t xml:space="preserve">The temporary impairment of access will primarily affect households, businesses, and farmers located adjacent to or dependent on crossings along the construction corridor. While impacts are short-term, they may still cause inconvenience, delays, or economic disruption (e.g., to market access, customer footfall, or seasonal grazing). </w:t>
      </w:r>
      <w:r w:rsidR="00DE1806" w:rsidRPr="002B3F36">
        <w:t>Also based on the conclusions of the LARAP, in terms of Constrained impact and risks, the Project will introduce “direct” impact to several people/household that will be traversed by the alignment, thoug</w:t>
      </w:r>
      <w:r w:rsidR="0071615E" w:rsidRPr="002B3F36">
        <w:t>h</w:t>
      </w:r>
      <w:r w:rsidR="00DE1806" w:rsidRPr="002B3F36">
        <w:t xml:space="preserve"> as mentioned, this will be minor </w:t>
      </w:r>
      <w:r w:rsidR="0071615E" w:rsidRPr="002B3F36">
        <w:t>losses to users</w:t>
      </w:r>
      <w:r w:rsidR="00DE1806" w:rsidRPr="002B3F36">
        <w:t>. In terms of duration, this will be permanent. Applying the “Significance of Impact Matrix”, it can be considered that the persons may have receptor “Low sensitivity” as the land-</w:t>
      </w:r>
      <w:r w:rsidR="009D0CE5" w:rsidRPr="002B3F36">
        <w:t>takings</w:t>
      </w:r>
      <w:r w:rsidR="00DE1806" w:rsidRPr="002B3F36">
        <w:t xml:space="preserve"> will </w:t>
      </w:r>
      <w:r w:rsidR="009D0CE5" w:rsidRPr="002B3F36">
        <w:t>be</w:t>
      </w:r>
      <w:r w:rsidR="00DE1806" w:rsidRPr="002B3F36">
        <w:t xml:space="preserve"> minimal. On the impact magnitude, this can be small; thus, yielding a significance impact of “</w:t>
      </w:r>
      <w:r w:rsidR="00DE1806" w:rsidRPr="002B3F36">
        <w:rPr>
          <w:b/>
        </w:rPr>
        <w:t>Minor</w:t>
      </w:r>
      <w:r w:rsidR="00DE1806" w:rsidRPr="002B3F36">
        <w:t>”.</w:t>
      </w:r>
    </w:p>
    <w:p w14:paraId="15CDA773" w14:textId="77777777" w:rsidR="005443FE" w:rsidRPr="002B3F36" w:rsidRDefault="005443FE" w:rsidP="005443FE">
      <w:pPr>
        <w:jc w:val="both"/>
        <w:rPr>
          <w:rFonts w:ascii="Arial" w:eastAsia="SimSun" w:hAnsi="Arial" w:cs="Arial"/>
          <w:sz w:val="24"/>
          <w:szCs w:val="24"/>
          <w:lang w:val="en-PH" w:eastAsia="en-GB"/>
        </w:rPr>
      </w:pPr>
    </w:p>
    <w:p w14:paraId="207F000F" w14:textId="77777777" w:rsidR="00F61F8E" w:rsidRPr="002B3F36" w:rsidRDefault="000F264B" w:rsidP="005443FE">
      <w:pPr>
        <w:pStyle w:val="DiaList12"/>
        <w:rPr>
          <w:rFonts w:eastAsia="SimSun"/>
        </w:rPr>
      </w:pPr>
      <w:r w:rsidRPr="002B3F36">
        <w:rPr>
          <w:rFonts w:eastAsia="SimSun"/>
        </w:rPr>
        <w:t>Mitigation Measures:</w:t>
      </w:r>
    </w:p>
    <w:p w14:paraId="5812C491" w14:textId="77777777" w:rsidR="005443FE" w:rsidRPr="002B3F36" w:rsidRDefault="005443FE" w:rsidP="00A846C7">
      <w:pPr>
        <w:pStyle w:val="ReportBodyPar"/>
      </w:pPr>
      <w:r w:rsidRPr="002B3F36">
        <w:t xml:space="preserve">Mitigation follows a combined </w:t>
      </w:r>
      <w:r w:rsidRPr="002B3F36">
        <w:rPr>
          <w:b/>
          <w:bCs/>
        </w:rPr>
        <w:t>PS5–PS4 approach</w:t>
      </w:r>
      <w:r w:rsidRPr="002B3F36">
        <w:t>, addressing both resettlement-related access issues and community health and safety:</w:t>
      </w:r>
    </w:p>
    <w:p w14:paraId="630BC0DF" w14:textId="5EF8979B" w:rsidR="005443FE" w:rsidRPr="002B3F36" w:rsidRDefault="005443FE" w:rsidP="00A846C7">
      <w:pPr>
        <w:widowControl/>
        <w:numPr>
          <w:ilvl w:val="0"/>
          <w:numId w:val="176"/>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Traffic and Access Management Plan</w:t>
      </w:r>
      <w:r w:rsidRPr="002B3F36">
        <w:rPr>
          <w:rFonts w:ascii="Arial" w:eastAsia="Times New Roman" w:hAnsi="Arial" w:cs="Arial"/>
          <w:sz w:val="24"/>
          <w:szCs w:val="24"/>
        </w:rPr>
        <w:t>: Contractor to prepare and submit a site-specific plan (as part of the C-ESMP), covering traffic diversions, access arrangements, safety measures, and responsibilities. The plan should be reviewed by the Engineer/</w:t>
      </w:r>
      <w:r w:rsidR="00464922" w:rsidRPr="002B3F36">
        <w:rPr>
          <w:rFonts w:ascii="Arial" w:eastAsia="Times New Roman" w:hAnsi="Arial" w:cs="Arial"/>
          <w:sz w:val="24"/>
          <w:szCs w:val="24"/>
        </w:rPr>
        <w:t>KTZ</w:t>
      </w:r>
      <w:r w:rsidRPr="002B3F36">
        <w:rPr>
          <w:rFonts w:ascii="Arial" w:eastAsia="Times New Roman" w:hAnsi="Arial" w:cs="Arial"/>
          <w:sz w:val="24"/>
          <w:szCs w:val="24"/>
        </w:rPr>
        <w:t xml:space="preserve"> and disclosed locally before works begin.</w:t>
      </w:r>
    </w:p>
    <w:p w14:paraId="54F30ED1" w14:textId="77777777" w:rsidR="005443FE" w:rsidRPr="002B3F36" w:rsidRDefault="005443F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Temporary Detours</w:t>
      </w:r>
      <w:r w:rsidRPr="002B3F36">
        <w:rPr>
          <w:rFonts w:ascii="Arial" w:eastAsia="Times New Roman" w:hAnsi="Arial" w:cs="Arial"/>
          <w:sz w:val="24"/>
          <w:szCs w:val="24"/>
        </w:rPr>
        <w:t>: All detours to be negotiated with landowners and approved by local authorities (akimats); written agreements must specify alignment, duration, and reinstatement standards. Detour routes to be maintained by the Contractor and restored to pre-project condition after use.</w:t>
      </w:r>
    </w:p>
    <w:p w14:paraId="0B8C3FAC" w14:textId="77777777" w:rsidR="005443FE" w:rsidRPr="002B3F36" w:rsidRDefault="005443F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Community Protection Measures</w:t>
      </w:r>
      <w:r w:rsidRPr="002B3F36">
        <w:rPr>
          <w:rFonts w:ascii="Arial" w:eastAsia="Times New Roman" w:hAnsi="Arial" w:cs="Arial"/>
          <w:sz w:val="24"/>
          <w:szCs w:val="24"/>
        </w:rPr>
        <w:t>: Provide advance public notices on construction schedules; install fencing, barriers, and clear signage at critical spots; enforce speed limits and safety rules for construction traffic near settlements.</w:t>
      </w:r>
    </w:p>
    <w:p w14:paraId="1E735180" w14:textId="5248664E" w:rsidR="005443FE" w:rsidRPr="002B3F36" w:rsidRDefault="005443F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Maintaining Access</w:t>
      </w:r>
      <w:r w:rsidRPr="002B3F36">
        <w:rPr>
          <w:rFonts w:ascii="Arial" w:eastAsia="Times New Roman" w:hAnsi="Arial" w:cs="Arial"/>
          <w:sz w:val="24"/>
          <w:szCs w:val="24"/>
        </w:rPr>
        <w:t>: Temporary driveways, pedestrian footbridges, and livestock crossings to be provided where construction cuts across existing access routes. Business access to be maintained where feasible, especially at commercial clusters.</w:t>
      </w:r>
    </w:p>
    <w:p w14:paraId="3E89A271" w14:textId="37D971BA" w:rsidR="00CC03AE" w:rsidRPr="002B3F36" w:rsidRDefault="00CC03A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A846C7">
        <w:rPr>
          <w:rFonts w:ascii="Arial" w:eastAsia="Times New Roman" w:hAnsi="Arial" w:cs="Arial"/>
          <w:b/>
          <w:sz w:val="24"/>
          <w:szCs w:val="24"/>
        </w:rPr>
        <w:t>Pasture Connectivity and Community Assets</w:t>
      </w:r>
      <w:r w:rsidRPr="002B3F36">
        <w:rPr>
          <w:rFonts w:ascii="Arial" w:eastAsia="Times New Roman" w:hAnsi="Arial" w:cs="Arial"/>
          <w:sz w:val="24"/>
          <w:szCs w:val="24"/>
        </w:rPr>
        <w:t>. A dedicated Pasture Connectivity Plan will provide underpasses/culverts for livestock, controlled gates in fencing, and rehabilitation of pasture wells and community roads where affected. Community assets will be restored on a like-for-like or improved basis with community sign-off.</w:t>
      </w:r>
    </w:p>
    <w:p w14:paraId="490A4ED3" w14:textId="4C08E694" w:rsidR="005443FE" w:rsidRPr="002B3F36" w:rsidRDefault="005443F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Short-term Compensation</w:t>
      </w:r>
      <w:r w:rsidRPr="002B3F36">
        <w:rPr>
          <w:rFonts w:ascii="Arial" w:eastAsia="Times New Roman" w:hAnsi="Arial" w:cs="Arial"/>
          <w:sz w:val="24"/>
          <w:szCs w:val="24"/>
        </w:rPr>
        <w:t>: Where verifiable income losses occur due to temporary constrained access, PAPs will receive short-term income loss compensation in line with the</w:t>
      </w:r>
      <w:r w:rsidR="002E585D" w:rsidRPr="002B3F36">
        <w:rPr>
          <w:rFonts w:ascii="Arial" w:eastAsia="Times New Roman" w:hAnsi="Arial" w:cs="Arial"/>
          <w:sz w:val="24"/>
          <w:szCs w:val="24"/>
        </w:rPr>
        <w:t xml:space="preserve"> LARAP</w:t>
      </w:r>
      <w:r w:rsidRPr="002B3F36">
        <w:rPr>
          <w:rFonts w:ascii="Arial" w:eastAsia="Times New Roman" w:hAnsi="Arial" w:cs="Arial"/>
          <w:sz w:val="24"/>
          <w:szCs w:val="24"/>
        </w:rPr>
        <w:t xml:space="preserve"> entitlement matrix.</w:t>
      </w:r>
    </w:p>
    <w:p w14:paraId="2B7EDEC1" w14:textId="77777777" w:rsidR="005443FE" w:rsidRPr="002B3F36" w:rsidRDefault="005443F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Monitoring &amp; Grievance Redress</w:t>
      </w:r>
      <w:r w:rsidRPr="002B3F36">
        <w:rPr>
          <w:rFonts w:ascii="Arial" w:eastAsia="Times New Roman" w:hAnsi="Arial" w:cs="Arial"/>
          <w:sz w:val="24"/>
          <w:szCs w:val="24"/>
        </w:rPr>
        <w:t>: Weekly site inspections to verify that access arrangements are functioning; 24/7 hotline and community GRM to capture complaints and ensure rapid corrective action.</w:t>
      </w:r>
    </w:p>
    <w:p w14:paraId="3D344D62" w14:textId="01DD04BB" w:rsidR="005443FE" w:rsidRPr="002B3F36" w:rsidRDefault="005443FE" w:rsidP="009B4CDB">
      <w:pPr>
        <w:widowControl/>
        <w:numPr>
          <w:ilvl w:val="0"/>
          <w:numId w:val="17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lastRenderedPageBreak/>
        <w:t>Coordination</w:t>
      </w:r>
      <w:r w:rsidRPr="002B3F36">
        <w:rPr>
          <w:rFonts w:ascii="Arial" w:eastAsia="Times New Roman" w:hAnsi="Arial" w:cs="Arial"/>
          <w:sz w:val="24"/>
          <w:szCs w:val="24"/>
        </w:rPr>
        <w:t xml:space="preserve">: Contractor, </w:t>
      </w:r>
      <w:r w:rsidR="00464922" w:rsidRPr="002B3F36">
        <w:rPr>
          <w:rFonts w:ascii="Arial" w:eastAsia="Times New Roman" w:hAnsi="Arial" w:cs="Arial"/>
          <w:sz w:val="24"/>
          <w:szCs w:val="24"/>
        </w:rPr>
        <w:t>KTZ</w:t>
      </w:r>
      <w:r w:rsidRPr="002B3F36">
        <w:rPr>
          <w:rFonts w:ascii="Arial" w:eastAsia="Times New Roman" w:hAnsi="Arial" w:cs="Arial"/>
          <w:sz w:val="24"/>
          <w:szCs w:val="24"/>
        </w:rPr>
        <w:t>, and akimats to coordinate on detour permits, temporary access measures, and community communications to minimize disruption and disputes.</w:t>
      </w:r>
    </w:p>
    <w:p w14:paraId="33099BEE" w14:textId="77B85E59" w:rsidR="00F61F8E" w:rsidRPr="002B3F36" w:rsidRDefault="005443FE" w:rsidP="005443FE">
      <w:pPr>
        <w:widowControl/>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Residual impacts will be </w:t>
      </w:r>
      <w:r w:rsidRPr="002B3F36">
        <w:rPr>
          <w:rFonts w:ascii="Arial" w:eastAsia="Times New Roman" w:hAnsi="Arial" w:cs="Arial"/>
          <w:b/>
          <w:bCs/>
          <w:sz w:val="24"/>
          <w:szCs w:val="24"/>
        </w:rPr>
        <w:t>minor to moderate</w:t>
      </w:r>
      <w:r w:rsidRPr="002B3F36">
        <w:rPr>
          <w:rFonts w:ascii="Arial" w:eastAsia="Times New Roman" w:hAnsi="Arial" w:cs="Arial"/>
          <w:sz w:val="24"/>
          <w:szCs w:val="24"/>
        </w:rPr>
        <w:t xml:space="preserve"> if mitigation measures are applied effectively, with risk levels reduced to acceptable thresholds through proactive management, timely compensation, and transparent engagement.</w:t>
      </w:r>
    </w:p>
    <w:p w14:paraId="32631BA8" w14:textId="24740572" w:rsidR="00196E7C" w:rsidRPr="002B3F36" w:rsidRDefault="000F264B" w:rsidP="00196E7C">
      <w:pPr>
        <w:pStyle w:val="31"/>
      </w:pPr>
      <w:bookmarkStart w:id="2507" w:name="_Toc169094793"/>
      <w:bookmarkStart w:id="2508" w:name="_Toc208973877"/>
      <w:bookmarkStart w:id="2509" w:name="_Toc208974077"/>
      <w:bookmarkStart w:id="2510" w:name="_Toc208974277"/>
      <w:bookmarkStart w:id="2511" w:name="_Toc208974480"/>
      <w:bookmarkStart w:id="2512" w:name="_Toc208974684"/>
      <w:bookmarkStart w:id="2513" w:name="_Toc210589519"/>
      <w:r w:rsidRPr="002B3F36">
        <w:t xml:space="preserve">E&amp;S Risks and Impacts Related to </w:t>
      </w:r>
      <w:r w:rsidR="00974479" w:rsidRPr="002B3F36">
        <w:t>P</w:t>
      </w:r>
      <w:r w:rsidRPr="002B3F36">
        <w:t>S 6</w:t>
      </w:r>
      <w:bookmarkEnd w:id="2507"/>
      <w:bookmarkEnd w:id="2508"/>
      <w:bookmarkEnd w:id="2509"/>
      <w:bookmarkEnd w:id="2510"/>
      <w:bookmarkEnd w:id="2511"/>
      <w:bookmarkEnd w:id="2512"/>
      <w:bookmarkEnd w:id="2513"/>
    </w:p>
    <w:p w14:paraId="6903F510" w14:textId="77777777" w:rsidR="00196E7C" w:rsidRPr="002B3F36" w:rsidRDefault="00196E7C" w:rsidP="00196E7C">
      <w:pPr>
        <w:pStyle w:val="ReportBodyPar"/>
      </w:pPr>
    </w:p>
    <w:p w14:paraId="631D6A20" w14:textId="6277C98E" w:rsidR="00196E7C" w:rsidRPr="002B3F36" w:rsidRDefault="1740EBE2" w:rsidP="00196E7C">
      <w:pPr>
        <w:pStyle w:val="ReportBodyPar"/>
      </w:pPr>
      <w:r w:rsidRPr="002B3F36">
        <w:t xml:space="preserve">Aligned with the requirements of </w:t>
      </w:r>
      <w:r w:rsidR="00163238" w:rsidRPr="002B3F36">
        <w:t>WB PS</w:t>
      </w:r>
      <w:r w:rsidRPr="002B3F36">
        <w:t xml:space="preserve">6 on biodiversity and living natural resource management, </w:t>
      </w:r>
      <w:r w:rsidR="00EC364E" w:rsidRPr="002B3F36">
        <w:t>t</w:t>
      </w:r>
      <w:r w:rsidRPr="002B3F36">
        <w:t xml:space="preserve">he ESIA for the </w:t>
      </w:r>
      <w:r w:rsidR="36EF1440" w:rsidRPr="002B3F36">
        <w:t xml:space="preserve">Mointy – Kyzylzhar </w:t>
      </w:r>
      <w:r w:rsidRPr="002B3F36">
        <w:t>Railway Construction Project assessed potential risks and impacts on flora, fauna, natural and critical habitats along the project corridor. The assessment identified risks related to habitat loss, disturbance to species, barrier effects on wildlife movement, pollution risks, and direct mortality of fauna, with particular attention to natural habitats, critical habitats, and species of conservation concern. Mitigation measures were developed following the mitigation hierarchy (avoid, minimize, restore, offset) to ensure compliance with PS6, WBG EHS Guidelines (2007), and relevant national biodiversity regulations.</w:t>
      </w:r>
    </w:p>
    <w:p w14:paraId="79EBD4F3" w14:textId="46E960C6" w:rsidR="00F61F8E" w:rsidRPr="002B3F36" w:rsidRDefault="000F264B" w:rsidP="00701F4F">
      <w:pPr>
        <w:pStyle w:val="41"/>
      </w:pPr>
      <w:bookmarkStart w:id="2514" w:name="_Toc169094794"/>
      <w:bookmarkStart w:id="2515" w:name="_Toc208973878"/>
      <w:bookmarkStart w:id="2516" w:name="_Toc208974078"/>
      <w:bookmarkStart w:id="2517" w:name="_Toc208974278"/>
      <w:bookmarkStart w:id="2518" w:name="_Toc208974481"/>
      <w:bookmarkStart w:id="2519" w:name="_Toc210589520"/>
      <w:r w:rsidRPr="002B3F36">
        <w:t>Flora and Fauna</w:t>
      </w:r>
      <w:bookmarkEnd w:id="2514"/>
      <w:bookmarkEnd w:id="2515"/>
      <w:bookmarkEnd w:id="2516"/>
      <w:bookmarkEnd w:id="2517"/>
      <w:bookmarkEnd w:id="2518"/>
      <w:bookmarkEnd w:id="2519"/>
    </w:p>
    <w:p w14:paraId="675565DC" w14:textId="43BF28C5" w:rsidR="00F61F8E" w:rsidRPr="002B3F36" w:rsidRDefault="000F264B" w:rsidP="005443FE">
      <w:pPr>
        <w:pStyle w:val="ReportBodyTextNogap"/>
        <w:rPr>
          <w:rFonts w:eastAsia="SimSun"/>
        </w:rPr>
      </w:pPr>
      <w:r w:rsidRPr="002B3F36">
        <w:rPr>
          <w:rFonts w:eastAsia="SimSun"/>
        </w:rPr>
        <w:t>The ESIA study included biodiversity assessment along the corridor with a particular focus on potential impacts on</w:t>
      </w:r>
      <w:r w:rsidR="00196E7C" w:rsidRPr="002B3F36">
        <w:rPr>
          <w:rFonts w:eastAsia="SimSun"/>
        </w:rPr>
        <w:t xml:space="preserve"> natural and</w:t>
      </w:r>
      <w:r w:rsidRPr="002B3F36">
        <w:rPr>
          <w:rFonts w:eastAsia="SimSun"/>
        </w:rPr>
        <w:t xml:space="preserve"> critical habitats, protected areas, presence, and migration routes of endangered species and consulted with relevant environmental organizations, NGOs and other relevant stakeholders with interest and professional expertise in biodiversity.  </w:t>
      </w:r>
    </w:p>
    <w:p w14:paraId="714174AF" w14:textId="77777777" w:rsidR="00F61F8E" w:rsidRPr="002B3F36" w:rsidRDefault="00F61F8E" w:rsidP="005443FE">
      <w:pPr>
        <w:pStyle w:val="ReportBodyTextNogap"/>
        <w:rPr>
          <w:rFonts w:eastAsia="SimSun"/>
        </w:rPr>
      </w:pPr>
    </w:p>
    <w:p w14:paraId="77263EAE" w14:textId="77777777" w:rsidR="00F61F8E" w:rsidRPr="002B3F36" w:rsidRDefault="000F264B" w:rsidP="005443FE">
      <w:pPr>
        <w:pStyle w:val="DiaList12"/>
        <w:rPr>
          <w:rFonts w:eastAsia="SimSun"/>
          <w:lang w:val="en-PH"/>
        </w:rPr>
      </w:pPr>
      <w:r w:rsidRPr="002B3F36">
        <w:rPr>
          <w:rFonts w:eastAsia="SimSun"/>
          <w:lang w:val="en-PH"/>
        </w:rPr>
        <w:t>Origin of Impact</w:t>
      </w:r>
    </w:p>
    <w:p w14:paraId="2E468379" w14:textId="1EB271CE" w:rsidR="005443FE" w:rsidRPr="002B3F36" w:rsidRDefault="005443FE" w:rsidP="00136493">
      <w:pPr>
        <w:pStyle w:val="ReportBodyTextNogap"/>
      </w:pPr>
      <w:r w:rsidRPr="002B3F36">
        <w:t>The ESIA’s biodiversity baseline and consultation with competent authorities, NGOs, and local experts confirmed that the Mointy–Kyzylzhar corridor traverses predominantly steppe habitats with patches of riparian vegetation, cultivated lands, and community woodlots. Impacts on flora and fauna will originate from:</w:t>
      </w:r>
    </w:p>
    <w:p w14:paraId="622E800B" w14:textId="77777777" w:rsidR="005443FE" w:rsidRPr="002B3F36" w:rsidRDefault="005443FE" w:rsidP="009B4CDB">
      <w:pPr>
        <w:widowControl/>
        <w:numPr>
          <w:ilvl w:val="0"/>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Habitat loss and degradation</w:t>
      </w:r>
      <w:r w:rsidRPr="002B3F36">
        <w:rPr>
          <w:rFonts w:ascii="Arial" w:eastAsia="Times New Roman" w:hAnsi="Arial" w:cs="Arial"/>
          <w:sz w:val="24"/>
          <w:szCs w:val="24"/>
        </w:rPr>
        <w:t xml:space="preserve"> due to clearing and grubbing, embankment construction, and establishment of auxiliary facilities (camps, borrow pits, crushing/batching plants, access roads).</w:t>
      </w:r>
    </w:p>
    <w:p w14:paraId="2CF3162A" w14:textId="0505B6CB" w:rsidR="005443FE" w:rsidRPr="002B3F36" w:rsidRDefault="005443FE" w:rsidP="009B4CDB">
      <w:pPr>
        <w:widowControl/>
        <w:numPr>
          <w:ilvl w:val="0"/>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Disturbance and displacement</w:t>
      </w:r>
      <w:r w:rsidRPr="002B3F36">
        <w:rPr>
          <w:rFonts w:ascii="Arial" w:eastAsia="Times New Roman" w:hAnsi="Arial" w:cs="Arial"/>
          <w:sz w:val="24"/>
          <w:szCs w:val="24"/>
        </w:rPr>
        <w:t xml:space="preserve"> of fauna caused by noise, vibration, artificial lighting, and human presence during construction</w:t>
      </w:r>
      <w:r w:rsidR="1F696BB3" w:rsidRPr="002B3F36">
        <w:rPr>
          <w:rFonts w:ascii="Arial" w:eastAsia="Times New Roman" w:hAnsi="Arial" w:cs="Arial"/>
          <w:sz w:val="24"/>
          <w:szCs w:val="24"/>
        </w:rPr>
        <w:t>, and subsequent</w:t>
      </w:r>
      <w:r w:rsidR="484FCD91" w:rsidRPr="002B3F36">
        <w:rPr>
          <w:rFonts w:ascii="Arial" w:eastAsia="Times New Roman" w:hAnsi="Arial" w:cs="Arial"/>
          <w:sz w:val="24"/>
          <w:szCs w:val="24"/>
        </w:rPr>
        <w:t xml:space="preserve"> operations</w:t>
      </w:r>
      <w:r w:rsidRPr="002B3F36">
        <w:rPr>
          <w:rFonts w:ascii="Arial" w:eastAsia="Times New Roman" w:hAnsi="Arial" w:cs="Arial"/>
          <w:sz w:val="24"/>
          <w:szCs w:val="24"/>
        </w:rPr>
        <w:t>.</w:t>
      </w:r>
    </w:p>
    <w:p w14:paraId="04A61FE1" w14:textId="4F4F9DB0" w:rsidR="005443FE" w:rsidRPr="002B3F36" w:rsidRDefault="005443FE" w:rsidP="009B4CDB">
      <w:pPr>
        <w:widowControl/>
        <w:numPr>
          <w:ilvl w:val="0"/>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Fragmentation and barrier effects</w:t>
      </w:r>
      <w:r w:rsidRPr="002B3F36">
        <w:rPr>
          <w:rFonts w:ascii="Arial" w:eastAsia="Times New Roman" w:hAnsi="Arial" w:cs="Arial"/>
          <w:sz w:val="24"/>
          <w:szCs w:val="24"/>
        </w:rPr>
        <w:t xml:space="preserve"> from linear embankments and fencing that impede the movement of steppe wildlife, particularly migratory species .</w:t>
      </w:r>
    </w:p>
    <w:p w14:paraId="7421AD50" w14:textId="77777777" w:rsidR="005443FE" w:rsidRPr="002B3F36" w:rsidRDefault="005443FE" w:rsidP="009B4CDB">
      <w:pPr>
        <w:widowControl/>
        <w:numPr>
          <w:ilvl w:val="0"/>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Pollution and contamination</w:t>
      </w:r>
      <w:r w:rsidRPr="002B3F36">
        <w:rPr>
          <w:rFonts w:ascii="Arial" w:eastAsia="Times New Roman" w:hAnsi="Arial" w:cs="Arial"/>
          <w:sz w:val="24"/>
          <w:szCs w:val="24"/>
        </w:rPr>
        <w:t xml:space="preserve"> of soil, vegetation, and water bodies from dust deposition, hazardous materials spills, and wastewater discharges.</w:t>
      </w:r>
    </w:p>
    <w:p w14:paraId="4B02C734" w14:textId="3161AE79" w:rsidR="005443FE" w:rsidRPr="002B3F36" w:rsidRDefault="005443FE" w:rsidP="009B4CDB">
      <w:pPr>
        <w:widowControl/>
        <w:numPr>
          <w:ilvl w:val="0"/>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Direct mortality risks</w:t>
      </w:r>
      <w:r w:rsidRPr="002B3F36">
        <w:rPr>
          <w:rFonts w:ascii="Arial" w:eastAsia="Times New Roman" w:hAnsi="Arial" w:cs="Arial"/>
          <w:sz w:val="24"/>
          <w:szCs w:val="24"/>
        </w:rPr>
        <w:t xml:space="preserve"> to reptiles</w:t>
      </w:r>
      <w:r w:rsidR="67752E8D" w:rsidRPr="002B3F36">
        <w:rPr>
          <w:rFonts w:ascii="Arial" w:eastAsia="Times New Roman" w:hAnsi="Arial" w:cs="Arial"/>
          <w:sz w:val="24"/>
          <w:szCs w:val="24"/>
        </w:rPr>
        <w:t>, small mammals</w:t>
      </w:r>
      <w:r w:rsidRPr="002B3F36">
        <w:rPr>
          <w:rFonts w:ascii="Arial" w:eastAsia="Times New Roman" w:hAnsi="Arial" w:cs="Arial"/>
          <w:sz w:val="24"/>
          <w:szCs w:val="24"/>
        </w:rPr>
        <w:t xml:space="preserve"> and amphibians trapped in open pits and trenches, to birds through tree felling or collision with power lines, </w:t>
      </w:r>
      <w:r w:rsidR="698482C8" w:rsidRPr="002B3F36">
        <w:rPr>
          <w:rFonts w:ascii="Arial" w:eastAsia="Times New Roman" w:hAnsi="Arial" w:cs="Arial"/>
          <w:sz w:val="24"/>
          <w:szCs w:val="24"/>
        </w:rPr>
        <w:t xml:space="preserve">to large mammals due to collisions, </w:t>
      </w:r>
      <w:r w:rsidRPr="002B3F36">
        <w:rPr>
          <w:rFonts w:ascii="Arial" w:eastAsia="Times New Roman" w:hAnsi="Arial" w:cs="Arial"/>
          <w:sz w:val="24"/>
          <w:szCs w:val="24"/>
        </w:rPr>
        <w:t>and to fish from poorly managed water abstraction and construction at river crossings.</w:t>
      </w:r>
    </w:p>
    <w:p w14:paraId="521252AF" w14:textId="77777777" w:rsidR="00196E7C" w:rsidRPr="002B3F36" w:rsidRDefault="00196E7C" w:rsidP="009B4CDB">
      <w:pPr>
        <w:widowControl/>
        <w:numPr>
          <w:ilvl w:val="0"/>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Specific Impacts on existing habitats</w:t>
      </w:r>
    </w:p>
    <w:p w14:paraId="60964EDF" w14:textId="35DA63D1" w:rsidR="00C842EC" w:rsidRPr="002B3F36" w:rsidRDefault="00196E7C" w:rsidP="009B4CDB">
      <w:pPr>
        <w:widowControl/>
        <w:numPr>
          <w:ilvl w:val="1"/>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For Natural Habitats</w:t>
      </w:r>
      <w:r w:rsidRPr="002B3F36">
        <w:rPr>
          <w:rFonts w:ascii="Arial" w:eastAsia="Times New Roman" w:hAnsi="Arial" w:cs="Arial"/>
          <w:sz w:val="24"/>
          <w:szCs w:val="24"/>
        </w:rPr>
        <w:t xml:space="preserve">. </w:t>
      </w:r>
      <w:r w:rsidR="000A1B64">
        <w:rPr>
          <w:rFonts w:ascii="Arial" w:eastAsia="Times New Roman" w:hAnsi="Arial" w:cs="Arial"/>
          <w:sz w:val="24"/>
          <w:szCs w:val="24"/>
        </w:rPr>
        <w:t xml:space="preserve">The natural habitats (incliding Critical Habitats) cover 330 000 ha in the area of proect impact and 3300 ha under the project footprint. </w:t>
      </w:r>
      <w:r w:rsidRPr="002B3F36">
        <w:rPr>
          <w:rFonts w:ascii="Arial" w:eastAsia="Times New Roman" w:hAnsi="Arial" w:cs="Arial"/>
          <w:sz w:val="24"/>
          <w:szCs w:val="24"/>
        </w:rPr>
        <w:t xml:space="preserve">The railway may affect semi-natural grasslands, steppe ecosystems, and freshwater channels through habitat fragmentation, noise and vibration disturbance, erosion, and pollution risks from construction and operations. </w:t>
      </w:r>
      <w:r w:rsidRPr="002B3F36">
        <w:rPr>
          <w:rFonts w:ascii="Arial" w:eastAsia="Times New Roman" w:hAnsi="Arial" w:cs="Arial"/>
          <w:sz w:val="24"/>
          <w:szCs w:val="24"/>
        </w:rPr>
        <w:lastRenderedPageBreak/>
        <w:t>Mitigation will focus on vegetation buffers, erosion control, wildlife crossings, and strict spill prevention to maintain ecological functions.</w:t>
      </w:r>
    </w:p>
    <w:p w14:paraId="4C196093" w14:textId="2C8DC2AD" w:rsidR="00C842EC" w:rsidRPr="00A846C7" w:rsidRDefault="7F48A860" w:rsidP="00F82096">
      <w:pPr>
        <w:widowControl/>
        <w:numPr>
          <w:ilvl w:val="1"/>
          <w:numId w:val="17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For Critical Habitats</w:t>
      </w:r>
      <w:r w:rsidRPr="002B3F36">
        <w:rPr>
          <w:rFonts w:ascii="Arial" w:eastAsia="Times New Roman" w:hAnsi="Arial" w:cs="Arial"/>
          <w:sz w:val="24"/>
          <w:szCs w:val="24"/>
        </w:rPr>
        <w:t>. Potential impacts to Saiga migration routes and Andasai Sanctuary areas</w:t>
      </w:r>
      <w:r w:rsidR="00C842EC" w:rsidRPr="002B3F36">
        <w:rPr>
          <w:rFonts w:ascii="Arial" w:eastAsia="Times New Roman" w:hAnsi="Arial" w:cs="Arial"/>
          <w:sz w:val="24"/>
          <w:szCs w:val="24"/>
        </w:rPr>
        <w:t xml:space="preserve"> </w:t>
      </w:r>
      <w:r w:rsidR="00C842EC" w:rsidRPr="00A846C7">
        <w:rPr>
          <w:rFonts w:ascii="Arial" w:eastAsia="Times New Roman" w:hAnsi="Arial" w:cs="Arial"/>
          <w:sz w:val="24"/>
          <w:szCs w:val="24"/>
        </w:rPr>
        <w:t>and KBAs</w:t>
      </w:r>
      <w:r w:rsidRPr="002B3F36">
        <w:rPr>
          <w:rFonts w:ascii="Arial" w:eastAsia="Times New Roman" w:hAnsi="Arial" w:cs="Arial"/>
          <w:sz w:val="24"/>
          <w:szCs w:val="24"/>
        </w:rPr>
        <w:t xml:space="preserve"> include barrier effects from embankments, mortality risks from train collisions, and habitat degradation from noise and vibration</w:t>
      </w:r>
      <w:r w:rsidRPr="00A846C7">
        <w:rPr>
          <w:rFonts w:ascii="Arial" w:eastAsia="Times New Roman" w:hAnsi="Arial" w:cs="Arial"/>
          <w:sz w:val="24"/>
          <w:szCs w:val="24"/>
        </w:rPr>
        <w:t>.</w:t>
      </w:r>
      <w:r w:rsidR="00C842EC" w:rsidRPr="00A846C7">
        <w:rPr>
          <w:rFonts w:ascii="Arial" w:eastAsia="Times New Roman" w:hAnsi="Arial" w:cs="Arial"/>
          <w:sz w:val="24"/>
          <w:szCs w:val="24"/>
          <w:lang w:val="en"/>
        </w:rPr>
        <w:t xml:space="preserve"> Key bird species (primarily raptors) will lose some habitat due to destruction, creating disturbance that could force some pairs to abandon active nests. However, the project will not affect key nesting sites within the IBA/KBA. There are also risks of increased human visitation, which could further reduce the value of some parts of the area for birds.</w:t>
      </w:r>
      <w:r w:rsidRPr="002B3F36">
        <w:rPr>
          <w:rFonts w:ascii="Arial" w:eastAsia="Times New Roman" w:hAnsi="Arial" w:cs="Arial"/>
          <w:sz w:val="24"/>
          <w:szCs w:val="24"/>
        </w:rPr>
        <w:t xml:space="preserve"> Measures such as wildlife crossings, fencing with openings, flatter slopes, and sanctuary buffer compliance will be implemented to ensure no net loss of biodiversity.</w:t>
      </w:r>
      <w:r w:rsidR="00C842EC" w:rsidRPr="002B3F36">
        <w:rPr>
          <w:rFonts w:ascii="Arial" w:eastAsia="Times New Roman" w:hAnsi="Arial" w:cs="Arial"/>
          <w:sz w:val="24"/>
          <w:szCs w:val="24"/>
        </w:rPr>
        <w:t xml:space="preserve"> </w:t>
      </w:r>
      <w:r w:rsidR="6A656801" w:rsidRPr="00A846C7">
        <w:rPr>
          <w:rFonts w:ascii="Arial" w:eastAsia="Times New Roman" w:hAnsi="Arial" w:cs="Arial"/>
          <w:sz w:val="24"/>
          <w:szCs w:val="24"/>
          <w:lang w:val="en"/>
        </w:rPr>
        <w:t>Bird-safe structures must be used when constructing power lines. If high-voltage power lines are installed in IBA/KBA areas, diverters must be used to increase the visibility of the lines to birds.</w:t>
      </w:r>
    </w:p>
    <w:p w14:paraId="6DDE5135" w14:textId="7D1FFD5F" w:rsidR="00196E7C" w:rsidRPr="002B3F36" w:rsidRDefault="00196E7C" w:rsidP="00F82096">
      <w:pPr>
        <w:widowControl/>
        <w:autoSpaceDE/>
        <w:autoSpaceDN/>
        <w:jc w:val="both"/>
        <w:rPr>
          <w:rFonts w:ascii="Arial" w:eastAsia="Times New Roman" w:hAnsi="Arial" w:cs="Arial"/>
          <w:sz w:val="24"/>
          <w:szCs w:val="24"/>
        </w:rPr>
      </w:pPr>
    </w:p>
    <w:p w14:paraId="32240F4A" w14:textId="7C4E1524" w:rsidR="00196E7C" w:rsidRPr="002B3F36" w:rsidRDefault="00196E7C" w:rsidP="00C842EC">
      <w:pPr>
        <w:widowControl/>
        <w:numPr>
          <w:ilvl w:val="1"/>
          <w:numId w:val="178"/>
        </w:numPr>
        <w:autoSpaceDE/>
        <w:autoSpaceDN/>
        <w:jc w:val="both"/>
        <w:rPr>
          <w:rFonts w:ascii="Arial" w:eastAsia="Times New Roman" w:hAnsi="Arial" w:cs="Arial"/>
          <w:sz w:val="24"/>
          <w:szCs w:val="24"/>
        </w:rPr>
      </w:pPr>
      <w:r w:rsidRPr="002B3F36">
        <w:rPr>
          <w:rFonts w:ascii="Arial" w:eastAsia="Times New Roman" w:hAnsi="Arial" w:cs="Arial"/>
          <w:b/>
          <w:sz w:val="24"/>
          <w:szCs w:val="24"/>
        </w:rPr>
        <w:t>For Modified Habitats</w:t>
      </w:r>
      <w:r w:rsidRPr="002B3F36">
        <w:rPr>
          <w:rFonts w:ascii="Arial" w:eastAsia="Times New Roman" w:hAnsi="Arial" w:cs="Arial"/>
          <w:sz w:val="24"/>
          <w:szCs w:val="24"/>
        </w:rPr>
        <w:t xml:space="preserve">. In agricultural lands, grazing areas, and settlements, impacts may involve dust, noise, waste generation, and water contamination risks near camps, depots, and stations. </w:t>
      </w:r>
      <w:r w:rsidR="000A1B64">
        <w:rPr>
          <w:rFonts w:ascii="Arial" w:eastAsia="Times New Roman" w:hAnsi="Arial" w:cs="Arial"/>
          <w:sz w:val="24"/>
          <w:szCs w:val="24"/>
        </w:rPr>
        <w:t xml:space="preserve">In general, the modified habitats cover 17 600 ha in the area of proect impact and 80 ha under the project footprint. </w:t>
      </w:r>
      <w:r w:rsidR="000A1B64" w:rsidRPr="000A1B64">
        <w:rPr>
          <w:rFonts w:ascii="Arial" w:eastAsia="Times New Roman" w:hAnsi="Arial" w:cs="Arial"/>
          <w:sz w:val="24"/>
          <w:szCs w:val="24"/>
          <w:lang w:val="en"/>
        </w:rPr>
        <w:t xml:space="preserve">It should be noted that the share of modified habitats may be underestimated due to the lack of a clear </w:t>
      </w:r>
      <w:r w:rsidR="000A1B64">
        <w:rPr>
          <w:rFonts w:ascii="Arial" w:eastAsia="Times New Roman" w:hAnsi="Arial" w:cs="Arial"/>
          <w:sz w:val="24"/>
          <w:szCs w:val="24"/>
        </w:rPr>
        <w:t xml:space="preserve">difference </w:t>
      </w:r>
      <w:r w:rsidR="000A1B64" w:rsidRPr="000A1B64">
        <w:rPr>
          <w:rFonts w:ascii="Arial" w:eastAsia="Times New Roman" w:hAnsi="Arial" w:cs="Arial"/>
          <w:sz w:val="24"/>
          <w:szCs w:val="24"/>
          <w:lang w:val="en"/>
        </w:rPr>
        <w:t>with natural habitats and ongoing construction.</w:t>
      </w:r>
      <w:r w:rsidR="000A1B64">
        <w:rPr>
          <w:rFonts w:ascii="Arial" w:eastAsia="Times New Roman" w:hAnsi="Arial" w:cs="Arial"/>
          <w:sz w:val="24"/>
          <w:szCs w:val="24"/>
        </w:rPr>
        <w:t xml:space="preserve"> </w:t>
      </w:r>
      <w:r w:rsidRPr="002B3F36">
        <w:rPr>
          <w:rFonts w:ascii="Arial" w:eastAsia="Times New Roman" w:hAnsi="Arial" w:cs="Arial"/>
          <w:sz w:val="24"/>
          <w:szCs w:val="24"/>
        </w:rPr>
        <w:t>Mitigation will include waste management systems, noise barriers, spill response plans, and engagement with local communities to minimize environmental and social impacts.</w:t>
      </w:r>
    </w:p>
    <w:p w14:paraId="662E1A3F" w14:textId="7A5CFB36" w:rsidR="00701F4F" w:rsidRPr="002B3F36" w:rsidRDefault="00701F4F" w:rsidP="00701F4F">
      <w:pPr>
        <w:pStyle w:val="ReportBodyTextNogap"/>
      </w:pPr>
    </w:p>
    <w:p w14:paraId="0FC07629" w14:textId="0788DB84" w:rsidR="00F61F8E" w:rsidRPr="002B3F36" w:rsidRDefault="00701F4F" w:rsidP="00701F4F">
      <w:pPr>
        <w:pStyle w:val="ReportParagraph"/>
      </w:pPr>
      <w:r w:rsidRPr="002B3F36">
        <w:t>Any major trees that will be cut along the railway corridor should be inventorie</w:t>
      </w:r>
      <w:r w:rsidR="00196E7C" w:rsidRPr="002B3F36">
        <w:t>d</w:t>
      </w:r>
      <w:r w:rsidRPr="002B3F36">
        <w:t xml:space="preserve"> with replacement </w:t>
      </w:r>
      <w:r w:rsidR="001F09B4" w:rsidRPr="002B3F36">
        <w:t>procedures</w:t>
      </w:r>
      <w:r w:rsidRPr="002B3F36">
        <w:t xml:space="preserve"> implemented and monitored. Additionally, the contractors should note</w:t>
      </w:r>
      <w:r w:rsidR="005443FE" w:rsidRPr="002B3F36">
        <w:t xml:space="preserve"> </w:t>
      </w:r>
      <w:r w:rsidRPr="002B3F36">
        <w:t>s</w:t>
      </w:r>
      <w:r w:rsidR="005443FE" w:rsidRPr="002B3F36">
        <w:t>ensitive receptors</w:t>
      </w:r>
      <w:r w:rsidRPr="002B3F36">
        <w:t>, which</w:t>
      </w:r>
      <w:r w:rsidR="005443FE" w:rsidRPr="002B3F36">
        <w:t xml:space="preserve"> include agricultural orchards, riparian belts, and species-specific nesting or breeding areas.</w:t>
      </w:r>
    </w:p>
    <w:p w14:paraId="19B9B48E" w14:textId="77777777" w:rsidR="00701F4F" w:rsidRPr="002B3F36" w:rsidRDefault="00701F4F" w:rsidP="00701F4F">
      <w:pPr>
        <w:pStyle w:val="ReportParagraph"/>
      </w:pPr>
    </w:p>
    <w:p w14:paraId="6581ABE1" w14:textId="77777777" w:rsidR="00F61F8E" w:rsidRPr="002B3F36" w:rsidRDefault="000F264B" w:rsidP="005443FE">
      <w:pPr>
        <w:pStyle w:val="DiaList12"/>
        <w:rPr>
          <w:rFonts w:eastAsia="SimSun"/>
          <w:lang w:val="en-PH"/>
        </w:rPr>
      </w:pPr>
      <w:r w:rsidRPr="002B3F36">
        <w:rPr>
          <w:rFonts w:eastAsia="SimSun"/>
          <w:lang w:val="en-PH"/>
        </w:rPr>
        <w:t>Impact Assessment</w:t>
      </w:r>
    </w:p>
    <w:p w14:paraId="18CDA163" w14:textId="465FDD74" w:rsidR="005443FE" w:rsidRPr="002B3F36" w:rsidRDefault="005443FE" w:rsidP="00701F4F">
      <w:pPr>
        <w:pStyle w:val="ReportBodyTextNogap"/>
      </w:pPr>
      <w:r w:rsidRPr="002B3F36">
        <w:rPr>
          <w:b/>
          <w:bCs/>
        </w:rPr>
        <w:t>Flora</w:t>
      </w:r>
      <w:r w:rsidRPr="002B3F36">
        <w:t xml:space="preserve">: Loss of vegetation cover within the RoW and at auxiliary sites will reduce habitat availability and alter local ecosystem functions. While steppe grasses may regenerate with restoration, loss of mature trees is long-term and requires compensatory planting. </w:t>
      </w:r>
      <w:r w:rsidR="00C842EC" w:rsidRPr="00A846C7">
        <w:rPr>
          <w:rFonts w:eastAsia="Times New Roman"/>
          <w:color w:val="222222"/>
          <w:lang w:eastAsia="en-PH"/>
        </w:rPr>
        <w:t xml:space="preserve">Among the rare plant species in the area are the </w:t>
      </w:r>
      <w:r w:rsidR="00C842EC" w:rsidRPr="00A846C7">
        <w:rPr>
          <w:rFonts w:eastAsia="Times New Roman"/>
          <w:i/>
          <w:color w:val="222222"/>
          <w:lang w:eastAsia="en-PH"/>
        </w:rPr>
        <w:t xml:space="preserve">Tulipa patens </w:t>
      </w:r>
      <w:r w:rsidR="00C842EC" w:rsidRPr="00A846C7">
        <w:rPr>
          <w:rFonts w:eastAsia="Times New Roman"/>
          <w:color w:val="222222"/>
          <w:lang w:eastAsia="en-PH"/>
        </w:rPr>
        <w:t xml:space="preserve">and </w:t>
      </w:r>
      <w:r w:rsidR="00C842EC" w:rsidRPr="00A846C7">
        <w:rPr>
          <w:rFonts w:eastAsia="TimesNewRomanPSMT"/>
          <w:i/>
          <w:color w:val="000000" w:themeColor="text1"/>
          <w:lang w:val="en-GB"/>
        </w:rPr>
        <w:t>Haloxylon aphyllum</w:t>
      </w:r>
      <w:r w:rsidR="00C842EC" w:rsidRPr="00A846C7">
        <w:rPr>
          <w:rFonts w:eastAsia="Times New Roman"/>
          <w:color w:val="222222"/>
          <w:lang w:eastAsia="en-PH"/>
        </w:rPr>
        <w:t>.  No mass tree felling is expected, as there are no tree plantations along the railway line. Tulips grow sparsely and occasionally.</w:t>
      </w:r>
      <w:r w:rsidR="00C842EC" w:rsidRPr="002B3F36">
        <w:rPr>
          <w:rFonts w:eastAsia="Times New Roman"/>
          <w:color w:val="222222"/>
          <w:lang w:eastAsia="en-PH"/>
        </w:rPr>
        <w:t xml:space="preserve"> </w:t>
      </w:r>
      <w:r w:rsidRPr="002B3F36">
        <w:t xml:space="preserve">Significance is assessed as </w:t>
      </w:r>
      <w:r w:rsidRPr="002B3F36">
        <w:rPr>
          <w:i/>
          <w:iCs/>
        </w:rPr>
        <w:t>Moderate</w:t>
      </w:r>
      <w:r w:rsidRPr="002B3F36">
        <w:t>.</w:t>
      </w:r>
    </w:p>
    <w:p w14:paraId="780C353A" w14:textId="77777777" w:rsidR="007A7DCA" w:rsidRPr="002B3F36" w:rsidRDefault="007A7DCA" w:rsidP="00701F4F">
      <w:pPr>
        <w:pStyle w:val="ReportBodyTextNogap"/>
      </w:pPr>
    </w:p>
    <w:p w14:paraId="23B502B2" w14:textId="1B1D62F5" w:rsidR="005443FE" w:rsidRPr="002B3F36" w:rsidRDefault="005443FE" w:rsidP="007A7DCA">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Fauna</w:t>
      </w:r>
      <w:r w:rsidRPr="002B3F36">
        <w:rPr>
          <w:rFonts w:ascii="Arial" w:eastAsia="Times New Roman" w:hAnsi="Arial" w:cs="Arial"/>
          <w:sz w:val="24"/>
          <w:szCs w:val="24"/>
        </w:rPr>
        <w:t>:</w:t>
      </w:r>
      <w:r w:rsidR="00196E7C" w:rsidRPr="002B3F36">
        <w:rPr>
          <w:rFonts w:ascii="Arial" w:eastAsia="Times New Roman" w:hAnsi="Arial" w:cs="Arial"/>
          <w:sz w:val="24"/>
          <w:szCs w:val="24"/>
        </w:rPr>
        <w:t xml:space="preserve"> Potential impacts include disruption of migration routes, nesting and breeding habitats, and aquatic ecosystems, as follows:</w:t>
      </w:r>
    </w:p>
    <w:p w14:paraId="72353530" w14:textId="148671D4" w:rsidR="005443FE" w:rsidRPr="002B3F36" w:rsidRDefault="005443FE" w:rsidP="009B4CDB">
      <w:pPr>
        <w:widowControl/>
        <w:numPr>
          <w:ilvl w:val="0"/>
          <w:numId w:val="179"/>
        </w:numPr>
        <w:autoSpaceDE/>
        <w:autoSpaceDN/>
        <w:jc w:val="both"/>
        <w:rPr>
          <w:rFonts w:ascii="Arial" w:eastAsia="Times New Roman" w:hAnsi="Arial" w:cs="Arial"/>
          <w:sz w:val="24"/>
          <w:szCs w:val="24"/>
        </w:rPr>
      </w:pPr>
      <w:r w:rsidRPr="002B3F36">
        <w:rPr>
          <w:rFonts w:ascii="Arial" w:eastAsia="Times New Roman" w:hAnsi="Arial" w:cs="Arial"/>
          <w:i/>
          <w:iCs/>
          <w:sz w:val="24"/>
          <w:szCs w:val="24"/>
        </w:rPr>
        <w:t>Mammals (including saiga, fox, wolf, rodents)</w:t>
      </w:r>
      <w:r w:rsidRPr="002B3F36">
        <w:rPr>
          <w:rFonts w:ascii="Arial" w:eastAsia="Times New Roman" w:hAnsi="Arial" w:cs="Arial"/>
          <w:sz w:val="24"/>
          <w:szCs w:val="24"/>
        </w:rPr>
        <w:t xml:space="preserve"> – barrier effects from embankments/fencing could severely disrupt seasonal migrations and grazing routes if not mitigated. Risk significance </w:t>
      </w:r>
      <w:r w:rsidR="00196E7C" w:rsidRPr="002B3F36">
        <w:rPr>
          <w:rFonts w:ascii="Arial" w:eastAsia="Times New Roman" w:hAnsi="Arial" w:cs="Arial"/>
          <w:sz w:val="24"/>
          <w:szCs w:val="24"/>
        </w:rPr>
        <w:t xml:space="preserve">may be within </w:t>
      </w:r>
      <w:r w:rsidR="00196E7C" w:rsidRPr="002B3F36">
        <w:rPr>
          <w:rFonts w:ascii="Arial" w:eastAsia="Times New Roman" w:hAnsi="Arial" w:cs="Arial"/>
          <w:i/>
          <w:iCs/>
          <w:sz w:val="24"/>
          <w:szCs w:val="24"/>
        </w:rPr>
        <w:t>Moderate</w:t>
      </w:r>
      <w:r w:rsidR="00196E7C" w:rsidRPr="002B3F36">
        <w:rPr>
          <w:rFonts w:ascii="Arial" w:eastAsia="Times New Roman" w:hAnsi="Arial" w:cs="Arial"/>
          <w:sz w:val="24"/>
          <w:szCs w:val="24"/>
        </w:rPr>
        <w:t xml:space="preserve"> range.</w:t>
      </w:r>
    </w:p>
    <w:p w14:paraId="7E465A0F" w14:textId="4E8FB330" w:rsidR="005443FE" w:rsidRPr="002B3F36" w:rsidRDefault="005443FE" w:rsidP="009B4CDB">
      <w:pPr>
        <w:widowControl/>
        <w:numPr>
          <w:ilvl w:val="0"/>
          <w:numId w:val="17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i/>
          <w:iCs/>
          <w:sz w:val="24"/>
          <w:szCs w:val="24"/>
        </w:rPr>
        <w:t>Birds</w:t>
      </w:r>
      <w:r w:rsidRPr="002B3F36">
        <w:rPr>
          <w:rFonts w:ascii="Arial" w:eastAsia="Times New Roman" w:hAnsi="Arial" w:cs="Arial"/>
          <w:sz w:val="24"/>
          <w:szCs w:val="24"/>
        </w:rPr>
        <w:t xml:space="preserve"> – impacts include disturbance of nesting colonies, loss of nest trees, and collision/electrocution from power lines. Lighting during spring/autumn migrations could disorient flocks. Residual risk is </w:t>
      </w:r>
      <w:r w:rsidRPr="002B3F36">
        <w:rPr>
          <w:rFonts w:ascii="Arial" w:eastAsia="Times New Roman" w:hAnsi="Arial" w:cs="Arial"/>
          <w:i/>
          <w:iCs/>
          <w:sz w:val="24"/>
          <w:szCs w:val="24"/>
        </w:rPr>
        <w:t>Moderate</w:t>
      </w:r>
      <w:r w:rsidRPr="002B3F36">
        <w:rPr>
          <w:rFonts w:ascii="Arial" w:eastAsia="Times New Roman" w:hAnsi="Arial" w:cs="Arial"/>
          <w:sz w:val="24"/>
          <w:szCs w:val="24"/>
        </w:rPr>
        <w:t>.</w:t>
      </w:r>
    </w:p>
    <w:p w14:paraId="6BF9F9BE" w14:textId="77777777" w:rsidR="005443FE" w:rsidRPr="002B3F36" w:rsidRDefault="005443FE" w:rsidP="009B4CDB">
      <w:pPr>
        <w:widowControl/>
        <w:numPr>
          <w:ilvl w:val="0"/>
          <w:numId w:val="17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i/>
          <w:iCs/>
          <w:sz w:val="24"/>
          <w:szCs w:val="24"/>
        </w:rPr>
        <w:t>Reptiles and amphibians</w:t>
      </w:r>
      <w:r w:rsidRPr="002B3F36">
        <w:rPr>
          <w:rFonts w:ascii="Arial" w:eastAsia="Times New Roman" w:hAnsi="Arial" w:cs="Arial"/>
          <w:sz w:val="24"/>
          <w:szCs w:val="24"/>
        </w:rPr>
        <w:t xml:space="preserve"> – open trenches and pits pose entrapment risks during April–May breeding; unmanaged works could cause </w:t>
      </w:r>
      <w:r w:rsidRPr="002B3F36">
        <w:rPr>
          <w:rFonts w:ascii="Arial" w:eastAsia="Times New Roman" w:hAnsi="Arial" w:cs="Arial"/>
          <w:i/>
          <w:iCs/>
          <w:sz w:val="24"/>
          <w:szCs w:val="24"/>
        </w:rPr>
        <w:t>Moderate</w:t>
      </w:r>
      <w:r w:rsidRPr="002B3F36">
        <w:rPr>
          <w:rFonts w:ascii="Arial" w:eastAsia="Times New Roman" w:hAnsi="Arial" w:cs="Arial"/>
          <w:sz w:val="24"/>
          <w:szCs w:val="24"/>
        </w:rPr>
        <w:t xml:space="preserve"> localized mortality.</w:t>
      </w:r>
    </w:p>
    <w:p w14:paraId="6FEED772" w14:textId="6508231C" w:rsidR="005443FE" w:rsidRPr="002B3F36" w:rsidRDefault="005443FE" w:rsidP="009B4CDB">
      <w:pPr>
        <w:widowControl/>
        <w:numPr>
          <w:ilvl w:val="0"/>
          <w:numId w:val="17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i/>
          <w:iCs/>
          <w:sz w:val="24"/>
          <w:szCs w:val="24"/>
        </w:rPr>
        <w:t>Fish</w:t>
      </w:r>
      <w:r w:rsidRPr="002B3F36">
        <w:rPr>
          <w:rFonts w:ascii="Arial" w:eastAsia="Times New Roman" w:hAnsi="Arial" w:cs="Arial"/>
          <w:sz w:val="24"/>
          <w:szCs w:val="24"/>
        </w:rPr>
        <w:t xml:space="preserve"> – water intake and river crossing works could increase turbidity, entrain juveniles, or affect spawning if intake sites are poorly sited. Risk is </w:t>
      </w:r>
      <w:r w:rsidRPr="002B3F36">
        <w:rPr>
          <w:rFonts w:ascii="Arial" w:eastAsia="Times New Roman" w:hAnsi="Arial" w:cs="Arial"/>
          <w:i/>
          <w:iCs/>
          <w:sz w:val="24"/>
          <w:szCs w:val="24"/>
        </w:rPr>
        <w:t>Moderate</w:t>
      </w:r>
      <w:r w:rsidRPr="002B3F36">
        <w:rPr>
          <w:rFonts w:ascii="Arial" w:eastAsia="Times New Roman" w:hAnsi="Arial" w:cs="Arial"/>
          <w:sz w:val="24"/>
          <w:szCs w:val="24"/>
        </w:rPr>
        <w:t>.</w:t>
      </w:r>
    </w:p>
    <w:p w14:paraId="0437CB42" w14:textId="77777777" w:rsidR="00701F4F" w:rsidRPr="002B3F36" w:rsidRDefault="00701F4F" w:rsidP="00701F4F">
      <w:pPr>
        <w:pStyle w:val="ReportBodyTextNogap"/>
      </w:pPr>
    </w:p>
    <w:p w14:paraId="0ECEA2B6" w14:textId="0198F71C" w:rsidR="00F61F8E" w:rsidRPr="002B3F36" w:rsidRDefault="005443FE" w:rsidP="00701F4F">
      <w:pPr>
        <w:pStyle w:val="ReportBodyTextNogap"/>
        <w:rPr>
          <w:rFonts w:eastAsia="Times New Roman"/>
        </w:rPr>
      </w:pPr>
      <w:r w:rsidRPr="002B3F36">
        <w:rPr>
          <w:rStyle w:val="ReportBodyTextNogapChar"/>
          <w:b/>
        </w:rPr>
        <w:t>Overall significance</w:t>
      </w:r>
      <w:r w:rsidRPr="002B3F36">
        <w:rPr>
          <w:rStyle w:val="ReportBodyTextNogapChar"/>
        </w:rPr>
        <w:t>: With embedded mitigation,</w:t>
      </w:r>
      <w:r w:rsidR="006D6DA6" w:rsidRPr="002B3F36">
        <w:rPr>
          <w:rStyle w:val="ReportBodyTextNogapChar"/>
        </w:rPr>
        <w:t xml:space="preserve"> with reference to the Level of Significance Tab</w:t>
      </w:r>
      <w:r w:rsidR="00A707C4">
        <w:rPr>
          <w:rStyle w:val="ReportBodyTextNogapChar"/>
        </w:rPr>
        <w:t>l</w:t>
      </w:r>
      <w:r w:rsidR="006D6DA6" w:rsidRPr="002B3F36">
        <w:rPr>
          <w:rStyle w:val="ReportBodyTextNogapChar"/>
        </w:rPr>
        <w:t>e, the</w:t>
      </w:r>
      <w:r w:rsidRPr="002B3F36">
        <w:rPr>
          <w:rStyle w:val="ReportBodyTextNogapChar"/>
        </w:rPr>
        <w:t xml:space="preserve"> impacts are expected to remain Moderate. Without specific design measures for saiga and other wide-ranging mammals, residual risks</w:t>
      </w:r>
      <w:r w:rsidRPr="002B3F36">
        <w:rPr>
          <w:rFonts w:eastAsia="Times New Roman"/>
        </w:rPr>
        <w:t xml:space="preserve"> could reach </w:t>
      </w:r>
      <w:r w:rsidRPr="002B3F36">
        <w:rPr>
          <w:rFonts w:eastAsia="Times New Roman"/>
          <w:i/>
          <w:iCs/>
        </w:rPr>
        <w:t>High</w:t>
      </w:r>
      <w:r w:rsidRPr="002B3F36">
        <w:rPr>
          <w:rFonts w:eastAsia="Times New Roman"/>
        </w:rPr>
        <w:t>.</w:t>
      </w:r>
    </w:p>
    <w:p w14:paraId="05CC758F" w14:textId="7A56A32B" w:rsidR="00701F4F" w:rsidRPr="002B3F36" w:rsidRDefault="00701F4F" w:rsidP="00701F4F">
      <w:pPr>
        <w:pStyle w:val="ReportBodyTextNogap"/>
        <w:rPr>
          <w:rFonts w:eastAsia="Times New Roman"/>
        </w:rPr>
      </w:pPr>
    </w:p>
    <w:p w14:paraId="68BEB436" w14:textId="34261220" w:rsidR="00BD0096" w:rsidRPr="002B3F36" w:rsidRDefault="00BD0096" w:rsidP="00701F4F">
      <w:pPr>
        <w:pStyle w:val="ReportBodyTextNogap"/>
        <w:rPr>
          <w:rFonts w:eastAsia="Times New Roman"/>
        </w:rPr>
      </w:pPr>
      <w:r w:rsidRPr="002B3F36">
        <w:t xml:space="preserve">In terms of floral and faunal impacts and risks, the Project will introduce “direct” impact to the environment. In terms of duration, contamination of </w:t>
      </w:r>
      <w:r w:rsidR="00FC5F9E" w:rsidRPr="002B3F36">
        <w:t>habitats for flora and fauna</w:t>
      </w:r>
      <w:r w:rsidRPr="002B3F36">
        <w:t xml:space="preserve"> can be considered as “</w:t>
      </w:r>
      <w:r w:rsidR="009D0CE5" w:rsidRPr="002B3F36">
        <w:t>medium</w:t>
      </w:r>
      <w:r w:rsidRPr="002B3F36">
        <w:t xml:space="preserve"> term”, and “lo</w:t>
      </w:r>
      <w:r w:rsidR="00FC5F9E" w:rsidRPr="002B3F36">
        <w:t>c</w:t>
      </w:r>
      <w:r w:rsidRPr="002B3F36">
        <w:t xml:space="preserve">al in scale” affecting </w:t>
      </w:r>
      <w:r w:rsidR="009D0CE5" w:rsidRPr="002B3F36">
        <w:t>certain</w:t>
      </w:r>
      <w:r w:rsidRPr="002B3F36">
        <w:t xml:space="preserve"> local </w:t>
      </w:r>
      <w:r w:rsidR="00FC5F9E" w:rsidRPr="002B3F36">
        <w:t>habitats</w:t>
      </w:r>
      <w:r w:rsidRPr="002B3F36">
        <w:t xml:space="preserve">. The “frequency of impact” can be daily or continuous due </w:t>
      </w:r>
      <w:r w:rsidR="00FC5F9E" w:rsidRPr="002B3F36">
        <w:t>but spread out</w:t>
      </w:r>
      <w:r w:rsidRPr="002B3F36">
        <w:t xml:space="preserve"> up to completion. Applying the “Significance of Impact Matrix”, it can be considered that the environment may have receptor “Medium sensitivity”, with a Medium level of Magnitude</w:t>
      </w:r>
      <w:r w:rsidR="00FC5F9E" w:rsidRPr="002B3F36">
        <w:t>, especially on the important species</w:t>
      </w:r>
      <w:r w:rsidRPr="002B3F36">
        <w:t xml:space="preserve">. This yields a significance impact of “Moderate”. </w:t>
      </w:r>
    </w:p>
    <w:p w14:paraId="189AF7FE" w14:textId="77777777" w:rsidR="00BD0096" w:rsidRPr="002B3F36" w:rsidRDefault="00BD0096" w:rsidP="00701F4F">
      <w:pPr>
        <w:pStyle w:val="ReportBodyTextNogap"/>
        <w:rPr>
          <w:rFonts w:eastAsia="Times New Roman"/>
        </w:rPr>
      </w:pPr>
    </w:p>
    <w:p w14:paraId="6469A0CB" w14:textId="77777777" w:rsidR="00BD0096" w:rsidRPr="002B3F36" w:rsidRDefault="00BD0096" w:rsidP="00701F4F">
      <w:pPr>
        <w:pStyle w:val="ReportBodyTextNogap"/>
        <w:rPr>
          <w:rFonts w:eastAsia="Times New Roman"/>
        </w:rPr>
      </w:pPr>
    </w:p>
    <w:p w14:paraId="2844C642" w14:textId="77777777" w:rsidR="00F61F8E" w:rsidRPr="002B3F36" w:rsidRDefault="000F264B" w:rsidP="005443FE">
      <w:pPr>
        <w:pStyle w:val="DiaList12"/>
        <w:rPr>
          <w:rFonts w:eastAsia="SimSun"/>
        </w:rPr>
      </w:pPr>
      <w:r w:rsidRPr="002B3F36">
        <w:rPr>
          <w:rFonts w:eastAsia="SimSun"/>
        </w:rPr>
        <w:t>Mitigation Measures:</w:t>
      </w:r>
    </w:p>
    <w:p w14:paraId="44D65564" w14:textId="2B2D3C46" w:rsidR="005443FE" w:rsidRPr="002B3F36" w:rsidRDefault="00196E7C" w:rsidP="00701F4F">
      <w:pPr>
        <w:pStyle w:val="ReportBodyTextNogap"/>
      </w:pPr>
      <w:r w:rsidRPr="002B3F36">
        <w:t xml:space="preserve">To address potential impacts on flora, fauna, and associated habitats, a comprehensive set of mitigation measures has been developed consistent with </w:t>
      </w:r>
      <w:r w:rsidR="00F95BD8" w:rsidRPr="002B3F36">
        <w:t>WB</w:t>
      </w:r>
      <w:r w:rsidRPr="002B3F36">
        <w:t xml:space="preserve"> Performance Standard 6 (PS6) and the mitigation hierarchy of avoid, minimize, restore, and offset. These measures cover habitat protection, species-specific safeguards, construction controls, site restoration, and ongoing monitoring to ensure biodiversity conservation, compliance with PS6, and adherence to national regulations throughout the project lifecycle.</w:t>
      </w:r>
    </w:p>
    <w:p w14:paraId="6D96BECF" w14:textId="0DF76874" w:rsidR="005443FE" w:rsidRPr="002B3F36" w:rsidRDefault="005443FE" w:rsidP="7BF66B5C">
      <w:pPr>
        <w:widowControl/>
        <w:autoSpaceDE/>
        <w:autoSpaceDN/>
        <w:spacing w:before="100" w:beforeAutospacing="1"/>
        <w:jc w:val="both"/>
        <w:rPr>
          <w:rFonts w:ascii="Arial" w:eastAsia="Times New Roman" w:hAnsi="Arial" w:cs="Arial"/>
          <w:sz w:val="24"/>
          <w:szCs w:val="24"/>
        </w:rPr>
      </w:pPr>
      <w:r w:rsidRPr="002B3F36">
        <w:rPr>
          <w:rFonts w:ascii="Arial" w:eastAsia="Times New Roman" w:hAnsi="Arial" w:cs="Arial"/>
          <w:b/>
          <w:bCs/>
          <w:sz w:val="24"/>
          <w:szCs w:val="24"/>
        </w:rPr>
        <w:t>A. For Flora</w:t>
      </w:r>
    </w:p>
    <w:p w14:paraId="4B22F11A" w14:textId="77777777" w:rsidR="005443FE" w:rsidRPr="002B3F36" w:rsidRDefault="005443FE" w:rsidP="009B4CDB">
      <w:pPr>
        <w:widowControl/>
        <w:numPr>
          <w:ilvl w:val="0"/>
          <w:numId w:val="180"/>
        </w:numPr>
        <w:autoSpaceDE/>
        <w:autoSpaceDN/>
        <w:jc w:val="both"/>
        <w:rPr>
          <w:rFonts w:ascii="Arial" w:eastAsia="Times New Roman" w:hAnsi="Arial" w:cs="Arial"/>
          <w:sz w:val="24"/>
          <w:szCs w:val="24"/>
        </w:rPr>
      </w:pPr>
      <w:r w:rsidRPr="002B3F36">
        <w:rPr>
          <w:rFonts w:ascii="Arial" w:eastAsia="Times New Roman" w:hAnsi="Arial" w:cs="Arial"/>
          <w:sz w:val="24"/>
          <w:szCs w:val="24"/>
        </w:rPr>
        <w:t>Avoid clearing beyond the approved footprint; stake construction boundaries.</w:t>
      </w:r>
    </w:p>
    <w:p w14:paraId="16884D7C" w14:textId="742FFA94" w:rsidR="005443FE" w:rsidRPr="002B3F36" w:rsidRDefault="00FC6485" w:rsidP="009B4CDB">
      <w:pPr>
        <w:widowControl/>
        <w:numPr>
          <w:ilvl w:val="0"/>
          <w:numId w:val="180"/>
        </w:numPr>
        <w:autoSpaceDE/>
        <w:autoSpaceDN/>
        <w:jc w:val="both"/>
        <w:rPr>
          <w:rFonts w:ascii="Arial" w:eastAsia="Times New Roman" w:hAnsi="Arial" w:cs="Arial"/>
          <w:sz w:val="24"/>
          <w:szCs w:val="24"/>
        </w:rPr>
      </w:pPr>
      <w:r w:rsidRPr="002B3F36">
        <w:rPr>
          <w:rFonts w:ascii="Arial" w:eastAsia="Times New Roman" w:hAnsi="Arial" w:cs="Arial"/>
          <w:sz w:val="24"/>
          <w:szCs w:val="24"/>
        </w:rPr>
        <w:t>•</w:t>
      </w:r>
      <w:r w:rsidRPr="002B3F36">
        <w:rPr>
          <w:rFonts w:ascii="Arial" w:eastAsia="Times New Roman" w:hAnsi="Arial" w:cs="Arial"/>
          <w:sz w:val="24"/>
          <w:szCs w:val="24"/>
        </w:rPr>
        <w:tab/>
        <w:t>In case of encountering presence of mature trees, s</w:t>
      </w:r>
      <w:r w:rsidR="005443FE" w:rsidRPr="002B3F36">
        <w:rPr>
          <w:rFonts w:ascii="Arial" w:eastAsia="Times New Roman" w:hAnsi="Arial" w:cs="Arial"/>
          <w:sz w:val="24"/>
          <w:szCs w:val="24"/>
        </w:rPr>
        <w:t xml:space="preserve">ecure permits before tree cutting; comply with </w:t>
      </w:r>
      <w:r w:rsidR="003A184C">
        <w:rPr>
          <w:rFonts w:ascii="Arial" w:eastAsia="Times New Roman" w:hAnsi="Arial" w:cs="Arial"/>
          <w:sz w:val="24"/>
          <w:szCs w:val="24"/>
        </w:rPr>
        <w:t>Karagandy</w:t>
      </w:r>
      <w:r w:rsidR="005443FE" w:rsidRPr="002B3F36">
        <w:rPr>
          <w:rFonts w:ascii="Arial" w:eastAsia="Times New Roman" w:hAnsi="Arial" w:cs="Arial"/>
          <w:sz w:val="24"/>
          <w:szCs w:val="24"/>
        </w:rPr>
        <w:t xml:space="preserve"> maslikhat Decision No. 222 (29-Sep-2017) requiring </w:t>
      </w:r>
      <w:r w:rsidR="005443FE" w:rsidRPr="002B3F36">
        <w:rPr>
          <w:rFonts w:ascii="Arial" w:eastAsia="Times New Roman" w:hAnsi="Arial" w:cs="Arial"/>
          <w:b/>
          <w:bCs/>
          <w:sz w:val="24"/>
          <w:szCs w:val="24"/>
        </w:rPr>
        <w:t>10:1 compensatory planting</w:t>
      </w:r>
      <w:r w:rsidR="005443FE" w:rsidRPr="002B3F36">
        <w:rPr>
          <w:rFonts w:ascii="Arial" w:eastAsia="Times New Roman" w:hAnsi="Arial" w:cs="Arial"/>
          <w:sz w:val="24"/>
          <w:szCs w:val="24"/>
        </w:rPr>
        <w:t xml:space="preserve"> for each tree removed.</w:t>
      </w:r>
    </w:p>
    <w:p w14:paraId="06115C20" w14:textId="4196B5F4" w:rsidR="005443FE" w:rsidRPr="002B3F36" w:rsidRDefault="005443FE" w:rsidP="009B4CDB">
      <w:pPr>
        <w:widowControl/>
        <w:numPr>
          <w:ilvl w:val="0"/>
          <w:numId w:val="180"/>
        </w:numPr>
        <w:autoSpaceDE/>
        <w:autoSpaceDN/>
        <w:jc w:val="both"/>
        <w:rPr>
          <w:rFonts w:ascii="Arial" w:eastAsia="Times New Roman" w:hAnsi="Arial" w:cs="Arial"/>
          <w:sz w:val="24"/>
          <w:szCs w:val="24"/>
        </w:rPr>
      </w:pPr>
      <w:r w:rsidRPr="002B3F36">
        <w:rPr>
          <w:rFonts w:ascii="Arial" w:eastAsia="Times New Roman" w:hAnsi="Arial" w:cs="Arial"/>
          <w:sz w:val="24"/>
          <w:szCs w:val="24"/>
        </w:rPr>
        <w:t>Where feasible, transplant viable saplings/young trees; replant cleared areas with native steppe grasses and shrubs.</w:t>
      </w:r>
    </w:p>
    <w:p w14:paraId="6307F570" w14:textId="77777777" w:rsidR="005443FE" w:rsidRPr="002B3F36" w:rsidRDefault="005443FE" w:rsidP="009B4CDB">
      <w:pPr>
        <w:widowControl/>
        <w:numPr>
          <w:ilvl w:val="0"/>
          <w:numId w:val="180"/>
        </w:numPr>
        <w:autoSpaceDE/>
        <w:autoSpaceDN/>
        <w:jc w:val="both"/>
        <w:rPr>
          <w:rFonts w:ascii="Arial" w:eastAsia="Times New Roman" w:hAnsi="Arial" w:cs="Arial"/>
          <w:sz w:val="24"/>
          <w:szCs w:val="24"/>
        </w:rPr>
      </w:pPr>
      <w:r w:rsidRPr="002B3F36">
        <w:rPr>
          <w:rFonts w:ascii="Arial" w:eastAsia="Times New Roman" w:hAnsi="Arial" w:cs="Arial"/>
          <w:sz w:val="24"/>
          <w:szCs w:val="24"/>
        </w:rPr>
        <w:t>Prohibit burning of dry grass and collection of wild berries or mushrooms by workers.</w:t>
      </w:r>
    </w:p>
    <w:p w14:paraId="435FC445" w14:textId="77777777" w:rsidR="005443FE" w:rsidRPr="002B3F36" w:rsidRDefault="005443FE" w:rsidP="00701F4F">
      <w:pPr>
        <w:widowControl/>
        <w:autoSpaceDE/>
        <w:autoSpaceDN/>
        <w:spacing w:before="100" w:beforeAutospacing="1"/>
        <w:jc w:val="both"/>
        <w:rPr>
          <w:rFonts w:ascii="Arial" w:eastAsia="Times New Roman" w:hAnsi="Arial" w:cs="Arial"/>
          <w:sz w:val="24"/>
          <w:szCs w:val="24"/>
        </w:rPr>
      </w:pPr>
      <w:r w:rsidRPr="002B3F36">
        <w:rPr>
          <w:rFonts w:ascii="Arial" w:eastAsia="Times New Roman" w:hAnsi="Arial" w:cs="Arial"/>
          <w:b/>
          <w:bCs/>
          <w:sz w:val="24"/>
          <w:szCs w:val="24"/>
        </w:rPr>
        <w:t>B. For Fauna</w:t>
      </w:r>
    </w:p>
    <w:p w14:paraId="4BF96B33" w14:textId="77777777" w:rsidR="005443FE" w:rsidRPr="002B3F36" w:rsidRDefault="005443FE" w:rsidP="009B4CDB">
      <w:pPr>
        <w:widowControl/>
        <w:numPr>
          <w:ilvl w:val="0"/>
          <w:numId w:val="181"/>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Mammals (incl. Saiga)</w:t>
      </w:r>
      <w:r w:rsidRPr="002B3F36">
        <w:rPr>
          <w:rFonts w:ascii="Arial" w:eastAsia="Times New Roman" w:hAnsi="Arial" w:cs="Arial"/>
          <w:sz w:val="24"/>
          <w:szCs w:val="24"/>
        </w:rPr>
        <w:t>:</w:t>
      </w:r>
    </w:p>
    <w:p w14:paraId="3A925F17" w14:textId="4DCF1899"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Design and construct wildlife crossings (underpasses/overpasses/large culverts with natural substrate) at known saiga migration corridors, paired with guiding fencing and flattened embankment slopes (1:6–1:10).</w:t>
      </w:r>
    </w:p>
    <w:p w14:paraId="1C56CDD9" w14:textId="1CEF7FF3"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Install signage at crossing zones: bilingual warnings (“CAUTION! Possible crossing of wild animals!”) and enforce reduced speed limits (&lt;60 km/h).</w:t>
      </w:r>
    </w:p>
    <w:p w14:paraId="4923C52A" w14:textId="77777777" w:rsidR="005443FE" w:rsidRPr="002B3F36" w:rsidRDefault="005443FE" w:rsidP="009B4CDB">
      <w:pPr>
        <w:widowControl/>
        <w:numPr>
          <w:ilvl w:val="0"/>
          <w:numId w:val="181"/>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Birds</w:t>
      </w:r>
      <w:r w:rsidRPr="002B3F36">
        <w:rPr>
          <w:rFonts w:ascii="Arial" w:eastAsia="Times New Roman" w:hAnsi="Arial" w:cs="Arial"/>
          <w:sz w:val="24"/>
          <w:szCs w:val="24"/>
        </w:rPr>
        <w:t>:</w:t>
      </w:r>
    </w:p>
    <w:p w14:paraId="7C4FB319"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Schedule tree felling outside the nesting period (April–August). If unavoidable, conduct pre-clearance nest surveys.</w:t>
      </w:r>
    </w:p>
    <w:p w14:paraId="1896B3EE"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For every demolished raptor nest, install </w:t>
      </w:r>
      <w:r w:rsidRPr="002B3F36">
        <w:rPr>
          <w:rFonts w:ascii="Arial" w:eastAsia="Times New Roman" w:hAnsi="Arial" w:cs="Arial"/>
          <w:b/>
          <w:bCs/>
          <w:sz w:val="24"/>
          <w:szCs w:val="24"/>
        </w:rPr>
        <w:t>3 artificial nests</w:t>
      </w:r>
      <w:r w:rsidRPr="002B3F36">
        <w:rPr>
          <w:rFonts w:ascii="Arial" w:eastAsia="Times New Roman" w:hAnsi="Arial" w:cs="Arial"/>
          <w:sz w:val="24"/>
          <w:szCs w:val="24"/>
        </w:rPr>
        <w:t xml:space="preserve"> at safe locations ≥500 m from the alignment and 3–5 km apart.</w:t>
      </w:r>
    </w:p>
    <w:p w14:paraId="68817006"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Use bird-safe powerline designs (line marking, insulation, perch deterrents).</w:t>
      </w:r>
    </w:p>
    <w:p w14:paraId="48B389B8"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Adopt dark-sky compliant lighting: shielded LEDs, motion sensors, and curfew schedules during migration peaks.</w:t>
      </w:r>
    </w:p>
    <w:p w14:paraId="2AB73522" w14:textId="77777777" w:rsidR="005443FE" w:rsidRPr="002B3F36" w:rsidRDefault="005443FE" w:rsidP="009B4CDB">
      <w:pPr>
        <w:widowControl/>
        <w:numPr>
          <w:ilvl w:val="0"/>
          <w:numId w:val="181"/>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Reptiles/Amphibians</w:t>
      </w:r>
      <w:r w:rsidRPr="002B3F36">
        <w:rPr>
          <w:rFonts w:ascii="Arial" w:eastAsia="Times New Roman" w:hAnsi="Arial" w:cs="Arial"/>
          <w:sz w:val="24"/>
          <w:szCs w:val="24"/>
        </w:rPr>
        <w:t>:</w:t>
      </w:r>
    </w:p>
    <w:p w14:paraId="517E124C"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Coordinate works to avoid April–May breeding season.</w:t>
      </w:r>
    </w:p>
    <w:p w14:paraId="6C90C93F"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Inspect open trenches and pits daily; provide escape ramps and relocate trapped individuals to safe habitat.</w:t>
      </w:r>
    </w:p>
    <w:p w14:paraId="09855559" w14:textId="77777777" w:rsidR="005443FE" w:rsidRPr="002B3F36" w:rsidRDefault="005443FE" w:rsidP="009B4CDB">
      <w:pPr>
        <w:widowControl/>
        <w:numPr>
          <w:ilvl w:val="0"/>
          <w:numId w:val="181"/>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Fish and Aquatic Life</w:t>
      </w:r>
      <w:r w:rsidRPr="002B3F36">
        <w:rPr>
          <w:rFonts w:ascii="Arial" w:eastAsia="Times New Roman" w:hAnsi="Arial" w:cs="Arial"/>
          <w:sz w:val="24"/>
          <w:szCs w:val="24"/>
        </w:rPr>
        <w:t>:</w:t>
      </w:r>
    </w:p>
    <w:p w14:paraId="5B27FAB1"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lastRenderedPageBreak/>
        <w:t>Fit intakes with fish-protection devices; avoid locating intakes at spawning/wintering grounds or juvenile feeding/migration areas.</w:t>
      </w:r>
    </w:p>
    <w:p w14:paraId="27C93D75"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Restrict abstraction during dusk/night feeding times.</w:t>
      </w:r>
    </w:p>
    <w:p w14:paraId="6E476D38" w14:textId="77777777" w:rsidR="005443FE" w:rsidRPr="002B3F36" w:rsidRDefault="005443FE" w:rsidP="009B4CDB">
      <w:pPr>
        <w:widowControl/>
        <w:numPr>
          <w:ilvl w:val="1"/>
          <w:numId w:val="181"/>
        </w:numPr>
        <w:autoSpaceDE/>
        <w:autoSpaceDN/>
        <w:jc w:val="both"/>
        <w:rPr>
          <w:rFonts w:ascii="Arial" w:eastAsia="Times New Roman" w:hAnsi="Arial" w:cs="Arial"/>
          <w:sz w:val="24"/>
          <w:szCs w:val="24"/>
        </w:rPr>
      </w:pPr>
      <w:r w:rsidRPr="002B3F36">
        <w:rPr>
          <w:rFonts w:ascii="Arial" w:eastAsia="Times New Roman" w:hAnsi="Arial" w:cs="Arial"/>
          <w:sz w:val="24"/>
          <w:szCs w:val="24"/>
        </w:rPr>
        <w:t>Prohibit washing/refueling in water protection zones; manage wastewater and spills away from riverbeds.</w:t>
      </w:r>
    </w:p>
    <w:p w14:paraId="4535F4A1" w14:textId="77777777" w:rsidR="005443FE" w:rsidRPr="00A846C7" w:rsidRDefault="005443FE" w:rsidP="00701F4F">
      <w:pPr>
        <w:widowControl/>
        <w:autoSpaceDE/>
        <w:autoSpaceDN/>
        <w:spacing w:before="100" w:beforeAutospacing="1"/>
        <w:jc w:val="both"/>
        <w:rPr>
          <w:rFonts w:ascii="Arial" w:eastAsia="Times New Roman" w:hAnsi="Arial" w:cs="Arial"/>
          <w:sz w:val="24"/>
          <w:szCs w:val="24"/>
          <w:lang w:val="ru-RU"/>
        </w:rPr>
      </w:pPr>
      <w:r w:rsidRPr="002B3F36">
        <w:rPr>
          <w:rFonts w:ascii="Arial" w:eastAsia="Times New Roman" w:hAnsi="Arial" w:cs="Arial"/>
          <w:b/>
          <w:bCs/>
          <w:sz w:val="24"/>
          <w:szCs w:val="24"/>
        </w:rPr>
        <w:t>C. General Construction Controls</w:t>
      </w:r>
    </w:p>
    <w:p w14:paraId="41F6A4EC" w14:textId="77777777" w:rsidR="005443FE" w:rsidRPr="002B3F36" w:rsidRDefault="005443FE" w:rsidP="009B4CDB">
      <w:pPr>
        <w:widowControl/>
        <w:numPr>
          <w:ilvl w:val="0"/>
          <w:numId w:val="182"/>
        </w:numPr>
        <w:autoSpaceDE/>
        <w:autoSpaceDN/>
        <w:jc w:val="both"/>
        <w:rPr>
          <w:rFonts w:ascii="Arial" w:eastAsia="Times New Roman" w:hAnsi="Arial" w:cs="Arial"/>
          <w:sz w:val="24"/>
          <w:szCs w:val="24"/>
        </w:rPr>
      </w:pPr>
      <w:r w:rsidRPr="002B3F36">
        <w:rPr>
          <w:rFonts w:ascii="Arial" w:eastAsia="Times New Roman" w:hAnsi="Arial" w:cs="Arial"/>
          <w:sz w:val="24"/>
          <w:szCs w:val="24"/>
        </w:rPr>
        <w:t>Enforce a strict no-hunting, no-trapping, and no-harvesting policy for workers.</w:t>
      </w:r>
    </w:p>
    <w:p w14:paraId="2E21C2CF" w14:textId="77777777" w:rsidR="005443FE" w:rsidRPr="002B3F36" w:rsidRDefault="005443FE" w:rsidP="009B4CDB">
      <w:pPr>
        <w:widowControl/>
        <w:numPr>
          <w:ilvl w:val="0"/>
          <w:numId w:val="182"/>
        </w:numPr>
        <w:autoSpaceDE/>
        <w:autoSpaceDN/>
        <w:jc w:val="both"/>
        <w:rPr>
          <w:rFonts w:ascii="Arial" w:eastAsia="Times New Roman" w:hAnsi="Arial" w:cs="Arial"/>
          <w:sz w:val="24"/>
          <w:szCs w:val="24"/>
        </w:rPr>
      </w:pPr>
      <w:r w:rsidRPr="002B3F36">
        <w:rPr>
          <w:rFonts w:ascii="Arial" w:eastAsia="Times New Roman" w:hAnsi="Arial" w:cs="Arial"/>
          <w:sz w:val="24"/>
          <w:szCs w:val="24"/>
        </w:rPr>
        <w:t>Implement erosion, sediment, and spill prevention measures to protect habitats.</w:t>
      </w:r>
    </w:p>
    <w:p w14:paraId="603B4734" w14:textId="77777777" w:rsidR="005443FE" w:rsidRPr="002B3F36" w:rsidRDefault="005443FE" w:rsidP="009B4CDB">
      <w:pPr>
        <w:widowControl/>
        <w:numPr>
          <w:ilvl w:val="0"/>
          <w:numId w:val="182"/>
        </w:numPr>
        <w:autoSpaceDE/>
        <w:autoSpaceDN/>
        <w:jc w:val="both"/>
        <w:rPr>
          <w:rFonts w:ascii="Arial" w:eastAsia="Times New Roman" w:hAnsi="Arial" w:cs="Arial"/>
          <w:sz w:val="24"/>
          <w:szCs w:val="24"/>
        </w:rPr>
      </w:pPr>
      <w:r w:rsidRPr="002B3F36">
        <w:rPr>
          <w:rFonts w:ascii="Arial" w:eastAsia="Times New Roman" w:hAnsi="Arial" w:cs="Arial"/>
          <w:sz w:val="24"/>
          <w:szCs w:val="24"/>
        </w:rPr>
        <w:t>Locate temporary camps and workshops outside riparian protection zones.</w:t>
      </w:r>
    </w:p>
    <w:p w14:paraId="5D278515" w14:textId="77777777" w:rsidR="005443FE" w:rsidRPr="002B3F36" w:rsidRDefault="005443FE" w:rsidP="00701F4F">
      <w:pPr>
        <w:widowControl/>
        <w:autoSpaceDE/>
        <w:autoSpaceDN/>
        <w:spacing w:before="100" w:beforeAutospacing="1"/>
        <w:jc w:val="both"/>
        <w:rPr>
          <w:rFonts w:ascii="Arial" w:eastAsia="Times New Roman" w:hAnsi="Arial" w:cs="Arial"/>
          <w:b/>
          <w:bCs/>
          <w:sz w:val="24"/>
          <w:szCs w:val="24"/>
        </w:rPr>
      </w:pPr>
      <w:r w:rsidRPr="002B3F36">
        <w:rPr>
          <w:rFonts w:ascii="Arial" w:eastAsia="Times New Roman" w:hAnsi="Arial" w:cs="Arial"/>
          <w:b/>
          <w:bCs/>
          <w:sz w:val="24"/>
          <w:szCs w:val="24"/>
        </w:rPr>
        <w:t>D. Restoration &amp; Offsets</w:t>
      </w:r>
    </w:p>
    <w:p w14:paraId="502965BF" w14:textId="77777777" w:rsidR="005443FE" w:rsidRPr="002B3F36" w:rsidRDefault="005443FE" w:rsidP="009B4CDB">
      <w:pPr>
        <w:widowControl/>
        <w:numPr>
          <w:ilvl w:val="0"/>
          <w:numId w:val="183"/>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Progressive restoration of disturbed areas with salvaged topsoil and reseeding of native species.</w:t>
      </w:r>
    </w:p>
    <w:p w14:paraId="5F313889" w14:textId="77777777" w:rsidR="005443FE" w:rsidRPr="002B3F36" w:rsidRDefault="005443FE" w:rsidP="009B4CDB">
      <w:pPr>
        <w:widowControl/>
        <w:numPr>
          <w:ilvl w:val="0"/>
          <w:numId w:val="183"/>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Implement measurable vegetation recovery criteria (e.g., ≥70% cover within two growing seasons).</w:t>
      </w:r>
    </w:p>
    <w:p w14:paraId="7E52CC0A" w14:textId="1EB42BDE" w:rsidR="005443FE" w:rsidRPr="002B3F36" w:rsidRDefault="00DF0EA5" w:rsidP="137FACD7">
      <w:pPr>
        <w:widowControl/>
        <w:numPr>
          <w:ilvl w:val="0"/>
          <w:numId w:val="183"/>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Where natural habitats are confirmed, adopt a No Net Loss approach. Where Critical Habitats are confirmed, adopt a Net Gain approach. For both NNL and NG approaches, this includes use of possible biodiversity offsets (where residual impacts are significant) or additional conservation actions (where residual impacts are non-significant) developed in consultation with authorities/NGOs</w:t>
      </w:r>
      <w:r w:rsidR="005443FE" w:rsidRPr="002B3F36">
        <w:rPr>
          <w:rFonts w:ascii="Arial" w:eastAsia="Times New Roman" w:hAnsi="Arial" w:cs="Arial"/>
          <w:sz w:val="24"/>
          <w:szCs w:val="24"/>
        </w:rPr>
        <w:t>.</w:t>
      </w:r>
    </w:p>
    <w:p w14:paraId="496A8788" w14:textId="77777777" w:rsidR="005443FE" w:rsidRPr="002B3F36" w:rsidRDefault="005443FE" w:rsidP="00701F4F">
      <w:pPr>
        <w:widowControl/>
        <w:autoSpaceDE/>
        <w:autoSpaceDN/>
        <w:spacing w:before="100" w:beforeAutospacing="1"/>
        <w:jc w:val="both"/>
        <w:rPr>
          <w:rFonts w:ascii="Arial" w:eastAsia="Times New Roman" w:hAnsi="Arial" w:cs="Arial"/>
          <w:b/>
          <w:bCs/>
          <w:sz w:val="24"/>
          <w:szCs w:val="24"/>
        </w:rPr>
      </w:pPr>
      <w:r w:rsidRPr="002B3F36">
        <w:rPr>
          <w:rFonts w:ascii="Arial" w:eastAsia="Times New Roman" w:hAnsi="Arial" w:cs="Arial"/>
          <w:b/>
          <w:bCs/>
          <w:sz w:val="24"/>
          <w:szCs w:val="24"/>
        </w:rPr>
        <w:t>E. Monitoring &amp; Adaptive Management</w:t>
      </w:r>
    </w:p>
    <w:p w14:paraId="16DE3577" w14:textId="77777777" w:rsidR="005443FE" w:rsidRPr="002B3F36" w:rsidRDefault="005443FE" w:rsidP="009B4CDB">
      <w:pPr>
        <w:widowControl/>
        <w:numPr>
          <w:ilvl w:val="0"/>
          <w:numId w:val="184"/>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Conduct pre-construction biodiversity surveys to update species presence (e.g., nesting raptors, saiga routes, herpetofauna hotspots).</w:t>
      </w:r>
    </w:p>
    <w:p w14:paraId="65B5CD87" w14:textId="77777777" w:rsidR="005443FE" w:rsidRPr="002B3F36" w:rsidRDefault="005443FE" w:rsidP="009B4CDB">
      <w:pPr>
        <w:widowControl/>
        <w:numPr>
          <w:ilvl w:val="0"/>
          <w:numId w:val="184"/>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Monitor wildlife passage usage with camera traps and track pads; adapt fencing and crossing design if utilization is low.</w:t>
      </w:r>
    </w:p>
    <w:p w14:paraId="0A9A8FD5" w14:textId="77777777" w:rsidR="005443FE" w:rsidRPr="002B3F36" w:rsidRDefault="005443FE" w:rsidP="009B4CDB">
      <w:pPr>
        <w:widowControl/>
        <w:numPr>
          <w:ilvl w:val="0"/>
          <w:numId w:val="184"/>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Track revegetation success and invasive species control; adjust methods as needed.</w:t>
      </w:r>
    </w:p>
    <w:p w14:paraId="2AB2D286" w14:textId="740267FE" w:rsidR="00F61F8E" w:rsidRPr="002B3F36" w:rsidRDefault="005443FE" w:rsidP="009B4CDB">
      <w:pPr>
        <w:widowControl/>
        <w:numPr>
          <w:ilvl w:val="0"/>
          <w:numId w:val="184"/>
        </w:numPr>
        <w:autoSpaceDE/>
        <w:autoSpaceDN/>
        <w:spacing w:after="100" w:afterAutospacing="1"/>
        <w:jc w:val="both"/>
        <w:rPr>
          <w:rFonts w:ascii="Arial" w:eastAsia="Times New Roman" w:hAnsi="Arial" w:cs="Arial"/>
          <w:sz w:val="24"/>
          <w:szCs w:val="24"/>
        </w:rPr>
      </w:pPr>
      <w:r w:rsidRPr="002B3F36">
        <w:rPr>
          <w:rFonts w:ascii="Arial" w:eastAsia="Times New Roman" w:hAnsi="Arial" w:cs="Arial"/>
          <w:sz w:val="24"/>
          <w:szCs w:val="24"/>
        </w:rPr>
        <w:t>Report on biodiversity KPIs in monthly/quarterly ESMP monitoring, including nest occupancy, trench fauna rescue records, and saiga crossing effectiveness.</w:t>
      </w:r>
    </w:p>
    <w:p w14:paraId="294321E4" w14:textId="1309A722" w:rsidR="00F61F8E" w:rsidRPr="002B3F36" w:rsidRDefault="00DE0226" w:rsidP="00CF2CE2">
      <w:pPr>
        <w:pStyle w:val="CaptionTable"/>
        <w:rPr>
          <w:lang w:val="en-GB"/>
        </w:rPr>
      </w:pPr>
      <w:bookmarkStart w:id="2520" w:name="_Toc169094907"/>
      <w:bookmarkStart w:id="2521" w:name="_Toc210589581"/>
      <w:r w:rsidRPr="002B3F36">
        <w:t xml:space="preserve">Table </w:t>
      </w:r>
      <w:r w:rsidR="000A5768" w:rsidRPr="002B3F36">
        <w:rPr>
          <w:noProof/>
        </w:rPr>
        <w:fldChar w:fldCharType="begin"/>
      </w:r>
      <w:r w:rsidR="000A5768" w:rsidRPr="002B3F36">
        <w:rPr>
          <w:noProof/>
        </w:rPr>
        <w:instrText xml:space="preserve"> SEQ Table \* ARABIC </w:instrText>
      </w:r>
      <w:r w:rsidR="000A5768" w:rsidRPr="002B3F36">
        <w:rPr>
          <w:noProof/>
        </w:rPr>
        <w:fldChar w:fldCharType="separate"/>
      </w:r>
      <w:r w:rsidR="00A023DA">
        <w:rPr>
          <w:noProof/>
        </w:rPr>
        <w:t>37</w:t>
      </w:r>
      <w:r w:rsidR="000A5768" w:rsidRPr="002B3F36">
        <w:rPr>
          <w:noProof/>
        </w:rPr>
        <w:fldChar w:fldCharType="end"/>
      </w:r>
      <w:r w:rsidRPr="002B3F36">
        <w:t>: Flora and Fauna Measures</w:t>
      </w:r>
      <w:bookmarkEnd w:id="2520"/>
      <w:bookmarkEnd w:id="2521"/>
    </w:p>
    <w:tbl>
      <w:tblPr>
        <w:tblStyle w:val="af"/>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gridCol w:w="6877"/>
      </w:tblGrid>
      <w:tr w:rsidR="00F61F8E" w:rsidRPr="002B3F36" w14:paraId="163DA0F7" w14:textId="77777777" w:rsidTr="00DF0EA5">
        <w:trPr>
          <w:tblHeader/>
        </w:trPr>
        <w:tc>
          <w:tcPr>
            <w:tcW w:w="2838" w:type="dxa"/>
            <w:shd w:val="clear" w:color="auto" w:fill="F2F2F2" w:themeFill="background1" w:themeFillShade="F2"/>
            <w:hideMark/>
          </w:tcPr>
          <w:p w14:paraId="0F77FF0C" w14:textId="77777777" w:rsidR="00F61F8E" w:rsidRPr="002B3F36" w:rsidRDefault="000F264B" w:rsidP="00047090">
            <w:pPr>
              <w:jc w:val="center"/>
              <w:rPr>
                <w:rFonts w:ascii="Arial" w:hAnsi="Arial" w:cs="Arial"/>
                <w:b/>
              </w:rPr>
            </w:pPr>
            <w:r w:rsidRPr="002B3F36">
              <w:rPr>
                <w:rFonts w:ascii="Arial" w:hAnsi="Arial" w:cs="Arial"/>
                <w:b/>
              </w:rPr>
              <w:t>Kind of activity</w:t>
            </w:r>
          </w:p>
        </w:tc>
        <w:tc>
          <w:tcPr>
            <w:tcW w:w="6877" w:type="dxa"/>
            <w:shd w:val="clear" w:color="auto" w:fill="F2F2F2" w:themeFill="background1" w:themeFillShade="F2"/>
            <w:hideMark/>
          </w:tcPr>
          <w:p w14:paraId="09803353" w14:textId="77777777" w:rsidR="00F61F8E" w:rsidRPr="002B3F36" w:rsidRDefault="000F264B" w:rsidP="00047090">
            <w:pPr>
              <w:jc w:val="center"/>
              <w:rPr>
                <w:rFonts w:ascii="Arial" w:hAnsi="Arial" w:cs="Arial"/>
                <w:b/>
              </w:rPr>
            </w:pPr>
            <w:r w:rsidRPr="002B3F36">
              <w:rPr>
                <w:rFonts w:ascii="Arial" w:hAnsi="Arial" w:cs="Arial"/>
                <w:b/>
              </w:rPr>
              <w:t>Mitigation measures</w:t>
            </w:r>
          </w:p>
        </w:tc>
      </w:tr>
      <w:tr w:rsidR="00F61F8E" w:rsidRPr="002B3F36" w14:paraId="34DC0664" w14:textId="77777777">
        <w:tc>
          <w:tcPr>
            <w:tcW w:w="9715" w:type="dxa"/>
            <w:gridSpan w:val="2"/>
            <w:hideMark/>
          </w:tcPr>
          <w:p w14:paraId="5554E4D8" w14:textId="77777777" w:rsidR="00F61F8E" w:rsidRPr="002B3F36" w:rsidRDefault="000F264B">
            <w:pPr>
              <w:rPr>
                <w:rFonts w:ascii="Arial" w:hAnsi="Arial" w:cs="Arial"/>
                <w:b/>
              </w:rPr>
            </w:pPr>
            <w:r w:rsidRPr="002B3F36">
              <w:rPr>
                <w:rFonts w:ascii="Arial" w:hAnsi="Arial" w:cs="Arial"/>
                <w:b/>
              </w:rPr>
              <w:t>Flora</w:t>
            </w:r>
          </w:p>
        </w:tc>
      </w:tr>
      <w:tr w:rsidR="00F61F8E" w:rsidRPr="002B3F36" w14:paraId="57D06C2F" w14:textId="77777777">
        <w:tc>
          <w:tcPr>
            <w:tcW w:w="2838" w:type="dxa"/>
            <w:hideMark/>
          </w:tcPr>
          <w:p w14:paraId="77EDEE96" w14:textId="77777777" w:rsidR="00F61F8E" w:rsidRPr="002B3F36" w:rsidRDefault="000F264B">
            <w:pPr>
              <w:pStyle w:val="TextinTable"/>
              <w:spacing w:line="240" w:lineRule="auto"/>
              <w:rPr>
                <w:color w:val="auto"/>
                <w:sz w:val="20"/>
                <w:szCs w:val="20"/>
              </w:rPr>
            </w:pPr>
            <w:r w:rsidRPr="002B3F36">
              <w:rPr>
                <w:color w:val="auto"/>
                <w:sz w:val="20"/>
                <w:szCs w:val="20"/>
              </w:rPr>
              <w:t>Movement of construction equipment</w:t>
            </w:r>
          </w:p>
        </w:tc>
        <w:tc>
          <w:tcPr>
            <w:tcW w:w="6877" w:type="dxa"/>
            <w:hideMark/>
          </w:tcPr>
          <w:p w14:paraId="7DE6DC89" w14:textId="100BC21C" w:rsidR="00F61F8E" w:rsidRPr="002B3F36" w:rsidRDefault="000F264B">
            <w:pPr>
              <w:pStyle w:val="Dash"/>
              <w:spacing w:line="240" w:lineRule="auto"/>
              <w:rPr>
                <w:color w:val="auto"/>
                <w:sz w:val="20"/>
                <w:szCs w:val="20"/>
              </w:rPr>
            </w:pPr>
            <w:r w:rsidRPr="002B3F36">
              <w:rPr>
                <w:color w:val="auto"/>
                <w:sz w:val="20"/>
                <w:szCs w:val="20"/>
              </w:rPr>
              <w:t>Eliminate unauthorized passage of equipment through virgin lands, ensure passage along specially designated field r</w:t>
            </w:r>
            <w:r w:rsidR="00E63598" w:rsidRPr="002B3F36">
              <w:rPr>
                <w:color w:val="auto"/>
                <w:sz w:val="20"/>
                <w:szCs w:val="20"/>
              </w:rPr>
              <w:t>ailr</w:t>
            </w:r>
            <w:r w:rsidRPr="002B3F36">
              <w:rPr>
                <w:color w:val="auto"/>
                <w:sz w:val="20"/>
                <w:szCs w:val="20"/>
              </w:rPr>
              <w:t>oads with strict adherence to the work schedule</w:t>
            </w:r>
          </w:p>
          <w:p w14:paraId="1CA77147" w14:textId="77777777" w:rsidR="00F61F8E" w:rsidRPr="002B3F36" w:rsidRDefault="000F264B">
            <w:pPr>
              <w:pStyle w:val="Dash"/>
              <w:spacing w:line="240" w:lineRule="auto"/>
              <w:rPr>
                <w:color w:val="auto"/>
                <w:sz w:val="20"/>
                <w:szCs w:val="20"/>
              </w:rPr>
            </w:pPr>
            <w:r w:rsidRPr="002B3F36">
              <w:rPr>
                <w:color w:val="auto"/>
                <w:sz w:val="20"/>
                <w:szCs w:val="20"/>
              </w:rPr>
              <w:t>Eliminate the spilling of fuels and lubricants and building materials at the construction site</w:t>
            </w:r>
          </w:p>
          <w:p w14:paraId="5EB16DDC" w14:textId="0E95FA48" w:rsidR="00F61F8E" w:rsidRPr="002B3F36" w:rsidRDefault="000F264B">
            <w:pPr>
              <w:pStyle w:val="Dash"/>
              <w:spacing w:line="240" w:lineRule="auto"/>
              <w:rPr>
                <w:color w:val="auto"/>
                <w:sz w:val="20"/>
                <w:szCs w:val="20"/>
              </w:rPr>
            </w:pPr>
            <w:r w:rsidRPr="002B3F36">
              <w:rPr>
                <w:color w:val="auto"/>
                <w:sz w:val="20"/>
                <w:szCs w:val="20"/>
              </w:rPr>
              <w:t>Moistening of dusty surfaces of r</w:t>
            </w:r>
            <w:r w:rsidR="00E63598" w:rsidRPr="002B3F36">
              <w:rPr>
                <w:color w:val="auto"/>
                <w:sz w:val="20"/>
                <w:szCs w:val="20"/>
              </w:rPr>
              <w:t>ailr</w:t>
            </w:r>
            <w:r w:rsidRPr="002B3F36">
              <w:rPr>
                <w:color w:val="auto"/>
                <w:sz w:val="20"/>
                <w:szCs w:val="20"/>
              </w:rPr>
              <w:t xml:space="preserve">oads and warehouses of </w:t>
            </w:r>
            <w:r w:rsidR="00617D79" w:rsidRPr="002B3F36">
              <w:rPr>
                <w:color w:val="auto"/>
                <w:sz w:val="20"/>
                <w:szCs w:val="20"/>
              </w:rPr>
              <w:t xml:space="preserve">construction </w:t>
            </w:r>
            <w:r w:rsidRPr="002B3F36">
              <w:rPr>
                <w:color w:val="auto"/>
                <w:sz w:val="20"/>
                <w:szCs w:val="20"/>
              </w:rPr>
              <w:t xml:space="preserve"> materials</w:t>
            </w:r>
          </w:p>
        </w:tc>
      </w:tr>
      <w:tr w:rsidR="00F61F8E" w:rsidRPr="002B3F36" w14:paraId="2C3FE8E9" w14:textId="77777777">
        <w:tc>
          <w:tcPr>
            <w:tcW w:w="2838" w:type="dxa"/>
            <w:hideMark/>
          </w:tcPr>
          <w:p w14:paraId="71D32A0D" w14:textId="77777777" w:rsidR="00F61F8E" w:rsidRPr="002B3F36" w:rsidRDefault="000F264B">
            <w:pPr>
              <w:pStyle w:val="TextinTable"/>
              <w:spacing w:line="240" w:lineRule="auto"/>
              <w:rPr>
                <w:color w:val="auto"/>
                <w:sz w:val="20"/>
                <w:szCs w:val="20"/>
              </w:rPr>
            </w:pPr>
            <w:r w:rsidRPr="002B3F36">
              <w:rPr>
                <w:color w:val="auto"/>
                <w:sz w:val="20"/>
                <w:szCs w:val="20"/>
              </w:rPr>
              <w:t>Workers' activities</w:t>
            </w:r>
          </w:p>
        </w:tc>
        <w:tc>
          <w:tcPr>
            <w:tcW w:w="6877" w:type="dxa"/>
            <w:hideMark/>
          </w:tcPr>
          <w:p w14:paraId="4D0132E7" w14:textId="77777777" w:rsidR="00F61F8E" w:rsidRPr="002B3F36" w:rsidRDefault="000F264B">
            <w:pPr>
              <w:pStyle w:val="Dash"/>
              <w:spacing w:line="240" w:lineRule="auto"/>
              <w:rPr>
                <w:color w:val="auto"/>
                <w:sz w:val="20"/>
                <w:szCs w:val="20"/>
              </w:rPr>
            </w:pPr>
            <w:r w:rsidRPr="002B3F36">
              <w:rPr>
                <w:color w:val="auto"/>
                <w:sz w:val="20"/>
                <w:szCs w:val="20"/>
              </w:rPr>
              <w:t>Prohibition of burning dry grass</w:t>
            </w:r>
          </w:p>
          <w:p w14:paraId="420A9D43" w14:textId="77777777" w:rsidR="00F61F8E" w:rsidRPr="002B3F36" w:rsidRDefault="000F264B">
            <w:pPr>
              <w:pStyle w:val="Dash"/>
              <w:spacing w:line="240" w:lineRule="auto"/>
              <w:rPr>
                <w:color w:val="auto"/>
                <w:sz w:val="20"/>
                <w:szCs w:val="20"/>
              </w:rPr>
            </w:pPr>
            <w:r w:rsidRPr="002B3F36">
              <w:rPr>
                <w:color w:val="auto"/>
                <w:sz w:val="20"/>
                <w:szCs w:val="20"/>
              </w:rPr>
              <w:t>Prohibition of collecting wild berries and mushrooms</w:t>
            </w:r>
          </w:p>
        </w:tc>
      </w:tr>
      <w:tr w:rsidR="00F61F8E" w:rsidRPr="002B3F36" w14:paraId="0DA4F1F2" w14:textId="77777777">
        <w:tc>
          <w:tcPr>
            <w:tcW w:w="2838" w:type="dxa"/>
            <w:hideMark/>
          </w:tcPr>
          <w:p w14:paraId="2AD6F6C2" w14:textId="77777777" w:rsidR="00F61F8E" w:rsidRPr="002B3F36" w:rsidRDefault="000F264B">
            <w:pPr>
              <w:pStyle w:val="TextinTable"/>
              <w:spacing w:line="240" w:lineRule="auto"/>
              <w:rPr>
                <w:color w:val="auto"/>
                <w:sz w:val="20"/>
                <w:szCs w:val="20"/>
              </w:rPr>
            </w:pPr>
            <w:r w:rsidRPr="002B3F36">
              <w:rPr>
                <w:color w:val="auto"/>
                <w:sz w:val="20"/>
                <w:szCs w:val="20"/>
              </w:rPr>
              <w:t>Demolition of green trees</w:t>
            </w:r>
          </w:p>
        </w:tc>
        <w:tc>
          <w:tcPr>
            <w:tcW w:w="6877" w:type="dxa"/>
            <w:hideMark/>
          </w:tcPr>
          <w:p w14:paraId="13C5283A" w14:textId="77777777" w:rsidR="00F61F8E" w:rsidRPr="002B3F36" w:rsidRDefault="000F264B">
            <w:pPr>
              <w:rPr>
                <w:rFonts w:ascii="Arial" w:eastAsia="TimesNewRomanPSMT" w:hAnsi="Arial" w:cs="Arial"/>
              </w:rPr>
            </w:pPr>
            <w:r w:rsidRPr="002B3F36">
              <w:rPr>
                <w:rFonts w:ascii="Arial" w:eastAsia="TimesNewRomanPSMT" w:hAnsi="Arial" w:cs="Arial"/>
              </w:rPr>
              <w:t xml:space="preserve">According to paragraph 52 of the Rules for the maintenance and protection of green spaces, improvement of the territory of cities and settlements of the Karagandy region, approved by the Decision of the X session of the Karagandy maslikhat dated September 29, 2017 No. 222 - Upon receipt of permission to cut down trees, </w:t>
            </w:r>
            <w:r w:rsidRPr="002B3F36">
              <w:rPr>
                <w:rFonts w:ascii="Arial" w:eastAsia="TimesNewRomanPSMT" w:hAnsi="Arial" w:cs="Arial"/>
                <w:b/>
                <w:bCs/>
              </w:rPr>
              <w:t xml:space="preserve">compensatory planting of restored trees is carried out tenfold </w:t>
            </w:r>
            <w:r w:rsidRPr="002B3F36">
              <w:rPr>
                <w:rFonts w:ascii="Arial" w:eastAsia="TimesNewRomanPSMT" w:hAnsi="Arial" w:cs="Arial"/>
              </w:rPr>
              <w:t>at the expense of citizens and legal entities in whose interests the logging was carried out.</w:t>
            </w:r>
          </w:p>
        </w:tc>
      </w:tr>
      <w:tr w:rsidR="00F61F8E" w:rsidRPr="002B3F36" w14:paraId="0B376AED" w14:textId="77777777">
        <w:tc>
          <w:tcPr>
            <w:tcW w:w="9715" w:type="dxa"/>
            <w:gridSpan w:val="2"/>
            <w:hideMark/>
          </w:tcPr>
          <w:p w14:paraId="0BE27F39" w14:textId="77777777" w:rsidR="00F61F8E" w:rsidRPr="002B3F36" w:rsidRDefault="000F264B">
            <w:pPr>
              <w:rPr>
                <w:rFonts w:ascii="Arial" w:hAnsi="Arial" w:cs="Arial"/>
                <w:b/>
              </w:rPr>
            </w:pPr>
            <w:r w:rsidRPr="002B3F36">
              <w:rPr>
                <w:rFonts w:ascii="Arial" w:hAnsi="Arial" w:cs="Arial"/>
                <w:b/>
              </w:rPr>
              <w:t>Fauna</w:t>
            </w:r>
          </w:p>
        </w:tc>
      </w:tr>
      <w:tr w:rsidR="00F61F8E" w:rsidRPr="002B3F36" w14:paraId="73E2538F" w14:textId="77777777">
        <w:tc>
          <w:tcPr>
            <w:tcW w:w="9715" w:type="dxa"/>
            <w:gridSpan w:val="2"/>
            <w:hideMark/>
          </w:tcPr>
          <w:p w14:paraId="680DC8EE" w14:textId="77777777" w:rsidR="00F61F8E" w:rsidRPr="002B3F36" w:rsidRDefault="000F264B">
            <w:pPr>
              <w:ind w:firstLine="1328"/>
              <w:rPr>
                <w:rFonts w:ascii="Arial" w:hAnsi="Arial" w:cs="Arial"/>
                <w:b/>
                <w:i/>
              </w:rPr>
            </w:pPr>
            <w:r w:rsidRPr="002B3F36">
              <w:rPr>
                <w:rFonts w:ascii="Arial" w:hAnsi="Arial" w:cs="Arial"/>
                <w:b/>
                <w:i/>
              </w:rPr>
              <w:t>Birds (Aves)</w:t>
            </w:r>
          </w:p>
        </w:tc>
      </w:tr>
      <w:tr w:rsidR="00F61F8E" w:rsidRPr="002B3F36" w14:paraId="1F8717AC" w14:textId="77777777">
        <w:tc>
          <w:tcPr>
            <w:tcW w:w="2838" w:type="dxa"/>
            <w:hideMark/>
          </w:tcPr>
          <w:p w14:paraId="4CAC93E1" w14:textId="77777777" w:rsidR="00F61F8E" w:rsidRPr="002B3F36" w:rsidRDefault="000F264B">
            <w:pPr>
              <w:pStyle w:val="TextinTable"/>
              <w:spacing w:line="240" w:lineRule="auto"/>
              <w:rPr>
                <w:color w:val="auto"/>
                <w:sz w:val="20"/>
                <w:szCs w:val="20"/>
              </w:rPr>
            </w:pPr>
            <w:r w:rsidRPr="002B3F36">
              <w:rPr>
                <w:color w:val="auto"/>
                <w:sz w:val="20"/>
                <w:szCs w:val="20"/>
              </w:rPr>
              <w:t>Demolition of green trees</w:t>
            </w:r>
          </w:p>
        </w:tc>
        <w:tc>
          <w:tcPr>
            <w:tcW w:w="6877" w:type="dxa"/>
            <w:hideMark/>
          </w:tcPr>
          <w:p w14:paraId="13B1ED31" w14:textId="68DFA91D" w:rsidR="00F61F8E" w:rsidRPr="002B3F36" w:rsidRDefault="000F264B">
            <w:pPr>
              <w:pStyle w:val="Dash"/>
              <w:spacing w:line="240" w:lineRule="auto"/>
              <w:rPr>
                <w:color w:val="auto"/>
                <w:sz w:val="20"/>
                <w:szCs w:val="20"/>
              </w:rPr>
            </w:pPr>
            <w:r w:rsidRPr="002B3F36">
              <w:rPr>
                <w:color w:val="auto"/>
                <w:sz w:val="20"/>
                <w:szCs w:val="20"/>
              </w:rPr>
              <w:t xml:space="preserve">Carry out the tree plantings strictly before the settlement of nesting colonies by birds (rooks, raptors) - before the start of the nesting period. </w:t>
            </w:r>
            <w:r w:rsidRPr="002B3F36">
              <w:rPr>
                <w:b/>
                <w:bCs/>
                <w:color w:val="auto"/>
                <w:sz w:val="20"/>
                <w:szCs w:val="20"/>
              </w:rPr>
              <w:t>Avoid tree removal from April to August.</w:t>
            </w:r>
          </w:p>
          <w:p w14:paraId="2BE52B19" w14:textId="03B7282E" w:rsidR="00F61F8E" w:rsidRPr="002B3F36" w:rsidRDefault="000F264B">
            <w:pPr>
              <w:pStyle w:val="Dash"/>
              <w:spacing w:line="240" w:lineRule="auto"/>
              <w:rPr>
                <w:color w:val="auto"/>
                <w:sz w:val="20"/>
                <w:szCs w:val="20"/>
              </w:rPr>
            </w:pPr>
            <w:r w:rsidRPr="002B3F36">
              <w:rPr>
                <w:color w:val="auto"/>
                <w:sz w:val="20"/>
                <w:szCs w:val="20"/>
              </w:rPr>
              <w:lastRenderedPageBreak/>
              <w:t>To replace the demolished 4 nests of birds of prey, install artificial nests at a safe distance from the construction site (500 meters from the r</w:t>
            </w:r>
            <w:r w:rsidR="00E63598" w:rsidRPr="002B3F36">
              <w:rPr>
                <w:color w:val="auto"/>
                <w:sz w:val="20"/>
                <w:szCs w:val="20"/>
              </w:rPr>
              <w:t>ailr</w:t>
            </w:r>
            <w:r w:rsidRPr="002B3F36">
              <w:rPr>
                <w:color w:val="auto"/>
                <w:sz w:val="20"/>
                <w:szCs w:val="20"/>
              </w:rPr>
              <w:t>oad, but not less than 3-5 km from each other) in a 3-fold equivalent - for each demolished nest, 3 artificial nests.</w:t>
            </w:r>
          </w:p>
          <w:p w14:paraId="11B31DB3" w14:textId="5D7D788A" w:rsidR="00F61F8E" w:rsidRPr="002B3F36" w:rsidRDefault="000F264B">
            <w:pPr>
              <w:pStyle w:val="Dash"/>
              <w:spacing w:line="240" w:lineRule="auto"/>
              <w:rPr>
                <w:color w:val="auto"/>
                <w:sz w:val="20"/>
                <w:szCs w:val="20"/>
              </w:rPr>
            </w:pPr>
            <w:r w:rsidRPr="002B3F36">
              <w:rPr>
                <w:color w:val="auto"/>
                <w:sz w:val="20"/>
                <w:szCs w:val="20"/>
              </w:rPr>
              <w:t>Informing workers about the presence of breeding grounds for rare and endangered bird species on r</w:t>
            </w:r>
            <w:r w:rsidR="00E63598" w:rsidRPr="002B3F36">
              <w:rPr>
                <w:color w:val="auto"/>
                <w:sz w:val="20"/>
                <w:szCs w:val="20"/>
              </w:rPr>
              <w:t>ailr</w:t>
            </w:r>
            <w:r w:rsidRPr="002B3F36">
              <w:rPr>
                <w:color w:val="auto"/>
                <w:sz w:val="20"/>
                <w:szCs w:val="20"/>
              </w:rPr>
              <w:t>oad sections.</w:t>
            </w:r>
          </w:p>
        </w:tc>
      </w:tr>
      <w:tr w:rsidR="00F61F8E" w:rsidRPr="002B3F36" w14:paraId="5A1FA1D8" w14:textId="77777777">
        <w:tc>
          <w:tcPr>
            <w:tcW w:w="2838" w:type="dxa"/>
            <w:hideMark/>
          </w:tcPr>
          <w:p w14:paraId="1B34FF6B" w14:textId="77777777" w:rsidR="00F61F8E" w:rsidRPr="002B3F36" w:rsidRDefault="000F264B">
            <w:pPr>
              <w:pStyle w:val="TextinTable"/>
              <w:spacing w:line="240" w:lineRule="auto"/>
              <w:rPr>
                <w:color w:val="auto"/>
                <w:sz w:val="20"/>
                <w:szCs w:val="20"/>
              </w:rPr>
            </w:pPr>
            <w:r w:rsidRPr="002B3F36">
              <w:rPr>
                <w:color w:val="auto"/>
                <w:sz w:val="20"/>
                <w:szCs w:val="20"/>
              </w:rPr>
              <w:lastRenderedPageBreak/>
              <w:t>Lighting for construction sites and camps</w:t>
            </w:r>
          </w:p>
        </w:tc>
        <w:tc>
          <w:tcPr>
            <w:tcW w:w="6877" w:type="dxa"/>
            <w:hideMark/>
          </w:tcPr>
          <w:p w14:paraId="5B377393" w14:textId="77777777" w:rsidR="00F61F8E" w:rsidRPr="002B3F36" w:rsidRDefault="000F264B">
            <w:pPr>
              <w:rPr>
                <w:rFonts w:ascii="Arial" w:eastAsia="TimesNewRomanPSMT" w:hAnsi="Arial" w:cs="Arial"/>
              </w:rPr>
            </w:pPr>
            <w:r w:rsidRPr="002B3F36">
              <w:rPr>
                <w:rFonts w:ascii="Arial" w:eastAsia="TimesNewRomanPSMT" w:hAnsi="Arial" w:cs="Arial"/>
              </w:rPr>
              <w:t>Using strictly directional lighting on objects that need illumination and avoiding the use of lamps that provide omnidirectional lighting, including “upwards”, which creates “stray illumination”.</w:t>
            </w:r>
          </w:p>
          <w:p w14:paraId="7959C815" w14:textId="77777777" w:rsidR="00F61F8E" w:rsidRPr="002B3F36" w:rsidRDefault="000F264B">
            <w:pPr>
              <w:rPr>
                <w:rFonts w:ascii="Arial" w:eastAsia="TimesNewRomanPSMT" w:hAnsi="Arial" w:cs="Arial"/>
              </w:rPr>
            </w:pPr>
            <w:r w:rsidRPr="002B3F36">
              <w:rPr>
                <w:rFonts w:ascii="Arial" w:eastAsia="TimesNewRomanPSMT" w:hAnsi="Arial" w:cs="Arial"/>
              </w:rPr>
              <w:t>The use of specialized lenses for lighting fixtures that promote maximum light scattering over the entire surface.</w:t>
            </w:r>
          </w:p>
          <w:p w14:paraId="045DCD3C" w14:textId="77777777" w:rsidR="00F61F8E" w:rsidRPr="002B3F36" w:rsidRDefault="000F264B">
            <w:pPr>
              <w:pStyle w:val="Bullet"/>
              <w:rPr>
                <w:color w:val="auto"/>
                <w:sz w:val="20"/>
                <w:szCs w:val="20"/>
              </w:rPr>
            </w:pPr>
            <w:r w:rsidRPr="002B3F36">
              <w:rPr>
                <w:color w:val="auto"/>
                <w:sz w:val="20"/>
                <w:szCs w:val="20"/>
              </w:rPr>
              <w:t>The use of LED lamps for external lighting of the main designed objects.</w:t>
            </w:r>
          </w:p>
          <w:p w14:paraId="1D97372A" w14:textId="77777777" w:rsidR="00F61F8E" w:rsidRPr="002B3F36" w:rsidRDefault="000F264B">
            <w:pPr>
              <w:pStyle w:val="Bullet"/>
              <w:rPr>
                <w:color w:val="auto"/>
                <w:sz w:val="20"/>
                <w:szCs w:val="20"/>
              </w:rPr>
            </w:pPr>
            <w:r w:rsidRPr="002B3F36">
              <w:rPr>
                <w:color w:val="auto"/>
                <w:sz w:val="20"/>
                <w:szCs w:val="20"/>
              </w:rPr>
              <w:t>Using infrared motion sensors to control lighting.</w:t>
            </w:r>
          </w:p>
          <w:p w14:paraId="4D2BFADB" w14:textId="77777777" w:rsidR="00F61F8E" w:rsidRPr="002B3F36" w:rsidRDefault="000F264B">
            <w:pPr>
              <w:pStyle w:val="Bullet"/>
              <w:rPr>
                <w:color w:val="auto"/>
                <w:sz w:val="20"/>
                <w:szCs w:val="20"/>
              </w:rPr>
            </w:pPr>
            <w:r w:rsidRPr="002B3F36">
              <w:rPr>
                <w:color w:val="auto"/>
                <w:sz w:val="20"/>
                <w:szCs w:val="20"/>
              </w:rPr>
              <w:t>Usage "ground" lighting sources near office and residential buildings.</w:t>
            </w:r>
          </w:p>
          <w:p w14:paraId="2B439108" w14:textId="77777777" w:rsidR="00F61F8E" w:rsidRPr="002B3F36" w:rsidRDefault="000F264B">
            <w:pPr>
              <w:rPr>
                <w:rFonts w:ascii="Arial" w:hAnsi="Arial" w:cs="Arial"/>
              </w:rPr>
            </w:pPr>
            <w:r w:rsidRPr="002B3F36">
              <w:rPr>
                <w:rFonts w:ascii="Arial" w:eastAsia="TimesNewRomanPSMT" w:hAnsi="Arial" w:cs="Arial"/>
              </w:rPr>
              <w:t>It is recommended to develop a schedule for turning off “extra” lighting sources during the periods of spring and autumn bird migrations. The schedule should be based on the shutdown of those sources outdoor lighting that is not strictly necessary during the construction and operation of main facilities and related infrastructure - for example, architectural lighting fixtures for buildings, decorative lamps, festive illumination, etc.</w:t>
            </w:r>
          </w:p>
        </w:tc>
      </w:tr>
      <w:tr w:rsidR="00F61F8E" w:rsidRPr="002B3F36" w14:paraId="6BA273B7" w14:textId="77777777">
        <w:tc>
          <w:tcPr>
            <w:tcW w:w="9715" w:type="dxa"/>
            <w:gridSpan w:val="2"/>
            <w:hideMark/>
          </w:tcPr>
          <w:p w14:paraId="0A90AF51" w14:textId="77777777" w:rsidR="00F61F8E" w:rsidRPr="002B3F36" w:rsidRDefault="000F264B">
            <w:pPr>
              <w:ind w:firstLine="1328"/>
              <w:rPr>
                <w:rFonts w:ascii="Arial" w:hAnsi="Arial" w:cs="Arial"/>
                <w:b/>
                <w:i/>
              </w:rPr>
            </w:pPr>
            <w:r w:rsidRPr="002B3F36">
              <w:rPr>
                <w:rFonts w:ascii="Arial" w:hAnsi="Arial" w:cs="Arial"/>
                <w:b/>
                <w:i/>
              </w:rPr>
              <w:t>Reptiles (Reptilia)</w:t>
            </w:r>
          </w:p>
        </w:tc>
      </w:tr>
      <w:tr w:rsidR="00F61F8E" w:rsidRPr="002B3F36" w14:paraId="037D5485" w14:textId="77777777">
        <w:tc>
          <w:tcPr>
            <w:tcW w:w="2838" w:type="dxa"/>
            <w:hideMark/>
          </w:tcPr>
          <w:p w14:paraId="523E23A6" w14:textId="77777777" w:rsidR="00F61F8E" w:rsidRPr="002B3F36" w:rsidRDefault="000F264B">
            <w:pPr>
              <w:pStyle w:val="TextinTable"/>
              <w:spacing w:line="240" w:lineRule="auto"/>
              <w:rPr>
                <w:color w:val="auto"/>
                <w:sz w:val="20"/>
                <w:szCs w:val="20"/>
              </w:rPr>
            </w:pPr>
            <w:r w:rsidRPr="002B3F36">
              <w:rPr>
                <w:color w:val="auto"/>
                <w:sz w:val="20"/>
                <w:szCs w:val="20"/>
              </w:rPr>
              <w:t>Construction work (all)</w:t>
            </w:r>
          </w:p>
        </w:tc>
        <w:tc>
          <w:tcPr>
            <w:tcW w:w="6877" w:type="dxa"/>
          </w:tcPr>
          <w:p w14:paraId="34EA6DFF" w14:textId="7108F78C" w:rsidR="00F61F8E" w:rsidRPr="002B3F36" w:rsidRDefault="000F264B">
            <w:pPr>
              <w:pStyle w:val="Dash"/>
              <w:spacing w:line="240" w:lineRule="auto"/>
              <w:rPr>
                <w:color w:val="auto"/>
                <w:sz w:val="20"/>
                <w:szCs w:val="20"/>
              </w:rPr>
            </w:pPr>
            <w:r w:rsidRPr="002B3F36">
              <w:rPr>
                <w:color w:val="auto"/>
                <w:sz w:val="20"/>
                <w:szCs w:val="20"/>
              </w:rPr>
              <w:t>The work schedule must be coordinated in accordance with the breeding season of reptiles - April-</w:t>
            </w:r>
            <w:r w:rsidR="00850BD8" w:rsidRPr="002B3F36">
              <w:rPr>
                <w:color w:val="auto"/>
                <w:sz w:val="20"/>
                <w:szCs w:val="20"/>
              </w:rPr>
              <w:t>May.</w:t>
            </w:r>
          </w:p>
          <w:p w14:paraId="208AAF8C" w14:textId="77777777" w:rsidR="00F61F8E" w:rsidRPr="002B3F36" w:rsidRDefault="00F61F8E">
            <w:pPr>
              <w:rPr>
                <w:rFonts w:ascii="Arial" w:hAnsi="Arial" w:cs="Arial"/>
              </w:rPr>
            </w:pPr>
          </w:p>
        </w:tc>
      </w:tr>
      <w:tr w:rsidR="00F61F8E" w:rsidRPr="002B3F36" w14:paraId="70DCE643" w14:textId="77777777">
        <w:tc>
          <w:tcPr>
            <w:tcW w:w="2838" w:type="dxa"/>
            <w:hideMark/>
          </w:tcPr>
          <w:p w14:paraId="7A2030CE" w14:textId="77777777" w:rsidR="00F61F8E" w:rsidRPr="002B3F36" w:rsidRDefault="000F264B">
            <w:pPr>
              <w:pStyle w:val="TextinTable"/>
              <w:spacing w:line="240" w:lineRule="auto"/>
              <w:rPr>
                <w:color w:val="auto"/>
                <w:sz w:val="20"/>
                <w:szCs w:val="20"/>
              </w:rPr>
            </w:pPr>
            <w:r w:rsidRPr="002B3F36">
              <w:rPr>
                <w:color w:val="auto"/>
                <w:sz w:val="20"/>
                <w:szCs w:val="20"/>
              </w:rPr>
              <w:t>Creation of temporary technological ditches and pits</w:t>
            </w:r>
          </w:p>
        </w:tc>
        <w:tc>
          <w:tcPr>
            <w:tcW w:w="6877" w:type="dxa"/>
            <w:hideMark/>
          </w:tcPr>
          <w:p w14:paraId="3FFD3B68" w14:textId="77777777" w:rsidR="00F61F8E" w:rsidRPr="002B3F36" w:rsidRDefault="000F264B">
            <w:pPr>
              <w:pStyle w:val="Dash"/>
              <w:spacing w:line="240" w:lineRule="auto"/>
              <w:rPr>
                <w:color w:val="auto"/>
                <w:sz w:val="20"/>
                <w:szCs w:val="20"/>
              </w:rPr>
            </w:pPr>
            <w:r w:rsidRPr="002B3F36">
              <w:rPr>
                <w:color w:val="auto"/>
                <w:sz w:val="20"/>
                <w:szCs w:val="20"/>
              </w:rPr>
              <w:t>If it is necessary to create temporary technological ditches, it is necessary to inspect them daily, removing reptiles that have fallen into them and transferring them to a safe place</w:t>
            </w:r>
          </w:p>
        </w:tc>
      </w:tr>
      <w:tr w:rsidR="00F61F8E" w:rsidRPr="002B3F36" w14:paraId="2749EB90" w14:textId="77777777">
        <w:tc>
          <w:tcPr>
            <w:tcW w:w="9715" w:type="dxa"/>
            <w:gridSpan w:val="2"/>
            <w:hideMark/>
          </w:tcPr>
          <w:p w14:paraId="657A7E3E" w14:textId="77777777" w:rsidR="00F61F8E" w:rsidRPr="002B3F36" w:rsidRDefault="000F264B">
            <w:pPr>
              <w:ind w:firstLine="1328"/>
              <w:rPr>
                <w:rFonts w:ascii="Arial" w:hAnsi="Arial" w:cs="Arial"/>
                <w:b/>
                <w:i/>
              </w:rPr>
            </w:pPr>
            <w:r w:rsidRPr="002B3F36">
              <w:rPr>
                <w:rFonts w:ascii="Arial" w:hAnsi="Arial" w:cs="Arial"/>
                <w:b/>
                <w:i/>
              </w:rPr>
              <w:t>Mammals (Mammalia)</w:t>
            </w:r>
          </w:p>
        </w:tc>
      </w:tr>
      <w:tr w:rsidR="00F61F8E" w:rsidRPr="002B3F36" w14:paraId="7380679A" w14:textId="77777777">
        <w:tc>
          <w:tcPr>
            <w:tcW w:w="2838" w:type="dxa"/>
            <w:hideMark/>
          </w:tcPr>
          <w:p w14:paraId="59DEC163" w14:textId="437B0059" w:rsidR="00F61F8E" w:rsidRPr="002B3F36" w:rsidRDefault="000F264B">
            <w:pPr>
              <w:pStyle w:val="TextinTable"/>
              <w:spacing w:line="240" w:lineRule="auto"/>
              <w:rPr>
                <w:color w:val="auto"/>
                <w:sz w:val="20"/>
                <w:szCs w:val="20"/>
              </w:rPr>
            </w:pPr>
            <w:r w:rsidRPr="002B3F36">
              <w:rPr>
                <w:color w:val="auto"/>
                <w:sz w:val="20"/>
                <w:szCs w:val="20"/>
              </w:rPr>
              <w:t>R</w:t>
            </w:r>
            <w:r w:rsidR="00E63598" w:rsidRPr="002B3F36">
              <w:rPr>
                <w:color w:val="auto"/>
                <w:sz w:val="20"/>
                <w:szCs w:val="20"/>
              </w:rPr>
              <w:t>ailr</w:t>
            </w:r>
            <w:r w:rsidRPr="002B3F36">
              <w:rPr>
                <w:color w:val="auto"/>
                <w:sz w:val="20"/>
                <w:szCs w:val="20"/>
              </w:rPr>
              <w:t>oad operation</w:t>
            </w:r>
          </w:p>
        </w:tc>
        <w:tc>
          <w:tcPr>
            <w:tcW w:w="6877" w:type="dxa"/>
            <w:hideMark/>
          </w:tcPr>
          <w:p w14:paraId="51ADD725" w14:textId="42E12FD1" w:rsidR="00F61F8E" w:rsidRPr="002B3F36" w:rsidRDefault="000F264B">
            <w:pPr>
              <w:pStyle w:val="Dash"/>
              <w:spacing w:line="240" w:lineRule="auto"/>
              <w:rPr>
                <w:color w:val="auto"/>
                <w:sz w:val="20"/>
                <w:szCs w:val="20"/>
              </w:rPr>
            </w:pPr>
            <w:r w:rsidRPr="002B3F36">
              <w:rPr>
                <w:color w:val="auto"/>
                <w:sz w:val="20"/>
                <w:szCs w:val="20"/>
              </w:rPr>
              <w:t>Flat/smoothed side slope of the embankment – The slope of the embankment will be changed to a flatter slope of approximately 1:6 to even 1:10 (compared to a normal 1:4 embankment) to facilitate the movement of wildlife</w:t>
            </w:r>
          </w:p>
          <w:p w14:paraId="15237AAA" w14:textId="187BFD3C" w:rsidR="00F61F8E" w:rsidRPr="002B3F36" w:rsidRDefault="000F264B">
            <w:pPr>
              <w:pStyle w:val="Dash"/>
              <w:spacing w:line="240" w:lineRule="auto"/>
              <w:rPr>
                <w:color w:val="auto"/>
                <w:sz w:val="20"/>
                <w:szCs w:val="20"/>
              </w:rPr>
            </w:pPr>
            <w:r w:rsidRPr="002B3F36">
              <w:rPr>
                <w:color w:val="auto"/>
                <w:sz w:val="20"/>
                <w:szCs w:val="20"/>
              </w:rPr>
              <w:t xml:space="preserve">Mesh fencing – </w:t>
            </w:r>
            <w:r w:rsidR="00617D79" w:rsidRPr="002B3F36">
              <w:rPr>
                <w:color w:val="auto"/>
                <w:sz w:val="20"/>
                <w:szCs w:val="20"/>
              </w:rPr>
              <w:t>For most of the stretch of the sections of the railroad</w:t>
            </w:r>
            <w:r w:rsidRPr="002B3F36">
              <w:rPr>
                <w:color w:val="auto"/>
                <w:sz w:val="20"/>
                <w:szCs w:val="20"/>
              </w:rPr>
              <w:t>, mesh fencing will be installed on both sides, with the exception of animal crossings (saiga), the distance between which is approximately 2 km. Reinforced mesh barriers should be installed along the edges of passages.</w:t>
            </w:r>
          </w:p>
          <w:p w14:paraId="0D258588" w14:textId="622A803A" w:rsidR="00F61F8E" w:rsidRPr="002B3F36" w:rsidRDefault="000F264B">
            <w:pPr>
              <w:pStyle w:val="Dash"/>
              <w:spacing w:line="240" w:lineRule="auto"/>
              <w:rPr>
                <w:color w:val="auto"/>
                <w:sz w:val="20"/>
                <w:szCs w:val="20"/>
              </w:rPr>
            </w:pPr>
            <w:r w:rsidRPr="002B3F36">
              <w:rPr>
                <w:color w:val="auto"/>
                <w:sz w:val="20"/>
                <w:szCs w:val="20"/>
              </w:rPr>
              <w:t>R</w:t>
            </w:r>
            <w:r w:rsidR="00850BD8" w:rsidRPr="002B3F36">
              <w:rPr>
                <w:color w:val="auto"/>
                <w:sz w:val="20"/>
                <w:szCs w:val="20"/>
              </w:rPr>
              <w:t>ailr</w:t>
            </w:r>
            <w:r w:rsidRPr="002B3F36">
              <w:rPr>
                <w:color w:val="auto"/>
                <w:sz w:val="20"/>
                <w:szCs w:val="20"/>
              </w:rPr>
              <w:t xml:space="preserve">oad signs – Signage, as part of management measures, should be installed at the start of animal crossings to alert </w:t>
            </w:r>
            <w:r w:rsidR="00344D9A" w:rsidRPr="002B3F36">
              <w:rPr>
                <w:color w:val="auto"/>
                <w:sz w:val="20"/>
                <w:szCs w:val="20"/>
              </w:rPr>
              <w:t>train operators</w:t>
            </w:r>
            <w:r w:rsidRPr="002B3F36">
              <w:rPr>
                <w:color w:val="auto"/>
                <w:sz w:val="20"/>
                <w:szCs w:val="20"/>
              </w:rPr>
              <w:t xml:space="preserve"> to crossing areas. Signage should consist of: (i) warning signs in Kazakh and Russian with the words “CAUTION! Possible crossing of wild animals! Be careful! (ii) Signs for crossing the saiga road, speed limit not exceeding 60 km/h and prohibition to the sound of </w:t>
            </w:r>
            <w:r w:rsidR="00344D9A" w:rsidRPr="002B3F36">
              <w:rPr>
                <w:color w:val="auto"/>
                <w:sz w:val="20"/>
                <w:szCs w:val="20"/>
              </w:rPr>
              <w:t xml:space="preserve">locomotive </w:t>
            </w:r>
            <w:r w:rsidRPr="002B3F36">
              <w:rPr>
                <w:color w:val="auto"/>
                <w:sz w:val="20"/>
                <w:szCs w:val="20"/>
              </w:rPr>
              <w:t>horns, as this may shock the animals and cause panic and chaotic scattering</w:t>
            </w:r>
          </w:p>
        </w:tc>
      </w:tr>
      <w:tr w:rsidR="00F61F8E" w:rsidRPr="002B3F36" w14:paraId="26CDE8E2" w14:textId="77777777">
        <w:tc>
          <w:tcPr>
            <w:tcW w:w="9715" w:type="dxa"/>
            <w:gridSpan w:val="2"/>
            <w:hideMark/>
          </w:tcPr>
          <w:p w14:paraId="20137DCD" w14:textId="77777777" w:rsidR="00F61F8E" w:rsidRPr="002B3F36" w:rsidRDefault="000F264B">
            <w:pPr>
              <w:ind w:firstLine="1328"/>
              <w:rPr>
                <w:rFonts w:ascii="Arial" w:hAnsi="Arial" w:cs="Arial"/>
                <w:b/>
                <w:i/>
              </w:rPr>
            </w:pPr>
            <w:r w:rsidRPr="002B3F36">
              <w:rPr>
                <w:rFonts w:ascii="Arial" w:hAnsi="Arial" w:cs="Arial"/>
                <w:b/>
                <w:i/>
              </w:rPr>
              <w:t>Fishes (Pisces) and Amphibians (Amphibia)</w:t>
            </w:r>
          </w:p>
        </w:tc>
      </w:tr>
      <w:tr w:rsidR="00F61F8E" w:rsidRPr="002B3F36" w14:paraId="546E2E35" w14:textId="77777777">
        <w:tc>
          <w:tcPr>
            <w:tcW w:w="2838" w:type="dxa"/>
            <w:hideMark/>
          </w:tcPr>
          <w:p w14:paraId="446BDD8C" w14:textId="77777777" w:rsidR="00F61F8E" w:rsidRPr="002B3F36" w:rsidRDefault="000F264B">
            <w:pPr>
              <w:pStyle w:val="TextinTable"/>
              <w:spacing w:line="240" w:lineRule="auto"/>
              <w:rPr>
                <w:color w:val="auto"/>
                <w:sz w:val="20"/>
                <w:szCs w:val="20"/>
              </w:rPr>
            </w:pPr>
            <w:r w:rsidRPr="002B3F36">
              <w:rPr>
                <w:color w:val="auto"/>
                <w:sz w:val="20"/>
                <w:szCs w:val="20"/>
              </w:rPr>
              <w:t>Water intake from rivers</w:t>
            </w:r>
          </w:p>
        </w:tc>
        <w:tc>
          <w:tcPr>
            <w:tcW w:w="6877" w:type="dxa"/>
          </w:tcPr>
          <w:p w14:paraId="791F2D94" w14:textId="77777777" w:rsidR="00F61F8E" w:rsidRPr="002B3F36" w:rsidRDefault="000F264B">
            <w:pPr>
              <w:pStyle w:val="Dash"/>
              <w:spacing w:line="240" w:lineRule="auto"/>
              <w:rPr>
                <w:color w:val="auto"/>
                <w:sz w:val="20"/>
                <w:szCs w:val="20"/>
              </w:rPr>
            </w:pPr>
            <w:r w:rsidRPr="002B3F36">
              <w:rPr>
                <w:color w:val="auto"/>
                <w:sz w:val="20"/>
                <w:szCs w:val="20"/>
              </w:rPr>
              <w:t>Installation of fish protection devices</w:t>
            </w:r>
          </w:p>
          <w:p w14:paraId="3C249248" w14:textId="77777777" w:rsidR="00F61F8E" w:rsidRPr="002B3F36" w:rsidRDefault="000F264B">
            <w:pPr>
              <w:pStyle w:val="Dash"/>
              <w:spacing w:line="240" w:lineRule="auto"/>
              <w:rPr>
                <w:color w:val="auto"/>
                <w:sz w:val="20"/>
                <w:szCs w:val="20"/>
              </w:rPr>
            </w:pPr>
            <w:r w:rsidRPr="002B3F36">
              <w:rPr>
                <w:color w:val="auto"/>
                <w:sz w:val="20"/>
                <w:szCs w:val="20"/>
              </w:rPr>
              <w:t>When choosing a water intake site, the following conditions should be taken into account:</w:t>
            </w:r>
          </w:p>
          <w:p w14:paraId="620CB663" w14:textId="692A12CD" w:rsidR="00F61F8E" w:rsidRPr="002B3F36" w:rsidRDefault="000F264B" w:rsidP="009B4CDB">
            <w:pPr>
              <w:pStyle w:val="a0"/>
              <w:numPr>
                <w:ilvl w:val="0"/>
                <w:numId w:val="75"/>
              </w:numPr>
              <w:tabs>
                <w:tab w:val="clear" w:pos="0"/>
                <w:tab w:val="clear" w:pos="540"/>
                <w:tab w:val="clear" w:pos="542"/>
              </w:tabs>
              <w:ind w:left="309" w:right="4" w:hanging="284"/>
              <w:rPr>
                <w:color w:val="auto"/>
                <w:sz w:val="20"/>
                <w:szCs w:val="20"/>
              </w:rPr>
            </w:pPr>
            <w:r w:rsidRPr="002B3F36">
              <w:rPr>
                <w:color w:val="auto"/>
                <w:sz w:val="20"/>
                <w:szCs w:val="20"/>
              </w:rPr>
              <w:t xml:space="preserve">1. Do not place the water intake in areas of spawning grounds or wintering </w:t>
            </w:r>
            <w:r w:rsidR="00850BD8" w:rsidRPr="002B3F36">
              <w:rPr>
                <w:color w:val="auto"/>
                <w:sz w:val="20"/>
                <w:szCs w:val="20"/>
              </w:rPr>
              <w:t xml:space="preserve">       </w:t>
            </w:r>
            <w:r w:rsidRPr="002B3F36">
              <w:rPr>
                <w:color w:val="auto"/>
                <w:sz w:val="20"/>
                <w:szCs w:val="20"/>
              </w:rPr>
              <w:t>pits;</w:t>
            </w:r>
          </w:p>
          <w:p w14:paraId="1CBDD2D4" w14:textId="77777777" w:rsidR="00F61F8E" w:rsidRPr="002B3F36" w:rsidRDefault="000F264B" w:rsidP="009B4CDB">
            <w:pPr>
              <w:pStyle w:val="a0"/>
              <w:numPr>
                <w:ilvl w:val="0"/>
                <w:numId w:val="75"/>
              </w:numPr>
              <w:tabs>
                <w:tab w:val="clear" w:pos="0"/>
                <w:tab w:val="clear" w:pos="540"/>
                <w:tab w:val="clear" w:pos="542"/>
                <w:tab w:val="left" w:pos="309"/>
              </w:tabs>
              <w:ind w:left="309" w:right="4" w:hanging="309"/>
              <w:rPr>
                <w:color w:val="auto"/>
                <w:sz w:val="20"/>
                <w:szCs w:val="20"/>
              </w:rPr>
            </w:pPr>
            <w:r w:rsidRPr="002B3F36">
              <w:rPr>
                <w:color w:val="auto"/>
                <w:sz w:val="20"/>
                <w:szCs w:val="20"/>
              </w:rPr>
              <w:t>2. Limit water intake in feeding areas of juveniles and on their migration routes;</w:t>
            </w:r>
          </w:p>
          <w:p w14:paraId="76EBF04A" w14:textId="18096065" w:rsidR="00F61F8E" w:rsidRPr="002B3F36" w:rsidRDefault="000F264B" w:rsidP="009B4CDB">
            <w:pPr>
              <w:pStyle w:val="a0"/>
              <w:numPr>
                <w:ilvl w:val="0"/>
                <w:numId w:val="75"/>
              </w:numPr>
              <w:tabs>
                <w:tab w:val="clear" w:pos="540"/>
                <w:tab w:val="clear" w:pos="542"/>
              </w:tabs>
              <w:ind w:right="4"/>
            </w:pPr>
            <w:r w:rsidRPr="002B3F36">
              <w:rPr>
                <w:color w:val="auto"/>
                <w:sz w:val="20"/>
                <w:szCs w:val="20"/>
              </w:rPr>
              <w:t>3. Limitation of water intake during twilight and night time.</w:t>
            </w:r>
          </w:p>
        </w:tc>
      </w:tr>
      <w:tr w:rsidR="00F61F8E" w:rsidRPr="002B3F36" w14:paraId="05F89A1A" w14:textId="77777777">
        <w:tc>
          <w:tcPr>
            <w:tcW w:w="2838" w:type="dxa"/>
            <w:hideMark/>
          </w:tcPr>
          <w:p w14:paraId="21EF93AD" w14:textId="77777777" w:rsidR="00F61F8E" w:rsidRPr="002B3F36" w:rsidRDefault="000F264B">
            <w:pPr>
              <w:pStyle w:val="TextinTable"/>
              <w:spacing w:line="240" w:lineRule="auto"/>
              <w:rPr>
                <w:color w:val="auto"/>
                <w:sz w:val="20"/>
                <w:szCs w:val="20"/>
              </w:rPr>
            </w:pPr>
            <w:r w:rsidRPr="002B3F36">
              <w:rPr>
                <w:color w:val="auto"/>
                <w:sz w:val="20"/>
                <w:szCs w:val="20"/>
              </w:rPr>
              <w:t>Construction technological processes</w:t>
            </w:r>
          </w:p>
        </w:tc>
        <w:tc>
          <w:tcPr>
            <w:tcW w:w="6877" w:type="dxa"/>
            <w:hideMark/>
          </w:tcPr>
          <w:p w14:paraId="7F012750" w14:textId="77777777" w:rsidR="00F61F8E" w:rsidRPr="002B3F36" w:rsidRDefault="000F264B">
            <w:pPr>
              <w:pStyle w:val="Dash"/>
              <w:spacing w:line="240" w:lineRule="auto"/>
              <w:rPr>
                <w:color w:val="auto"/>
                <w:sz w:val="20"/>
                <w:szCs w:val="20"/>
              </w:rPr>
            </w:pPr>
            <w:r w:rsidRPr="002B3F36">
              <w:rPr>
                <w:color w:val="auto"/>
                <w:sz w:val="20"/>
                <w:szCs w:val="20"/>
              </w:rPr>
              <w:t>Prohibition of washing equipment in water protection zones and river strips</w:t>
            </w:r>
          </w:p>
          <w:p w14:paraId="6A4E359A" w14:textId="77777777" w:rsidR="00F61F8E" w:rsidRPr="002B3F36" w:rsidRDefault="000F264B">
            <w:pPr>
              <w:pStyle w:val="Dash"/>
              <w:spacing w:line="240" w:lineRule="auto"/>
              <w:rPr>
                <w:color w:val="auto"/>
                <w:sz w:val="20"/>
                <w:szCs w:val="20"/>
              </w:rPr>
            </w:pPr>
            <w:r w:rsidRPr="002B3F36">
              <w:rPr>
                <w:color w:val="auto"/>
                <w:sz w:val="20"/>
                <w:szCs w:val="20"/>
              </w:rPr>
              <w:t>A ban on refueling fuels and lubricants, preventing spills during construction work.</w:t>
            </w:r>
          </w:p>
          <w:p w14:paraId="556B336E" w14:textId="77777777" w:rsidR="00F61F8E" w:rsidRPr="002B3F36" w:rsidRDefault="000F264B">
            <w:pPr>
              <w:pStyle w:val="Dash"/>
              <w:spacing w:line="240" w:lineRule="auto"/>
              <w:rPr>
                <w:color w:val="auto"/>
                <w:sz w:val="20"/>
                <w:szCs w:val="20"/>
              </w:rPr>
            </w:pPr>
            <w:r w:rsidRPr="002B3F36">
              <w:rPr>
                <w:color w:val="auto"/>
                <w:sz w:val="20"/>
                <w:szCs w:val="20"/>
              </w:rPr>
              <w:t>Organization of timely removal of solid waste from construction crews.</w:t>
            </w:r>
          </w:p>
          <w:p w14:paraId="0CA0DEAD" w14:textId="77777777" w:rsidR="00F61F8E" w:rsidRPr="002B3F36" w:rsidRDefault="000F264B">
            <w:pPr>
              <w:pStyle w:val="Dash"/>
              <w:spacing w:line="240" w:lineRule="auto"/>
              <w:rPr>
                <w:color w:val="auto"/>
                <w:sz w:val="20"/>
                <w:szCs w:val="20"/>
              </w:rPr>
            </w:pPr>
            <w:r w:rsidRPr="002B3F36">
              <w:rPr>
                <w:color w:val="auto"/>
                <w:sz w:val="20"/>
                <w:szCs w:val="20"/>
              </w:rPr>
              <w:lastRenderedPageBreak/>
              <w:t>Construction of temporary household premises outside water protection zones and strips</w:t>
            </w:r>
          </w:p>
          <w:p w14:paraId="128B52EA" w14:textId="77777777" w:rsidR="00F61F8E" w:rsidRPr="002B3F36" w:rsidRDefault="000F264B">
            <w:pPr>
              <w:pStyle w:val="Dash"/>
              <w:spacing w:line="240" w:lineRule="auto"/>
              <w:rPr>
                <w:color w:val="auto"/>
                <w:sz w:val="20"/>
                <w:szCs w:val="20"/>
              </w:rPr>
            </w:pPr>
            <w:r w:rsidRPr="002B3F36">
              <w:rPr>
                <w:color w:val="auto"/>
                <w:sz w:val="20"/>
                <w:szCs w:val="20"/>
              </w:rPr>
              <w:t>Prohibition of draining wastewater into riverbeds</w:t>
            </w:r>
          </w:p>
        </w:tc>
      </w:tr>
    </w:tbl>
    <w:p w14:paraId="2D3C88AD" w14:textId="77777777" w:rsidR="00F61F8E" w:rsidRPr="002B3F36" w:rsidRDefault="00F61F8E">
      <w:pPr>
        <w:rPr>
          <w:rFonts w:ascii="Arial" w:hAnsi="Arial" w:cs="Arial"/>
          <w:lang w:val="en-GB"/>
        </w:rPr>
      </w:pPr>
    </w:p>
    <w:p w14:paraId="0654154A" w14:textId="1F4EDD61" w:rsidR="00F61F8E" w:rsidRPr="002B3F36" w:rsidRDefault="000F264B" w:rsidP="009B4CDB">
      <w:pPr>
        <w:pStyle w:val="41"/>
        <w:numPr>
          <w:ilvl w:val="3"/>
          <w:numId w:val="177"/>
        </w:numPr>
        <w:ind w:left="900"/>
        <w:rPr>
          <w:lang w:val="en-GB"/>
        </w:rPr>
      </w:pPr>
      <w:bookmarkStart w:id="2522" w:name="_Toc169094795"/>
      <w:bookmarkStart w:id="2523" w:name="_Toc208973879"/>
      <w:bookmarkStart w:id="2524" w:name="_Toc208974079"/>
      <w:bookmarkStart w:id="2525" w:name="_Toc208974279"/>
      <w:bookmarkStart w:id="2526" w:name="_Toc208974482"/>
      <w:bookmarkStart w:id="2527" w:name="_Toc208974685"/>
      <w:bookmarkStart w:id="2528" w:name="_Toc210589521"/>
      <w:r w:rsidRPr="002B3F36">
        <w:rPr>
          <w:lang w:val="en-GB"/>
        </w:rPr>
        <w:t>Biodiversity and Protected Areas</w:t>
      </w:r>
      <w:bookmarkEnd w:id="2522"/>
      <w:bookmarkEnd w:id="2523"/>
      <w:bookmarkEnd w:id="2524"/>
      <w:bookmarkEnd w:id="2525"/>
      <w:bookmarkEnd w:id="2526"/>
      <w:bookmarkEnd w:id="2527"/>
      <w:bookmarkEnd w:id="2528"/>
      <w:r w:rsidRPr="002B3F36">
        <w:rPr>
          <w:lang w:val="en-GB"/>
        </w:rPr>
        <w:t xml:space="preserve"> </w:t>
      </w:r>
    </w:p>
    <w:p w14:paraId="530F2404" w14:textId="4004DC68" w:rsidR="00850BD8" w:rsidRPr="002B3F36" w:rsidRDefault="40D49374" w:rsidP="134BB072">
      <w:pPr>
        <w:pStyle w:val="ReportBodyTextNogap"/>
        <w:numPr>
          <w:ilvl w:val="0"/>
          <w:numId w:val="224"/>
        </w:numPr>
        <w:rPr>
          <w:rFonts w:eastAsia="Verdana"/>
          <w:b/>
          <w:bCs/>
          <w:lang w:eastAsia="en-US"/>
        </w:rPr>
      </w:pPr>
      <w:r w:rsidRPr="002B3F36">
        <w:rPr>
          <w:rFonts w:eastAsia="Verdana"/>
          <w:b/>
          <w:bCs/>
          <w:lang w:eastAsia="en-US"/>
        </w:rPr>
        <w:t>Important</w:t>
      </w:r>
      <w:r w:rsidR="3EAF3AE7" w:rsidRPr="002B3F36">
        <w:rPr>
          <w:rFonts w:eastAsia="Verdana"/>
          <w:b/>
          <w:bCs/>
          <w:lang w:eastAsia="en-US"/>
        </w:rPr>
        <w:t xml:space="preserve"> Bird Areas</w:t>
      </w:r>
    </w:p>
    <w:p w14:paraId="06E582A7" w14:textId="77777777" w:rsidR="00850BD8" w:rsidRPr="002B3F36" w:rsidRDefault="00850BD8" w:rsidP="00850BD8">
      <w:pPr>
        <w:pStyle w:val="ReportBodyPar"/>
      </w:pPr>
    </w:p>
    <w:p w14:paraId="2DD1E1F0" w14:textId="15884D76" w:rsidR="00850BD8" w:rsidRPr="002B3F36" w:rsidRDefault="00850BD8" w:rsidP="00850BD8">
      <w:pPr>
        <w:pStyle w:val="ReportBodyPar"/>
      </w:pPr>
      <w:r w:rsidRPr="002B3F36">
        <w:t xml:space="preserve">The </w:t>
      </w:r>
      <w:r w:rsidR="003650DB" w:rsidRPr="002B3F36">
        <w:t xml:space="preserve">Mointy – Kyzylzhar </w:t>
      </w:r>
      <w:r w:rsidRPr="002B3F36">
        <w:t xml:space="preserve">railway section intersects two Important Bird Areas (IBAs): the Ortav Lowlands and Ayak-Bestau; which are recognized as critical habitats under </w:t>
      </w:r>
      <w:r w:rsidR="00163238" w:rsidRPr="002B3F36">
        <w:t>WB PS</w:t>
      </w:r>
      <w:r w:rsidRPr="002B3F36">
        <w:t>6, due to their importance for migratory and breeding birds of prey, steppe specialists, and wetland-dependent species. Construction and operational activities in these zones could disrupt biodiversity connectivity, habitat integrity, and ecosystem services, triggering the need for strict PS6 compliant mitigation measures to avoid significant impact</w:t>
      </w:r>
    </w:p>
    <w:p w14:paraId="67D5808A" w14:textId="77777777" w:rsidR="00850BD8" w:rsidRPr="002B3F36" w:rsidRDefault="00850BD8" w:rsidP="00850BD8">
      <w:pPr>
        <w:pStyle w:val="ReportBodyPar"/>
      </w:pPr>
    </w:p>
    <w:p w14:paraId="04B10B7F" w14:textId="77777777" w:rsidR="00850BD8" w:rsidRPr="002B3F36" w:rsidRDefault="00850BD8" w:rsidP="00850BD8">
      <w:pPr>
        <w:pStyle w:val="DiaList12"/>
        <w:rPr>
          <w:rFonts w:eastAsia="SimSun"/>
          <w:lang w:val="en-PH"/>
        </w:rPr>
      </w:pPr>
      <w:r w:rsidRPr="002B3F36">
        <w:rPr>
          <w:rFonts w:eastAsia="SimSun"/>
          <w:lang w:val="en-PH"/>
        </w:rPr>
        <w:t>Origin of Impact</w:t>
      </w:r>
    </w:p>
    <w:p w14:paraId="466B153D" w14:textId="77777777" w:rsidR="00850BD8" w:rsidRPr="002B3F36" w:rsidRDefault="00850BD8" w:rsidP="00850BD8">
      <w:pPr>
        <w:pStyle w:val="ReportBodyPar"/>
        <w:rPr>
          <w:lang w:val="en-PH"/>
        </w:rPr>
      </w:pPr>
      <w:r w:rsidRPr="002B3F36">
        <w:rPr>
          <w:lang w:val="en-PH"/>
        </w:rPr>
        <w:t>Serving as key ecological sites, these IBAs support nesting, foraging, and migration of endangered raptors, steppe avifauna, and wetland-dependent species recognized by the IUCN Red List and covered under Kazakhstan’s biodiversity conservation obligations. Potential impacts may originate from:</w:t>
      </w:r>
    </w:p>
    <w:p w14:paraId="151AA4FF" w14:textId="77777777" w:rsidR="00850BD8" w:rsidRPr="002B3F36" w:rsidRDefault="00850BD8" w:rsidP="009B4CDB">
      <w:pPr>
        <w:pStyle w:val="DiaList12"/>
        <w:numPr>
          <w:ilvl w:val="1"/>
          <w:numId w:val="39"/>
        </w:numPr>
        <w:rPr>
          <w:b w:val="0"/>
          <w:bCs/>
        </w:rPr>
      </w:pPr>
      <w:r w:rsidRPr="002B3F36">
        <w:rPr>
          <w:bCs/>
        </w:rPr>
        <w:t>Habitat loss and degradation</w:t>
      </w:r>
      <w:r w:rsidRPr="002B3F36">
        <w:rPr>
          <w:b w:val="0"/>
          <w:bCs/>
        </w:rPr>
        <w:t xml:space="preserve"> due to railway embankment construction, access roads, and auxiliary facilities.</w:t>
      </w:r>
    </w:p>
    <w:p w14:paraId="3A388A54" w14:textId="77777777" w:rsidR="00850BD8" w:rsidRPr="002B3F36" w:rsidRDefault="00850BD8" w:rsidP="009B4CDB">
      <w:pPr>
        <w:pStyle w:val="DiaList12"/>
        <w:numPr>
          <w:ilvl w:val="1"/>
          <w:numId w:val="39"/>
        </w:numPr>
        <w:rPr>
          <w:b w:val="0"/>
          <w:bCs/>
        </w:rPr>
      </w:pPr>
      <w:r w:rsidRPr="002B3F36">
        <w:rPr>
          <w:bCs/>
        </w:rPr>
        <w:t>Disturbance to nesting and migratory birds</w:t>
      </w:r>
      <w:r w:rsidRPr="002B3F36">
        <w:rPr>
          <w:b w:val="0"/>
          <w:bCs/>
        </w:rPr>
        <w:t xml:space="preserve"> from noise, vibration, lighting, and increased human presence.</w:t>
      </w:r>
    </w:p>
    <w:p w14:paraId="261F7B21" w14:textId="77777777" w:rsidR="00850BD8" w:rsidRPr="002B3F36" w:rsidRDefault="00850BD8" w:rsidP="009B4CDB">
      <w:pPr>
        <w:pStyle w:val="DiaList12"/>
        <w:numPr>
          <w:ilvl w:val="1"/>
          <w:numId w:val="39"/>
        </w:numPr>
        <w:rPr>
          <w:b w:val="0"/>
          <w:bCs/>
        </w:rPr>
      </w:pPr>
      <w:r w:rsidRPr="002B3F36">
        <w:rPr>
          <w:bCs/>
        </w:rPr>
        <w:t>Collision and electrocution</w:t>
      </w:r>
      <w:r w:rsidRPr="002B3F36">
        <w:rPr>
          <w:b w:val="0"/>
          <w:bCs/>
        </w:rPr>
        <w:t xml:space="preserve"> risks from train movement and associated power infrastructure.</w:t>
      </w:r>
    </w:p>
    <w:p w14:paraId="20C366D3" w14:textId="77777777" w:rsidR="00850BD8" w:rsidRPr="002B3F36" w:rsidRDefault="00850BD8" w:rsidP="009B4CDB">
      <w:pPr>
        <w:pStyle w:val="DiaList12"/>
        <w:numPr>
          <w:ilvl w:val="1"/>
          <w:numId w:val="39"/>
        </w:numPr>
        <w:rPr>
          <w:b w:val="0"/>
          <w:bCs/>
        </w:rPr>
      </w:pPr>
      <w:r w:rsidRPr="002B3F36">
        <w:rPr>
          <w:bCs/>
        </w:rPr>
        <w:t>Fragmentation and barrier effects</w:t>
      </w:r>
      <w:r w:rsidRPr="002B3F36">
        <w:rPr>
          <w:b w:val="0"/>
          <w:bCs/>
        </w:rPr>
        <w:t xml:space="preserve"> reducing ecological connectivity between critical habitats.</w:t>
      </w:r>
    </w:p>
    <w:p w14:paraId="034C6B39" w14:textId="77777777" w:rsidR="00850BD8" w:rsidRPr="002B3F36" w:rsidRDefault="00850BD8" w:rsidP="009B4CDB">
      <w:pPr>
        <w:pStyle w:val="DiaList12"/>
        <w:numPr>
          <w:ilvl w:val="1"/>
          <w:numId w:val="39"/>
        </w:numPr>
        <w:rPr>
          <w:b w:val="0"/>
          <w:bCs/>
        </w:rPr>
      </w:pPr>
      <w:r w:rsidRPr="002B3F36">
        <w:rPr>
          <w:bCs/>
        </w:rPr>
        <w:t>Pollution and hydrological alteration</w:t>
      </w:r>
      <w:r w:rsidRPr="002B3F36">
        <w:rPr>
          <w:b w:val="0"/>
          <w:bCs/>
        </w:rPr>
        <w:t xml:space="preserve"> affecting wetlands and steppe ecosystems through runoff, sedimentation, or accidental spills.</w:t>
      </w:r>
    </w:p>
    <w:p w14:paraId="25BA1086" w14:textId="77777777" w:rsidR="00850BD8" w:rsidRPr="002B3F36" w:rsidRDefault="00850BD8" w:rsidP="00850BD8">
      <w:pPr>
        <w:pStyle w:val="ReportBodyPar"/>
        <w:rPr>
          <w:lang w:val="en-PH"/>
        </w:rPr>
      </w:pPr>
    </w:p>
    <w:p w14:paraId="6E189B9A" w14:textId="77777777" w:rsidR="00850BD8" w:rsidRPr="002B3F36" w:rsidRDefault="00850BD8" w:rsidP="00850BD8">
      <w:pPr>
        <w:pStyle w:val="ReportBodyPar"/>
        <w:rPr>
          <w:lang w:val="en-PH"/>
        </w:rPr>
      </w:pPr>
      <w:r w:rsidRPr="002B3F36">
        <w:rPr>
          <w:lang w:val="en-PH"/>
        </w:rPr>
        <w:t xml:space="preserve">Given the ecological significance of these IBAs, project activities in these areas require strict adherence to </w:t>
      </w:r>
      <w:r w:rsidRPr="002B3F36">
        <w:rPr>
          <w:bCs/>
          <w:lang w:val="en-PH"/>
        </w:rPr>
        <w:t>PS6 mitigation hierarchy</w:t>
      </w:r>
      <w:r w:rsidRPr="002B3F36">
        <w:rPr>
          <w:lang w:val="en-PH"/>
        </w:rPr>
        <w:t xml:space="preserve"> principles (</w:t>
      </w:r>
      <w:r w:rsidRPr="002B3F36">
        <w:rPr>
          <w:bCs/>
          <w:lang w:val="en-PH"/>
        </w:rPr>
        <w:t>avoidance, minimization, restoration, and biodiversity offsets where necessary</w:t>
      </w:r>
      <w:r w:rsidRPr="002B3F36">
        <w:rPr>
          <w:lang w:val="en-PH"/>
        </w:rPr>
        <w:t xml:space="preserve">) to ensure </w:t>
      </w:r>
      <w:r w:rsidRPr="002B3F36">
        <w:rPr>
          <w:bCs/>
          <w:lang w:val="en-PH"/>
        </w:rPr>
        <w:t>no net loss</w:t>
      </w:r>
      <w:r w:rsidRPr="002B3F36">
        <w:rPr>
          <w:lang w:val="en-PH"/>
        </w:rPr>
        <w:t xml:space="preserve"> and, where feasible, </w:t>
      </w:r>
      <w:r w:rsidRPr="002B3F36">
        <w:rPr>
          <w:bCs/>
          <w:lang w:val="en-PH"/>
        </w:rPr>
        <w:t>net gains in critical habitat values</w:t>
      </w:r>
      <w:r w:rsidRPr="002B3F36">
        <w:rPr>
          <w:lang w:val="en-PH"/>
        </w:rPr>
        <w:t>.</w:t>
      </w:r>
    </w:p>
    <w:p w14:paraId="41165942" w14:textId="77777777" w:rsidR="00850BD8" w:rsidRPr="002B3F36" w:rsidRDefault="00850BD8" w:rsidP="00850BD8">
      <w:pPr>
        <w:jc w:val="both"/>
        <w:rPr>
          <w:rFonts w:ascii="Arial" w:eastAsia="SimSun" w:hAnsi="Arial" w:cs="Arial"/>
          <w:sz w:val="24"/>
          <w:szCs w:val="24"/>
          <w:lang w:val="en-PH"/>
        </w:rPr>
      </w:pPr>
    </w:p>
    <w:p w14:paraId="116B0BA0" w14:textId="77777777" w:rsidR="00850BD8" w:rsidRPr="002B3F36" w:rsidRDefault="00850BD8" w:rsidP="009B4CDB">
      <w:pPr>
        <w:pStyle w:val="ReportBodyTextNogap"/>
        <w:numPr>
          <w:ilvl w:val="0"/>
          <w:numId w:val="224"/>
        </w:numPr>
        <w:rPr>
          <w:rFonts w:eastAsia="Verdana"/>
          <w:b/>
          <w:lang w:eastAsia="en-US"/>
        </w:rPr>
      </w:pPr>
      <w:r w:rsidRPr="002B3F36">
        <w:rPr>
          <w:rFonts w:eastAsia="Verdana"/>
          <w:b/>
          <w:lang w:eastAsia="en-US"/>
        </w:rPr>
        <w:t xml:space="preserve">Andasai Nature Sanctuary </w:t>
      </w:r>
    </w:p>
    <w:p w14:paraId="52A9BA03" w14:textId="29106CE1" w:rsidR="00850BD8" w:rsidRPr="002B3F36" w:rsidRDefault="00850BD8" w:rsidP="00850BD8">
      <w:pPr>
        <w:pStyle w:val="ReportBodyTextNogap"/>
        <w:rPr>
          <w:rFonts w:eastAsia="Verdana"/>
          <w:lang w:eastAsia="en-US"/>
        </w:rPr>
      </w:pPr>
      <w:r w:rsidRPr="002B3F36">
        <w:rPr>
          <w:rFonts w:eastAsia="Verdana"/>
          <w:lang w:eastAsia="en-US"/>
        </w:rPr>
        <w:t xml:space="preserve">The railway corridor intersects </w:t>
      </w:r>
      <w:r w:rsidRPr="002B3F36">
        <w:rPr>
          <w:rFonts w:eastAsia="Verdana"/>
          <w:b/>
          <w:lang w:eastAsia="en-US"/>
        </w:rPr>
        <w:t>C</w:t>
      </w:r>
      <w:r w:rsidRPr="002B3F36">
        <w:rPr>
          <w:rFonts w:eastAsia="Verdana"/>
          <w:b/>
          <w:bCs/>
          <w:lang w:eastAsia="en-US"/>
        </w:rPr>
        <w:t>luster 2 of the Andasai State Nature Sanctuary</w:t>
      </w:r>
      <w:r w:rsidRPr="002B3F36">
        <w:rPr>
          <w:rFonts w:eastAsia="Verdana"/>
          <w:lang w:eastAsia="en-US"/>
        </w:rPr>
        <w:t xml:space="preserve">. All project activities by KTZ, the Contractor, and subcontractors must comply with SPNA legal protections and permit conditions, and be consistent with </w:t>
      </w:r>
      <w:r w:rsidR="00163238" w:rsidRPr="002B3F36">
        <w:rPr>
          <w:rFonts w:eastAsia="Verdana"/>
          <w:lang w:eastAsia="en-US"/>
        </w:rPr>
        <w:t>WB PS</w:t>
      </w:r>
      <w:r w:rsidRPr="002B3F36">
        <w:rPr>
          <w:rFonts w:eastAsia="Verdana"/>
          <w:lang w:eastAsia="en-US"/>
        </w:rPr>
        <w:t>6. The ESIA biodiversity assessment, supported by field surveys and stakeholder consultations, focused on habitat sensitivity, species of concern (including migration routes), and feasible avoidance/ minimization measures.</w:t>
      </w:r>
    </w:p>
    <w:p w14:paraId="36893A0A" w14:textId="77777777" w:rsidR="005443FE" w:rsidRPr="002B3F36" w:rsidRDefault="005443FE" w:rsidP="00CE31E8">
      <w:pPr>
        <w:pStyle w:val="ReportBodyTextNogap"/>
        <w:rPr>
          <w:lang w:val="en-GB"/>
        </w:rPr>
      </w:pPr>
    </w:p>
    <w:p w14:paraId="34F02313" w14:textId="77777777" w:rsidR="00F61F8E" w:rsidRPr="002B3F36" w:rsidRDefault="000F264B" w:rsidP="00CE31E8">
      <w:pPr>
        <w:pStyle w:val="DiaList12"/>
        <w:rPr>
          <w:rFonts w:eastAsia="SimSun"/>
          <w:lang w:val="en-PH"/>
        </w:rPr>
      </w:pPr>
      <w:r w:rsidRPr="002B3F36">
        <w:rPr>
          <w:rFonts w:eastAsia="SimSun"/>
          <w:lang w:val="en-PH"/>
        </w:rPr>
        <w:t>Origin of Impact</w:t>
      </w:r>
    </w:p>
    <w:p w14:paraId="0314FE6C" w14:textId="73FCEB31" w:rsidR="005443FE" w:rsidRPr="002B3F36" w:rsidRDefault="005443FE" w:rsidP="009B4CDB">
      <w:pPr>
        <w:pStyle w:val="DiaList12"/>
        <w:numPr>
          <w:ilvl w:val="1"/>
          <w:numId w:val="39"/>
        </w:numPr>
      </w:pPr>
      <w:r w:rsidRPr="002B3F36">
        <w:rPr>
          <w:bCs/>
        </w:rPr>
        <w:t>Species and movements.</w:t>
      </w:r>
      <w:r w:rsidRPr="002B3F36">
        <w:t xml:space="preserve"> </w:t>
      </w:r>
      <w:r w:rsidRPr="002B3F36">
        <w:rPr>
          <w:b w:val="0"/>
        </w:rPr>
        <w:t xml:space="preserve">The alignment lies within the migratory range of the southern Betpak-dala </w:t>
      </w:r>
      <w:r w:rsidRPr="002B3F36">
        <w:rPr>
          <w:b w:val="0"/>
          <w:bCs/>
        </w:rPr>
        <w:t>saiga</w:t>
      </w:r>
      <w:r w:rsidRPr="002B3F36">
        <w:rPr>
          <w:b w:val="0"/>
        </w:rPr>
        <w:t xml:space="preserve"> population and overlaps ranges/records of </w:t>
      </w:r>
      <w:r w:rsidRPr="002B3F36">
        <w:rPr>
          <w:b w:val="0"/>
          <w:bCs/>
        </w:rPr>
        <w:t>argali (Ovis ammon)</w:t>
      </w:r>
      <w:r w:rsidRPr="002B3F36">
        <w:rPr>
          <w:b w:val="0"/>
        </w:rPr>
        <w:t xml:space="preserve">, </w:t>
      </w:r>
      <w:r w:rsidRPr="002B3F36">
        <w:rPr>
          <w:b w:val="0"/>
          <w:bCs/>
        </w:rPr>
        <w:t>golden eagle</w:t>
      </w:r>
      <w:r w:rsidRPr="002B3F36">
        <w:rPr>
          <w:b w:val="0"/>
        </w:rPr>
        <w:t xml:space="preserve">, </w:t>
      </w:r>
      <w:r w:rsidRPr="002B3F36">
        <w:rPr>
          <w:b w:val="0"/>
          <w:bCs/>
        </w:rPr>
        <w:t>steppe eagle</w:t>
      </w:r>
      <w:r w:rsidRPr="002B3F36">
        <w:rPr>
          <w:b w:val="0"/>
        </w:rPr>
        <w:t xml:space="preserve">, </w:t>
      </w:r>
      <w:r w:rsidRPr="002B3F36">
        <w:rPr>
          <w:b w:val="0"/>
          <w:bCs/>
        </w:rPr>
        <w:t>imperial eagle</w:t>
      </w:r>
      <w:r w:rsidRPr="002B3F36">
        <w:rPr>
          <w:b w:val="0"/>
        </w:rPr>
        <w:t xml:space="preserve">, </w:t>
      </w:r>
      <w:r w:rsidRPr="002B3F36">
        <w:rPr>
          <w:b w:val="0"/>
          <w:bCs/>
        </w:rPr>
        <w:t>bustard</w:t>
      </w:r>
      <w:r w:rsidRPr="002B3F36">
        <w:rPr>
          <w:b w:val="0"/>
        </w:rPr>
        <w:t xml:space="preserve">, and </w:t>
      </w:r>
      <w:r w:rsidRPr="002B3F36">
        <w:rPr>
          <w:b w:val="0"/>
          <w:bCs/>
        </w:rPr>
        <w:t>little bustard</w:t>
      </w:r>
      <w:r w:rsidRPr="002B3F36">
        <w:rPr>
          <w:b w:val="0"/>
        </w:rPr>
        <w:t xml:space="preserve">. According to the provided data, saiga and argali are </w:t>
      </w:r>
      <w:r w:rsidRPr="002B3F36">
        <w:rPr>
          <w:b w:val="0"/>
          <w:bCs/>
        </w:rPr>
        <w:t>IUCN NT (Near Threatened)</w:t>
      </w:r>
      <w:r w:rsidRPr="002B3F36">
        <w:rPr>
          <w:b w:val="0"/>
        </w:rPr>
        <w:t xml:space="preserve">; several raptors are listed in the </w:t>
      </w:r>
      <w:r w:rsidRPr="002B3F36">
        <w:rPr>
          <w:b w:val="0"/>
          <w:bCs/>
        </w:rPr>
        <w:t>Red Book of Kazakhstan</w:t>
      </w:r>
      <w:r w:rsidRPr="002B3F36">
        <w:rPr>
          <w:b w:val="0"/>
        </w:rPr>
        <w:t>.</w:t>
      </w:r>
    </w:p>
    <w:p w14:paraId="57713167" w14:textId="1B7858A1" w:rsidR="005443FE" w:rsidRPr="002B3F36" w:rsidRDefault="005443FE" w:rsidP="009B4CDB">
      <w:pPr>
        <w:pStyle w:val="DiaList12"/>
        <w:numPr>
          <w:ilvl w:val="1"/>
          <w:numId w:val="39"/>
        </w:numPr>
      </w:pPr>
      <w:r w:rsidRPr="002B3F36">
        <w:rPr>
          <w:bCs/>
        </w:rPr>
        <w:lastRenderedPageBreak/>
        <w:t>Protected-area constraints.</w:t>
      </w:r>
      <w:r w:rsidRPr="002B3F36">
        <w:t xml:space="preserve"> </w:t>
      </w:r>
      <w:r w:rsidRPr="002B3F36">
        <w:rPr>
          <w:b w:val="0"/>
        </w:rPr>
        <w:t>The Andasai SPNA imposes restrictions on land use, vegetation removal, traffic, lighting, waste and hazardous materials management, and off-road access—directly influencing construction methods and logistics.</w:t>
      </w:r>
    </w:p>
    <w:p w14:paraId="2C8110CB" w14:textId="5D69AD8F" w:rsidR="005443FE" w:rsidRPr="002B3F36" w:rsidRDefault="005443FE" w:rsidP="009B4CDB">
      <w:pPr>
        <w:pStyle w:val="DiaList12"/>
        <w:numPr>
          <w:ilvl w:val="1"/>
          <w:numId w:val="39"/>
        </w:numPr>
        <w:rPr>
          <w:b w:val="0"/>
        </w:rPr>
      </w:pPr>
      <w:r w:rsidRPr="002B3F36">
        <w:rPr>
          <w:bCs/>
        </w:rPr>
        <w:t>Construction and auxiliaries.</w:t>
      </w:r>
      <w:r w:rsidRPr="002B3F36">
        <w:t xml:space="preserve"> </w:t>
      </w:r>
      <w:r w:rsidRPr="002B3F36">
        <w:rPr>
          <w:b w:val="0"/>
        </w:rPr>
        <w:t>Habitat clearing/grubbing; embankments; camps, quarries/borrow pits, crushing/batching plants; temporary access; power-line relocation; water intakes; and night lighting all create potential sources of impact.</w:t>
      </w:r>
    </w:p>
    <w:p w14:paraId="052879BC" w14:textId="77777777" w:rsidR="00F61F8E" w:rsidRPr="002B3F36" w:rsidRDefault="00F61F8E" w:rsidP="00CE31E8">
      <w:pPr>
        <w:jc w:val="both"/>
        <w:rPr>
          <w:rFonts w:ascii="Arial" w:eastAsia="SimSun" w:hAnsi="Arial" w:cs="Arial"/>
          <w:sz w:val="24"/>
          <w:szCs w:val="24"/>
          <w:lang w:val="en-PH"/>
        </w:rPr>
      </w:pPr>
    </w:p>
    <w:p w14:paraId="7CD2C483" w14:textId="23D2D2AA" w:rsidR="00F61F8E" w:rsidRPr="002B3F36" w:rsidRDefault="000F264B" w:rsidP="00CE31E8">
      <w:pPr>
        <w:pStyle w:val="DiaList12"/>
        <w:rPr>
          <w:rFonts w:eastAsia="SimSun"/>
          <w:lang w:val="en-PH"/>
        </w:rPr>
      </w:pPr>
      <w:r w:rsidRPr="002B3F36">
        <w:rPr>
          <w:rFonts w:eastAsia="SimSun"/>
          <w:lang w:val="en-PH" w:eastAsia="zh-CN"/>
        </w:rPr>
        <w:t>Impact Assessment</w:t>
      </w:r>
      <w:r w:rsidR="00850BD8" w:rsidRPr="002B3F36">
        <w:rPr>
          <w:rFonts w:eastAsia="SimSun"/>
          <w:lang w:val="en-PH" w:eastAsia="zh-CN"/>
        </w:rPr>
        <w:t xml:space="preserve"> for both IBAs and Andasa</w:t>
      </w:r>
      <w:r w:rsidR="001F09B4" w:rsidRPr="002B3F36">
        <w:rPr>
          <w:rFonts w:eastAsia="SimSun"/>
          <w:lang w:val="en-PH" w:eastAsia="zh-CN"/>
        </w:rPr>
        <w:t>i</w:t>
      </w:r>
      <w:r w:rsidR="00850BD8" w:rsidRPr="002B3F36">
        <w:rPr>
          <w:rFonts w:eastAsia="SimSun"/>
          <w:lang w:val="en-PH" w:eastAsia="zh-CN"/>
        </w:rPr>
        <w:t xml:space="preserve"> Sanctuary</w:t>
      </w:r>
    </w:p>
    <w:p w14:paraId="689BA768" w14:textId="52210762" w:rsidR="005443FE" w:rsidRPr="002B3F36" w:rsidRDefault="005443FE" w:rsidP="08C6D3B9">
      <w:pPr>
        <w:pStyle w:val="DiaList12"/>
      </w:pPr>
      <w:r w:rsidRPr="002B3F36">
        <w:rPr>
          <w:bCs/>
        </w:rPr>
        <w:t xml:space="preserve">Habitat </w:t>
      </w:r>
      <w:r w:rsidRPr="002B3F36">
        <w:t>n</w:t>
      </w:r>
      <w:r w:rsidR="60E5BFD8" w:rsidRPr="002B3F36">
        <w:t>removal/degradatio</w:t>
      </w:r>
      <w:r w:rsidRPr="002B3F36">
        <w:t xml:space="preserve"> — Moderate. </w:t>
      </w:r>
      <w:r w:rsidRPr="002B3F36">
        <w:rPr>
          <w:b w:val="0"/>
        </w:rPr>
        <w:t xml:space="preserve">Clearing and auxiliary footprints reduce steppe/riparian vegetation; areas functioning as </w:t>
      </w:r>
      <w:r w:rsidRPr="002B3F36">
        <w:rPr>
          <w:b w:val="0"/>
          <w:bCs/>
        </w:rPr>
        <w:t>saiga/livestock movement corridors</w:t>
      </w:r>
      <w:r w:rsidRPr="002B3F36">
        <w:rPr>
          <w:b w:val="0"/>
        </w:rPr>
        <w:t xml:space="preserve"> are most sensitive.</w:t>
      </w:r>
    </w:p>
    <w:p w14:paraId="36722051" w14:textId="44F7B8C8" w:rsidR="005443FE" w:rsidRPr="002B3F36" w:rsidRDefault="005443FE" w:rsidP="009B4CDB">
      <w:pPr>
        <w:pStyle w:val="DiaList12"/>
        <w:numPr>
          <w:ilvl w:val="1"/>
          <w:numId w:val="39"/>
        </w:numPr>
      </w:pPr>
      <w:r w:rsidRPr="002B3F36">
        <w:rPr>
          <w:bCs/>
        </w:rPr>
        <w:t>Fragmentation and barrier effects — Low to Moderate (can be High without design controls).</w:t>
      </w:r>
      <w:r w:rsidRPr="002B3F36">
        <w:t xml:space="preserve"> </w:t>
      </w:r>
      <w:r w:rsidRPr="002B3F36">
        <w:rPr>
          <w:b w:val="0"/>
        </w:rPr>
        <w:t>Linear embankments and fencing can impede wildlife movements if crossings are infrequent or poorly designed.</w:t>
      </w:r>
    </w:p>
    <w:p w14:paraId="534E8D9B" w14:textId="2D89B471" w:rsidR="005443FE" w:rsidRPr="002B3F36" w:rsidRDefault="005443FE" w:rsidP="009B4CDB">
      <w:pPr>
        <w:pStyle w:val="DiaList12"/>
        <w:numPr>
          <w:ilvl w:val="1"/>
          <w:numId w:val="39"/>
        </w:numPr>
      </w:pPr>
      <w:r w:rsidRPr="002B3F36">
        <w:rPr>
          <w:bCs/>
        </w:rPr>
        <w:t>Bird collision/electrocution</w:t>
      </w:r>
      <w:r w:rsidR="00827137" w:rsidRPr="002B3F36">
        <w:rPr>
          <w:bCs/>
        </w:rPr>
        <w:t xml:space="preserve"> </w:t>
      </w:r>
      <w:r w:rsidR="00822AE4" w:rsidRPr="002B3F36">
        <w:rPr>
          <w:bCs/>
        </w:rPr>
        <w:t>- Medium</w:t>
      </w:r>
      <w:r w:rsidRPr="002B3F36">
        <w:rPr>
          <w:bCs/>
        </w:rPr>
        <w:t>.</w:t>
      </w:r>
      <w:r w:rsidRPr="002B3F36">
        <w:t xml:space="preserve"> </w:t>
      </w:r>
      <w:r w:rsidRPr="002B3F36">
        <w:rPr>
          <w:b w:val="0"/>
        </w:rPr>
        <w:t xml:space="preserve">Risk increases on newly installed/relocated </w:t>
      </w:r>
      <w:r w:rsidRPr="002B3F36">
        <w:rPr>
          <w:b w:val="0"/>
          <w:bCs/>
        </w:rPr>
        <w:t>overhead power lines</w:t>
      </w:r>
      <w:r w:rsidRPr="002B3F36">
        <w:rPr>
          <w:b w:val="0"/>
        </w:rPr>
        <w:t>, especially in poor visibility and during migration.</w:t>
      </w:r>
    </w:p>
    <w:p w14:paraId="079B4668" w14:textId="000B2E7D" w:rsidR="005443FE" w:rsidRPr="002B3F36" w:rsidRDefault="005443FE" w:rsidP="009B4CDB">
      <w:pPr>
        <w:pStyle w:val="DiaList12"/>
        <w:numPr>
          <w:ilvl w:val="1"/>
          <w:numId w:val="39"/>
        </w:numPr>
      </w:pPr>
      <w:r w:rsidRPr="002B3F36">
        <w:rPr>
          <w:bCs/>
        </w:rPr>
        <w:t xml:space="preserve">Light pollution </w:t>
      </w:r>
      <w:r w:rsidR="00890D5C" w:rsidRPr="002B3F36">
        <w:rPr>
          <w:bCs/>
        </w:rPr>
        <w:t>-</w:t>
      </w:r>
      <w:r w:rsidRPr="002B3F36">
        <w:rPr>
          <w:bCs/>
        </w:rPr>
        <w:t xml:space="preserve"> Low (manageable).</w:t>
      </w:r>
      <w:r w:rsidRPr="002B3F36">
        <w:t xml:space="preserve"> </w:t>
      </w:r>
      <w:r w:rsidRPr="002B3F36">
        <w:rPr>
          <w:b w:val="0"/>
        </w:rPr>
        <w:t>Unshielded lighting can disorient nocturnal migrants and alter predator–prey dynamics; curfews and shielding are needed during peak spring/autumn migrations.</w:t>
      </w:r>
    </w:p>
    <w:p w14:paraId="6AE8C81D" w14:textId="4F27452C" w:rsidR="005443FE" w:rsidRPr="002B3F36" w:rsidRDefault="005443FE" w:rsidP="009B4CDB">
      <w:pPr>
        <w:pStyle w:val="DiaList12"/>
        <w:numPr>
          <w:ilvl w:val="1"/>
          <w:numId w:val="39"/>
        </w:numPr>
      </w:pPr>
      <w:r w:rsidRPr="002B3F36">
        <w:rPr>
          <w:bCs/>
        </w:rPr>
        <w:t>Wildlife</w:t>
      </w:r>
      <w:r w:rsidR="00890D5C" w:rsidRPr="002B3F36">
        <w:rPr>
          <w:bCs/>
        </w:rPr>
        <w:t xml:space="preserve"> </w:t>
      </w:r>
      <w:r w:rsidR="0086386C" w:rsidRPr="002B3F36">
        <w:rPr>
          <w:bCs/>
        </w:rPr>
        <w:t>–</w:t>
      </w:r>
      <w:r w:rsidR="00890D5C" w:rsidRPr="002B3F36">
        <w:rPr>
          <w:bCs/>
        </w:rPr>
        <w:t xml:space="preserve"> </w:t>
      </w:r>
      <w:r w:rsidRPr="002B3F36">
        <w:rPr>
          <w:bCs/>
        </w:rPr>
        <w:t>train</w:t>
      </w:r>
      <w:r w:rsidR="0086386C" w:rsidRPr="002B3F36">
        <w:rPr>
          <w:bCs/>
        </w:rPr>
        <w:t xml:space="preserve"> </w:t>
      </w:r>
      <w:r w:rsidRPr="002B3F36">
        <w:rPr>
          <w:bCs/>
        </w:rPr>
        <w:t xml:space="preserve">strikes </w:t>
      </w:r>
      <w:r w:rsidR="00890D5C" w:rsidRPr="002B3F36">
        <w:rPr>
          <w:bCs/>
        </w:rPr>
        <w:t>-</w:t>
      </w:r>
      <w:r w:rsidRPr="002B3F36">
        <w:rPr>
          <w:bCs/>
        </w:rPr>
        <w:t xml:space="preserve"> Medium on intersecting corridors</w:t>
      </w:r>
      <w:r w:rsidRPr="002B3F36">
        <w:rPr>
          <w:b w:val="0"/>
          <w:bCs/>
        </w:rPr>
        <w:t>.</w:t>
      </w:r>
      <w:r w:rsidRPr="002B3F36">
        <w:rPr>
          <w:b w:val="0"/>
        </w:rPr>
        <w:t xml:space="preserve"> Elevated where migration paths intersect the </w:t>
      </w:r>
      <w:r w:rsidR="0086386C" w:rsidRPr="002B3F36">
        <w:rPr>
          <w:b w:val="0"/>
        </w:rPr>
        <w:t xml:space="preserve">railway </w:t>
      </w:r>
      <w:r w:rsidRPr="002B3F36">
        <w:rPr>
          <w:b w:val="0"/>
        </w:rPr>
        <w:t>corridor and at night.</w:t>
      </w:r>
    </w:p>
    <w:p w14:paraId="7F51F38C" w14:textId="05A9D8D5" w:rsidR="005443FE" w:rsidRPr="002B3F36" w:rsidRDefault="005443FE" w:rsidP="009B4CDB">
      <w:pPr>
        <w:pStyle w:val="DiaList12"/>
        <w:numPr>
          <w:ilvl w:val="1"/>
          <w:numId w:val="39"/>
        </w:numPr>
      </w:pPr>
      <w:r w:rsidRPr="002B3F36">
        <w:rPr>
          <w:bCs/>
        </w:rPr>
        <w:t xml:space="preserve">Noise/disturbance </w:t>
      </w:r>
      <w:r w:rsidR="00890D5C" w:rsidRPr="002B3F36">
        <w:rPr>
          <w:bCs/>
        </w:rPr>
        <w:t>-</w:t>
      </w:r>
      <w:r w:rsidRPr="002B3F36">
        <w:rPr>
          <w:bCs/>
        </w:rPr>
        <w:t xml:space="preserve"> High locally during peak works</w:t>
      </w:r>
      <w:r w:rsidRPr="002B3F36">
        <w:rPr>
          <w:b w:val="0"/>
          <w:bCs/>
        </w:rPr>
        <w:t>.</w:t>
      </w:r>
      <w:r w:rsidRPr="002B3F36">
        <w:rPr>
          <w:b w:val="0"/>
        </w:rPr>
        <w:t xml:space="preserve"> Nesting/roosting birds and mammals may be displaced near active fronts and plants.</w:t>
      </w:r>
    </w:p>
    <w:p w14:paraId="6BBED050" w14:textId="77777777" w:rsidR="00C13FFB" w:rsidRPr="002B3F36" w:rsidRDefault="005443FE" w:rsidP="009B4CDB">
      <w:pPr>
        <w:pStyle w:val="DiaList12"/>
        <w:numPr>
          <w:ilvl w:val="1"/>
          <w:numId w:val="39"/>
        </w:numPr>
        <w:rPr>
          <w:b w:val="0"/>
        </w:rPr>
      </w:pPr>
      <w:r w:rsidRPr="002B3F36">
        <w:rPr>
          <w:bCs/>
        </w:rPr>
        <w:t xml:space="preserve">Aquatic impacts </w:t>
      </w:r>
      <w:r w:rsidR="00890D5C" w:rsidRPr="002B3F36">
        <w:rPr>
          <w:bCs/>
        </w:rPr>
        <w:t>-</w:t>
      </w:r>
      <w:r w:rsidRPr="002B3F36">
        <w:rPr>
          <w:bCs/>
        </w:rPr>
        <w:t xml:space="preserve"> Medium</w:t>
      </w:r>
      <w:r w:rsidRPr="002B3F36">
        <w:rPr>
          <w:b w:val="0"/>
          <w:bCs/>
        </w:rPr>
        <w:t>.</w:t>
      </w:r>
      <w:r w:rsidRPr="002B3F36">
        <w:rPr>
          <w:b w:val="0"/>
        </w:rPr>
        <w:t xml:space="preserve"> </w:t>
      </w:r>
      <w:r w:rsidRPr="002B3F36">
        <w:rPr>
          <w:b w:val="0"/>
          <w:bCs/>
        </w:rPr>
        <w:t>Water abstraction</w:t>
      </w:r>
      <w:r w:rsidRPr="002B3F36">
        <w:rPr>
          <w:b w:val="0"/>
        </w:rPr>
        <w:t xml:space="preserve"> and in-channel works may affect fish and amphibians via entrainment, turbidity, habitat disturbance, and spill risk.</w:t>
      </w:r>
    </w:p>
    <w:p w14:paraId="5316EC56" w14:textId="124A840D" w:rsidR="00CE31E8" w:rsidRPr="002B3F36" w:rsidRDefault="00CE31E8" w:rsidP="00827137">
      <w:pPr>
        <w:pStyle w:val="ReportBodyPar"/>
      </w:pPr>
    </w:p>
    <w:p w14:paraId="003BD00A" w14:textId="5A1E533A" w:rsidR="00F61F8E" w:rsidRPr="007B70CD" w:rsidRDefault="004C3B82" w:rsidP="00CE31E8">
      <w:pPr>
        <w:pStyle w:val="DiaList12"/>
        <w:numPr>
          <w:ilvl w:val="0"/>
          <w:numId w:val="0"/>
        </w:numPr>
        <w:ind w:left="360"/>
        <w:rPr>
          <w:b w:val="0"/>
        </w:rPr>
      </w:pPr>
      <w:r w:rsidRPr="002B3F36">
        <w:rPr>
          <w:b w:val="0"/>
        </w:rPr>
        <w:t>The Project entails direct biodiversity impacts within the affected IBA and the Andasai Sanctuaries. Habitat disturbance for flora and fauna is expected to be permanent in effect yet local in extent, confined to specific stretches of the identified KBAs. While activity may occur daily or near-continuously, it will be progressive along the alignment rather than concentrated at a single point. Applying the Significance of Impact Matrix, the receiving environment is assessed as Medium sensitivity, with a Medium impact magnitude—particularly for important species—resulting in an overall Moderate significance (pre-mitigation)</w:t>
      </w:r>
      <w:r w:rsidR="007B70CD">
        <w:rPr>
          <w:b w:val="0"/>
        </w:rPr>
        <w:t xml:space="preserve">, </w:t>
      </w:r>
      <w:r w:rsidR="007B70CD" w:rsidRPr="007B70CD">
        <w:rPr>
          <w:b w:val="0"/>
          <w:lang w:val="en"/>
        </w:rPr>
        <w:t>when adopting a set of proposed mitigation measures.</w:t>
      </w:r>
      <w:r w:rsidR="007B70CD" w:rsidRPr="002B3F36" w:rsidDel="007B70CD">
        <w:rPr>
          <w:b w:val="0"/>
        </w:rPr>
        <w:t xml:space="preserve"> </w:t>
      </w:r>
      <w:r w:rsidR="00D54B7B">
        <w:rPr>
          <w:b w:val="0"/>
        </w:rPr>
        <w:t xml:space="preserve">Without proper mitigation measures the risk become High. </w:t>
      </w:r>
    </w:p>
    <w:p w14:paraId="11A8CD60" w14:textId="77777777" w:rsidR="00F61F8E" w:rsidRPr="002B3F36" w:rsidRDefault="00F61F8E" w:rsidP="00A846C7">
      <w:pPr>
        <w:pStyle w:val="DiaList12"/>
        <w:numPr>
          <w:ilvl w:val="0"/>
          <w:numId w:val="0"/>
        </w:numPr>
        <w:ind w:left="360"/>
        <w:rPr>
          <w:lang w:val="en-PH"/>
        </w:rPr>
      </w:pPr>
    </w:p>
    <w:p w14:paraId="13DBA921" w14:textId="15995913" w:rsidR="00F61F8E" w:rsidRPr="002B3F36" w:rsidRDefault="000F264B" w:rsidP="00CE31E8">
      <w:pPr>
        <w:pStyle w:val="DiaList12"/>
        <w:rPr>
          <w:rFonts w:eastAsia="SimSun"/>
          <w:lang w:eastAsia="zh-CN"/>
        </w:rPr>
      </w:pPr>
      <w:r w:rsidRPr="002B3F36">
        <w:rPr>
          <w:rFonts w:eastAsia="SimSun"/>
          <w:lang w:eastAsia="zh-CN"/>
        </w:rPr>
        <w:t>Mitigation Measures</w:t>
      </w:r>
      <w:r w:rsidR="00850BD8" w:rsidRPr="002B3F36">
        <w:rPr>
          <w:rFonts w:eastAsia="SimSun"/>
          <w:lang w:eastAsia="zh-CN"/>
        </w:rPr>
        <w:t xml:space="preserve"> for </w:t>
      </w:r>
      <w:r w:rsidR="00850BD8" w:rsidRPr="002B3F36">
        <w:rPr>
          <w:rFonts w:eastAsia="SimSun"/>
          <w:lang w:val="en-PH" w:eastAsia="zh-CN"/>
        </w:rPr>
        <w:t>both IBAs and Andasai Sanctuary</w:t>
      </w:r>
      <w:r w:rsidR="00850BD8" w:rsidRPr="002B3F36">
        <w:rPr>
          <w:rFonts w:eastAsia="SimSun"/>
          <w:lang w:eastAsia="zh-CN"/>
        </w:rPr>
        <w:t>:</w:t>
      </w:r>
    </w:p>
    <w:p w14:paraId="27ED8D64" w14:textId="77777777" w:rsidR="00CE31E8" w:rsidRPr="002B3F36" w:rsidRDefault="00CE31E8" w:rsidP="00A707C4">
      <w:pPr>
        <w:pStyle w:val="aff9"/>
        <w:spacing w:before="0" w:beforeAutospacing="0" w:after="0" w:afterAutospacing="0"/>
        <w:jc w:val="both"/>
        <w:rPr>
          <w:rFonts w:ascii="Arial" w:hAnsi="Arial" w:cs="Arial"/>
        </w:rPr>
      </w:pPr>
      <w:r w:rsidRPr="002B3F36">
        <w:rPr>
          <w:rStyle w:val="affffb"/>
        </w:rPr>
        <w:t>A) Avoidance &amp; Design Integration</w:t>
      </w:r>
    </w:p>
    <w:p w14:paraId="5F56043A" w14:textId="77777777" w:rsidR="00CE31E8" w:rsidRPr="002B3F36" w:rsidRDefault="00CE31E8" w:rsidP="009B4CDB">
      <w:pPr>
        <w:pStyle w:val="aff9"/>
        <w:numPr>
          <w:ilvl w:val="0"/>
          <w:numId w:val="185"/>
        </w:numPr>
        <w:spacing w:before="0" w:beforeAutospacing="0"/>
        <w:jc w:val="both"/>
        <w:rPr>
          <w:rFonts w:ascii="Arial" w:hAnsi="Arial" w:cs="Arial"/>
        </w:rPr>
      </w:pPr>
      <w:r w:rsidRPr="002B3F36">
        <w:rPr>
          <w:rStyle w:val="affffb"/>
        </w:rPr>
        <w:t>Micro-siting/footprint discipline:</w:t>
      </w:r>
      <w:r w:rsidRPr="002B3F36">
        <w:rPr>
          <w:rFonts w:ascii="Arial" w:hAnsi="Arial" w:cs="Arial"/>
        </w:rPr>
        <w:t xml:space="preserve"> Place camps/plants/laydown on previously disturbed land; minimize clearing in intact steppe/riparian patches and near nest trees.</w:t>
      </w:r>
    </w:p>
    <w:p w14:paraId="01ED092E" w14:textId="7EC84E02" w:rsidR="00CE31E8" w:rsidRPr="002B3F36" w:rsidRDefault="00CE31E8" w:rsidP="009B4CDB">
      <w:pPr>
        <w:pStyle w:val="aff9"/>
        <w:numPr>
          <w:ilvl w:val="0"/>
          <w:numId w:val="185"/>
        </w:numPr>
        <w:spacing w:before="0" w:beforeAutospacing="0"/>
        <w:jc w:val="both"/>
        <w:rPr>
          <w:rFonts w:ascii="Arial" w:hAnsi="Arial" w:cs="Arial"/>
        </w:rPr>
      </w:pPr>
      <w:r w:rsidRPr="002B3F36">
        <w:rPr>
          <w:rStyle w:val="affffb"/>
        </w:rPr>
        <w:t>Wildlife permeability:</w:t>
      </w:r>
      <w:r w:rsidRPr="002B3F36">
        <w:rPr>
          <w:rFonts w:ascii="Arial" w:hAnsi="Arial" w:cs="Arial"/>
        </w:rPr>
        <w:t xml:space="preserve"> Provide </w:t>
      </w:r>
      <w:r w:rsidRPr="002B3F36">
        <w:rPr>
          <w:rStyle w:val="affffb"/>
        </w:rPr>
        <w:t>wildlife passages</w:t>
      </w:r>
      <w:r w:rsidRPr="002B3F36">
        <w:rPr>
          <w:rFonts w:ascii="Arial" w:hAnsi="Arial" w:cs="Arial"/>
        </w:rPr>
        <w:t xml:space="preserve"> (underpasses/large culverts with natural substrate; overpasses where justified) at mapped </w:t>
      </w:r>
      <w:r w:rsidRPr="002B3F36">
        <w:rPr>
          <w:rStyle w:val="affffb"/>
        </w:rPr>
        <w:t>saiga and livestock corridors</w:t>
      </w:r>
      <w:r w:rsidRPr="002B3F36">
        <w:rPr>
          <w:rFonts w:ascii="Arial" w:hAnsi="Arial" w:cs="Arial"/>
        </w:rPr>
        <w:t xml:space="preserve">; pair with </w:t>
      </w:r>
      <w:r w:rsidRPr="002B3F36">
        <w:rPr>
          <w:rStyle w:val="affffb"/>
        </w:rPr>
        <w:t>funneling fencing</w:t>
      </w:r>
      <w:r w:rsidR="00E03906" w:rsidRPr="002B3F36">
        <w:rPr>
          <w:rStyle w:val="affffb"/>
        </w:rPr>
        <w:t xml:space="preserve"> (whenever practical and necessary)</w:t>
      </w:r>
      <w:r w:rsidRPr="002B3F36">
        <w:rPr>
          <w:rFonts w:ascii="Arial" w:hAnsi="Arial" w:cs="Arial"/>
        </w:rPr>
        <w:t xml:space="preserve"> and </w:t>
      </w:r>
      <w:r w:rsidRPr="002B3F36">
        <w:rPr>
          <w:rStyle w:val="affffb"/>
        </w:rPr>
        <w:t>flattened approach slopes</w:t>
      </w:r>
      <w:r w:rsidRPr="002B3F36">
        <w:rPr>
          <w:rFonts w:ascii="Arial" w:hAnsi="Arial" w:cs="Arial"/>
        </w:rPr>
        <w:t xml:space="preserve"> (≈1:6–1:10) to guide crossings.</w:t>
      </w:r>
    </w:p>
    <w:p w14:paraId="7D85D098" w14:textId="77777777" w:rsidR="00CE31E8" w:rsidRPr="002B3F36" w:rsidRDefault="00CE31E8" w:rsidP="009B4CDB">
      <w:pPr>
        <w:pStyle w:val="aff9"/>
        <w:numPr>
          <w:ilvl w:val="0"/>
          <w:numId w:val="185"/>
        </w:numPr>
        <w:spacing w:before="0" w:beforeAutospacing="0"/>
        <w:jc w:val="both"/>
        <w:rPr>
          <w:rFonts w:ascii="Arial" w:hAnsi="Arial" w:cs="Arial"/>
        </w:rPr>
      </w:pPr>
      <w:r w:rsidRPr="002B3F36">
        <w:rPr>
          <w:rStyle w:val="affffb"/>
        </w:rPr>
        <w:t>Avian-safe power lines:</w:t>
      </w:r>
      <w:r w:rsidRPr="002B3F36">
        <w:rPr>
          <w:rFonts w:ascii="Arial" w:hAnsi="Arial" w:cs="Arial"/>
        </w:rPr>
        <w:t xml:space="preserve"> Fit line markers/diverters, insulate hazardous hardware, and use perch deterrents on sensitive spans.</w:t>
      </w:r>
    </w:p>
    <w:p w14:paraId="50D64102" w14:textId="77777777" w:rsidR="00CE31E8" w:rsidRPr="002B3F36" w:rsidRDefault="00CE31E8" w:rsidP="00B87916">
      <w:pPr>
        <w:pStyle w:val="aff9"/>
        <w:spacing w:after="0" w:afterAutospacing="0"/>
        <w:jc w:val="both"/>
        <w:rPr>
          <w:rStyle w:val="affffb"/>
        </w:rPr>
      </w:pPr>
      <w:r w:rsidRPr="002B3F36">
        <w:rPr>
          <w:rStyle w:val="affffb"/>
        </w:rPr>
        <w:lastRenderedPageBreak/>
        <w:t>B) Time-of-Year Restrictions</w:t>
      </w:r>
    </w:p>
    <w:p w14:paraId="4688C3A4" w14:textId="77777777" w:rsidR="00CE31E8" w:rsidRPr="002B3F36" w:rsidRDefault="00CE31E8" w:rsidP="009B4CDB">
      <w:pPr>
        <w:pStyle w:val="aff9"/>
        <w:numPr>
          <w:ilvl w:val="0"/>
          <w:numId w:val="186"/>
        </w:numPr>
        <w:spacing w:before="0" w:beforeAutospacing="0"/>
        <w:jc w:val="both"/>
        <w:rPr>
          <w:rFonts w:ascii="Arial" w:hAnsi="Arial" w:cs="Arial"/>
        </w:rPr>
      </w:pPr>
      <w:r w:rsidRPr="002B3F36">
        <w:rPr>
          <w:rStyle w:val="affffb"/>
        </w:rPr>
        <w:t>Vegetation clearing:</w:t>
      </w:r>
      <w:r w:rsidRPr="002B3F36">
        <w:rPr>
          <w:rFonts w:ascii="Arial" w:hAnsi="Arial" w:cs="Arial"/>
        </w:rPr>
        <w:t xml:space="preserve"> Outside </w:t>
      </w:r>
      <w:r w:rsidRPr="002B3F36">
        <w:rPr>
          <w:rStyle w:val="affffb"/>
        </w:rPr>
        <w:t>April–August</w:t>
      </w:r>
      <w:r w:rsidRPr="002B3F36">
        <w:rPr>
          <w:rFonts w:ascii="Arial" w:hAnsi="Arial" w:cs="Arial"/>
        </w:rPr>
        <w:t xml:space="preserve"> nesting season; if unavoidable, conduct pre-clearance nest surveys and implement species-specific buffers.</w:t>
      </w:r>
    </w:p>
    <w:p w14:paraId="07C64339" w14:textId="77777777" w:rsidR="00CE31E8" w:rsidRPr="002B3F36" w:rsidRDefault="00CE31E8" w:rsidP="009B4CDB">
      <w:pPr>
        <w:pStyle w:val="aff9"/>
        <w:numPr>
          <w:ilvl w:val="0"/>
          <w:numId w:val="186"/>
        </w:numPr>
        <w:spacing w:before="0" w:beforeAutospacing="0"/>
        <w:jc w:val="both"/>
        <w:rPr>
          <w:rFonts w:ascii="Arial" w:hAnsi="Arial" w:cs="Arial"/>
        </w:rPr>
      </w:pPr>
      <w:r w:rsidRPr="002B3F36">
        <w:rPr>
          <w:rStyle w:val="affffb"/>
        </w:rPr>
        <w:t>Reptiles:</w:t>
      </w:r>
      <w:r w:rsidRPr="002B3F36">
        <w:rPr>
          <w:rFonts w:ascii="Arial" w:hAnsi="Arial" w:cs="Arial"/>
        </w:rPr>
        <w:t xml:space="preserve"> Avoid </w:t>
      </w:r>
      <w:r w:rsidRPr="002B3F36">
        <w:rPr>
          <w:rStyle w:val="affffb"/>
        </w:rPr>
        <w:t>April–May</w:t>
      </w:r>
      <w:r w:rsidRPr="002B3F36">
        <w:rPr>
          <w:rFonts w:ascii="Arial" w:hAnsi="Arial" w:cs="Arial"/>
        </w:rPr>
        <w:t xml:space="preserve"> breeding where feasible.</w:t>
      </w:r>
    </w:p>
    <w:p w14:paraId="5C0D909C" w14:textId="77777777" w:rsidR="00CE31E8" w:rsidRPr="002B3F36" w:rsidRDefault="00CE31E8" w:rsidP="009B4CDB">
      <w:pPr>
        <w:pStyle w:val="aff9"/>
        <w:numPr>
          <w:ilvl w:val="0"/>
          <w:numId w:val="186"/>
        </w:numPr>
        <w:spacing w:before="0" w:beforeAutospacing="0"/>
        <w:jc w:val="both"/>
        <w:rPr>
          <w:rFonts w:ascii="Arial" w:hAnsi="Arial" w:cs="Arial"/>
        </w:rPr>
      </w:pPr>
      <w:r w:rsidRPr="002B3F36">
        <w:rPr>
          <w:rStyle w:val="affffb"/>
        </w:rPr>
        <w:t>Aquatic windows:</w:t>
      </w:r>
      <w:r w:rsidRPr="002B3F36">
        <w:rPr>
          <w:rFonts w:ascii="Arial" w:hAnsi="Arial" w:cs="Arial"/>
        </w:rPr>
        <w:t xml:space="preserve"> Schedule in-channel works and turbidity-prone tasks away from spawning/juvenile periods; time </w:t>
      </w:r>
      <w:r w:rsidRPr="002B3F36">
        <w:rPr>
          <w:rStyle w:val="affffb"/>
        </w:rPr>
        <w:t>abstraction</w:t>
      </w:r>
      <w:r w:rsidRPr="002B3F36">
        <w:rPr>
          <w:rFonts w:ascii="Arial" w:hAnsi="Arial" w:cs="Arial"/>
        </w:rPr>
        <w:t xml:space="preserve"> to avoid dusk/night peaks for juvenile feeding/migration.</w:t>
      </w:r>
    </w:p>
    <w:p w14:paraId="0F71A5A3"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C) Construction-Phase Controls</w:t>
      </w:r>
    </w:p>
    <w:p w14:paraId="15EC2673" w14:textId="77777777" w:rsidR="00CE31E8" w:rsidRPr="002B3F36" w:rsidRDefault="00CE31E8" w:rsidP="009B4CDB">
      <w:pPr>
        <w:pStyle w:val="aff9"/>
        <w:numPr>
          <w:ilvl w:val="0"/>
          <w:numId w:val="187"/>
        </w:numPr>
        <w:spacing w:before="0" w:beforeAutospacing="0" w:after="0" w:afterAutospacing="0"/>
        <w:jc w:val="both"/>
        <w:rPr>
          <w:rFonts w:ascii="Arial" w:hAnsi="Arial" w:cs="Arial"/>
        </w:rPr>
      </w:pPr>
      <w:r w:rsidRPr="002B3F36">
        <w:rPr>
          <w:rStyle w:val="affffb"/>
        </w:rPr>
        <w:t>Access control:</w:t>
      </w:r>
      <w:r w:rsidRPr="002B3F36">
        <w:rPr>
          <w:rFonts w:ascii="Arial" w:hAnsi="Arial" w:cs="Arial"/>
        </w:rPr>
        <w:t xml:space="preserve"> No off-corridor driving; stake work limits; enforce speed limits on access tracks.</w:t>
      </w:r>
    </w:p>
    <w:p w14:paraId="1F8BC127" w14:textId="77777777" w:rsidR="00CE31E8" w:rsidRPr="002B3F36" w:rsidRDefault="00CE31E8" w:rsidP="009B4CDB">
      <w:pPr>
        <w:pStyle w:val="aff9"/>
        <w:numPr>
          <w:ilvl w:val="0"/>
          <w:numId w:val="187"/>
        </w:numPr>
        <w:jc w:val="both"/>
        <w:rPr>
          <w:rFonts w:ascii="Arial" w:hAnsi="Arial" w:cs="Arial"/>
        </w:rPr>
      </w:pPr>
      <w:r w:rsidRPr="002B3F36">
        <w:rPr>
          <w:rStyle w:val="affffb"/>
        </w:rPr>
        <w:t>Trench/pit safety:</w:t>
      </w:r>
      <w:r w:rsidRPr="002B3F36">
        <w:rPr>
          <w:rFonts w:ascii="Arial" w:hAnsi="Arial" w:cs="Arial"/>
        </w:rPr>
        <w:t xml:space="preserve"> Daily inspections; install escape ramps; relocate trapped reptiles/amphibians to safe habitat.</w:t>
      </w:r>
    </w:p>
    <w:p w14:paraId="4F7DB18F" w14:textId="77777777" w:rsidR="00CE31E8" w:rsidRPr="002B3F36" w:rsidRDefault="00CE31E8" w:rsidP="009B4CDB">
      <w:pPr>
        <w:pStyle w:val="aff9"/>
        <w:numPr>
          <w:ilvl w:val="0"/>
          <w:numId w:val="187"/>
        </w:numPr>
        <w:jc w:val="both"/>
        <w:rPr>
          <w:rFonts w:ascii="Arial" w:hAnsi="Arial" w:cs="Arial"/>
        </w:rPr>
      </w:pPr>
      <w:r w:rsidRPr="002B3F36">
        <w:rPr>
          <w:rStyle w:val="affffb"/>
        </w:rPr>
        <w:t>Sediment/spill control:</w:t>
      </w:r>
      <w:r w:rsidRPr="002B3F36">
        <w:rPr>
          <w:rFonts w:ascii="Arial" w:hAnsi="Arial" w:cs="Arial"/>
        </w:rPr>
        <w:t xml:space="preserve"> Erosion/sediment measures; lined concrete washouts; </w:t>
      </w:r>
      <w:r w:rsidRPr="002B3F36">
        <w:rPr>
          <w:rStyle w:val="affffb"/>
        </w:rPr>
        <w:t>bunded fuel/chemical storage</w:t>
      </w:r>
      <w:r w:rsidRPr="002B3F36">
        <w:rPr>
          <w:rFonts w:ascii="Arial" w:hAnsi="Arial" w:cs="Arial"/>
        </w:rPr>
        <w:t>; spill kits and trained responders.</w:t>
      </w:r>
    </w:p>
    <w:p w14:paraId="2411A43A" w14:textId="1B858D2C" w:rsidR="00CE31E8" w:rsidRPr="002B3F36" w:rsidRDefault="00CE31E8" w:rsidP="009B4CDB">
      <w:pPr>
        <w:pStyle w:val="aff9"/>
        <w:numPr>
          <w:ilvl w:val="0"/>
          <w:numId w:val="187"/>
        </w:numPr>
        <w:jc w:val="both"/>
        <w:rPr>
          <w:rFonts w:ascii="Arial" w:hAnsi="Arial" w:cs="Arial"/>
        </w:rPr>
      </w:pPr>
      <w:r w:rsidRPr="002B3F36">
        <w:rPr>
          <w:rStyle w:val="affffb"/>
        </w:rPr>
        <w:t>Water intakes:</w:t>
      </w:r>
      <w:r w:rsidRPr="002B3F36">
        <w:rPr>
          <w:rFonts w:ascii="Arial" w:hAnsi="Arial" w:cs="Arial"/>
        </w:rPr>
        <w:t xml:space="preserve"> Fit fish-protection screens; avoid spawning/wintering pits and juvenile feeding/migration zones; </w:t>
      </w:r>
      <w:r w:rsidRPr="002B3F36">
        <w:rPr>
          <w:rStyle w:val="affffb"/>
        </w:rPr>
        <w:t xml:space="preserve">no </w:t>
      </w:r>
      <w:r w:rsidR="001F09B4" w:rsidRPr="002B3F36">
        <w:rPr>
          <w:rStyle w:val="affffb"/>
        </w:rPr>
        <w:t>refueling</w:t>
      </w:r>
      <w:r w:rsidRPr="002B3F36">
        <w:rPr>
          <w:rStyle w:val="affffb"/>
        </w:rPr>
        <w:t>/washing</w:t>
      </w:r>
      <w:r w:rsidRPr="002B3F36">
        <w:rPr>
          <w:rFonts w:ascii="Arial" w:hAnsi="Arial" w:cs="Arial"/>
        </w:rPr>
        <w:t xml:space="preserve"> in water-protection zones.</w:t>
      </w:r>
    </w:p>
    <w:p w14:paraId="53D6006A" w14:textId="77777777" w:rsidR="00CE31E8" w:rsidRPr="002B3F36" w:rsidRDefault="00CE31E8" w:rsidP="009B4CDB">
      <w:pPr>
        <w:pStyle w:val="aff9"/>
        <w:numPr>
          <w:ilvl w:val="0"/>
          <w:numId w:val="187"/>
        </w:numPr>
        <w:jc w:val="both"/>
        <w:rPr>
          <w:rFonts w:ascii="Arial" w:hAnsi="Arial" w:cs="Arial"/>
        </w:rPr>
      </w:pPr>
      <w:r w:rsidRPr="002B3F36">
        <w:rPr>
          <w:rStyle w:val="affffb"/>
        </w:rPr>
        <w:t>Worker code of conduct (biodiversity):</w:t>
      </w:r>
      <w:r w:rsidRPr="002B3F36">
        <w:rPr>
          <w:rFonts w:ascii="Arial" w:hAnsi="Arial" w:cs="Arial"/>
        </w:rPr>
        <w:t xml:space="preserve"> No hunting/trapping/poisoning; no nest/egg collection; no grass burning; no feeding wildlife; toolbox talks on sensitive areas and migration periods.</w:t>
      </w:r>
    </w:p>
    <w:p w14:paraId="53DAB6F3"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D) Camps, Waste, and Air (operational good practice)</w:t>
      </w:r>
    </w:p>
    <w:p w14:paraId="08A97D52" w14:textId="77777777" w:rsidR="00CE31E8" w:rsidRPr="002B3F36" w:rsidRDefault="00CE31E8" w:rsidP="009B4CDB">
      <w:pPr>
        <w:pStyle w:val="aff9"/>
        <w:numPr>
          <w:ilvl w:val="0"/>
          <w:numId w:val="188"/>
        </w:numPr>
        <w:spacing w:before="0" w:beforeAutospacing="0" w:after="0" w:afterAutospacing="0"/>
        <w:jc w:val="both"/>
        <w:rPr>
          <w:rFonts w:ascii="Arial" w:hAnsi="Arial" w:cs="Arial"/>
        </w:rPr>
      </w:pPr>
      <w:r w:rsidRPr="002B3F36">
        <w:rPr>
          <w:rStyle w:val="affffb"/>
        </w:rPr>
        <w:t>Camps/waste:</w:t>
      </w:r>
      <w:r w:rsidRPr="002B3F36">
        <w:rPr>
          <w:rFonts w:ascii="Arial" w:hAnsi="Arial" w:cs="Arial"/>
        </w:rPr>
        <w:t xml:space="preserve"> Store all wastes in designated/contained areas; use </w:t>
      </w:r>
      <w:r w:rsidRPr="002B3F36">
        <w:rPr>
          <w:rStyle w:val="affffb"/>
        </w:rPr>
        <w:t>lidded bins</w:t>
      </w:r>
      <w:r w:rsidRPr="002B3F36">
        <w:rPr>
          <w:rFonts w:ascii="Arial" w:hAnsi="Arial" w:cs="Arial"/>
        </w:rPr>
        <w:t xml:space="preserve"> for MSW and </w:t>
      </w:r>
      <w:r w:rsidRPr="002B3F36">
        <w:rPr>
          <w:rStyle w:val="affffb"/>
        </w:rPr>
        <w:t>lockable</w:t>
      </w:r>
      <w:r w:rsidRPr="002B3F36">
        <w:rPr>
          <w:rFonts w:ascii="Arial" w:hAnsi="Arial" w:cs="Arial"/>
        </w:rPr>
        <w:t xml:space="preserve"> containers for oily rags/industrial wastes; remove by licensed operators only; </w:t>
      </w:r>
      <w:r w:rsidRPr="002B3F36">
        <w:rPr>
          <w:rStyle w:val="affffb"/>
        </w:rPr>
        <w:t>no discharge</w:t>
      </w:r>
      <w:r w:rsidRPr="002B3F36">
        <w:rPr>
          <w:rFonts w:ascii="Arial" w:hAnsi="Arial" w:cs="Arial"/>
        </w:rPr>
        <w:t xml:space="preserve"> of wastewater to land/water; provide </w:t>
      </w:r>
      <w:r w:rsidRPr="002B3F36">
        <w:rPr>
          <w:rStyle w:val="affffb"/>
        </w:rPr>
        <w:t>dry/chemical toilets</w:t>
      </w:r>
      <w:r w:rsidRPr="002B3F36">
        <w:rPr>
          <w:rFonts w:ascii="Arial" w:hAnsi="Arial" w:cs="Arial"/>
        </w:rPr>
        <w:t xml:space="preserve"> where needed.</w:t>
      </w:r>
    </w:p>
    <w:p w14:paraId="69395B9F" w14:textId="6EEB0C78" w:rsidR="00CE31E8" w:rsidRPr="002B3F36" w:rsidRDefault="00CE31E8" w:rsidP="009B4CDB">
      <w:pPr>
        <w:pStyle w:val="aff9"/>
        <w:numPr>
          <w:ilvl w:val="0"/>
          <w:numId w:val="188"/>
        </w:numPr>
        <w:spacing w:before="0" w:beforeAutospacing="0" w:after="0" w:afterAutospacing="0"/>
        <w:jc w:val="both"/>
        <w:rPr>
          <w:rFonts w:ascii="Arial" w:hAnsi="Arial" w:cs="Arial"/>
        </w:rPr>
      </w:pPr>
      <w:r w:rsidRPr="002B3F36">
        <w:rPr>
          <w:rStyle w:val="affffb"/>
        </w:rPr>
        <w:t>Air/dust:</w:t>
      </w:r>
      <w:r w:rsidRPr="002B3F36">
        <w:rPr>
          <w:rFonts w:ascii="Arial" w:hAnsi="Arial" w:cs="Arial"/>
        </w:rPr>
        <w:t xml:space="preserve"> Irrigate unpaved access and stockpiles in dry/windy periods; harden primary access where justified; implement safe fuel/lubricants handling.</w:t>
      </w:r>
    </w:p>
    <w:p w14:paraId="4A4A52ED" w14:textId="77777777" w:rsidR="00827137" w:rsidRPr="002B3F36" w:rsidRDefault="00827137" w:rsidP="00827137">
      <w:pPr>
        <w:pStyle w:val="ReportBodyTextNogap"/>
      </w:pPr>
    </w:p>
    <w:p w14:paraId="587CE2BD"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E) Restoration &amp; Compensatory Measures</w:t>
      </w:r>
    </w:p>
    <w:p w14:paraId="4A134FCA" w14:textId="77777777" w:rsidR="00CE31E8" w:rsidRPr="002B3F36" w:rsidRDefault="00CE31E8" w:rsidP="009B4CDB">
      <w:pPr>
        <w:pStyle w:val="aff9"/>
        <w:numPr>
          <w:ilvl w:val="0"/>
          <w:numId w:val="189"/>
        </w:numPr>
        <w:spacing w:before="0" w:beforeAutospacing="0" w:after="0" w:afterAutospacing="0"/>
        <w:jc w:val="both"/>
        <w:rPr>
          <w:rFonts w:ascii="Arial" w:hAnsi="Arial" w:cs="Arial"/>
        </w:rPr>
      </w:pPr>
      <w:r w:rsidRPr="002B3F36">
        <w:rPr>
          <w:rStyle w:val="affffb"/>
        </w:rPr>
        <w:t>Progressive restoration:</w:t>
      </w:r>
      <w:r w:rsidRPr="002B3F36">
        <w:rPr>
          <w:rFonts w:ascii="Arial" w:hAnsi="Arial" w:cs="Arial"/>
        </w:rPr>
        <w:t xml:space="preserve"> Salvage topsoil; </w:t>
      </w:r>
      <w:r w:rsidRPr="002B3F36">
        <w:rPr>
          <w:rStyle w:val="affffb"/>
        </w:rPr>
        <w:t>reseeding with native steppe species</w:t>
      </w:r>
      <w:r w:rsidRPr="002B3F36">
        <w:rPr>
          <w:rFonts w:ascii="Arial" w:hAnsi="Arial" w:cs="Arial"/>
        </w:rPr>
        <w:t xml:space="preserve">; prevent invasives; success criteria (e.g., </w:t>
      </w:r>
      <w:r w:rsidRPr="002B3F36">
        <w:rPr>
          <w:rStyle w:val="affffb"/>
        </w:rPr>
        <w:t>≥70% vegetative cover within two growing seasons</w:t>
      </w:r>
      <w:r w:rsidRPr="002B3F36">
        <w:rPr>
          <w:rFonts w:ascii="Arial" w:hAnsi="Arial" w:cs="Arial"/>
        </w:rPr>
        <w:t xml:space="preserve"> and composition trending to reference).</w:t>
      </w:r>
    </w:p>
    <w:p w14:paraId="61E8DE22" w14:textId="586BC04B" w:rsidR="00CE31E8" w:rsidRPr="002B3F36" w:rsidRDefault="00CE31E8" w:rsidP="009B4CDB">
      <w:pPr>
        <w:pStyle w:val="aff9"/>
        <w:numPr>
          <w:ilvl w:val="0"/>
          <w:numId w:val="189"/>
        </w:numPr>
        <w:jc w:val="both"/>
        <w:rPr>
          <w:rFonts w:ascii="Arial" w:hAnsi="Arial" w:cs="Arial"/>
        </w:rPr>
      </w:pPr>
      <w:r w:rsidRPr="002B3F36">
        <w:rPr>
          <w:rStyle w:val="affffb"/>
        </w:rPr>
        <w:t>Compensatory planting:</w:t>
      </w:r>
      <w:r w:rsidRPr="002B3F36">
        <w:rPr>
          <w:rFonts w:ascii="Arial" w:hAnsi="Arial" w:cs="Arial"/>
        </w:rPr>
        <w:t xml:space="preserve"> Where tree removal is authorized, comply with </w:t>
      </w:r>
      <w:r w:rsidR="003A184C">
        <w:rPr>
          <w:rStyle w:val="affffb"/>
        </w:rPr>
        <w:t>Karagandy</w:t>
      </w:r>
      <w:r w:rsidRPr="002B3F36">
        <w:rPr>
          <w:rStyle w:val="affffb"/>
        </w:rPr>
        <w:t xml:space="preserve"> maslikhat Decision No. 222 (29-Sep-2017)</w:t>
      </w:r>
      <w:r w:rsidRPr="002B3F36">
        <w:rPr>
          <w:rFonts w:ascii="Arial" w:hAnsi="Arial" w:cs="Arial"/>
        </w:rPr>
        <w:t xml:space="preserve"> requiring </w:t>
      </w:r>
      <w:r w:rsidRPr="002B3F36">
        <w:rPr>
          <w:rStyle w:val="affffb"/>
        </w:rPr>
        <w:t>10:1</w:t>
      </w:r>
      <w:r w:rsidRPr="002B3F36">
        <w:rPr>
          <w:rFonts w:ascii="Arial" w:hAnsi="Arial" w:cs="Arial"/>
        </w:rPr>
        <w:t xml:space="preserve"> replacement; transplant viable saplings where practicable.</w:t>
      </w:r>
    </w:p>
    <w:p w14:paraId="3D9EB1D1" w14:textId="7CA137B0" w:rsidR="00CE31E8" w:rsidRPr="002B3F36" w:rsidRDefault="00CE31E8" w:rsidP="009B4CDB">
      <w:pPr>
        <w:pStyle w:val="aff9"/>
        <w:numPr>
          <w:ilvl w:val="0"/>
          <w:numId w:val="189"/>
        </w:numPr>
        <w:jc w:val="both"/>
        <w:rPr>
          <w:rFonts w:ascii="Arial" w:hAnsi="Arial" w:cs="Arial"/>
        </w:rPr>
      </w:pPr>
      <w:r w:rsidRPr="002B3F36">
        <w:rPr>
          <w:rStyle w:val="affffb"/>
        </w:rPr>
        <w:t>Critical habitat safeguard:</w:t>
      </w:r>
      <w:r w:rsidRPr="002B3F36">
        <w:rPr>
          <w:rFonts w:ascii="Arial" w:hAnsi="Arial" w:cs="Arial"/>
        </w:rPr>
        <w:t xml:space="preserve"> </w:t>
      </w:r>
      <w:r w:rsidR="00DF0EA5" w:rsidRPr="002B3F36">
        <w:rPr>
          <w:rFonts w:ascii="Arial" w:hAnsi="Arial" w:cs="Arial"/>
        </w:rPr>
        <w:t>If natural habitats are confirmed, the Project will target No Net Loss (NNL); if Critical Habitats are confirmed, it will pursue a Net Gain (NG) outcome. In both cases—after exhausting feasible on-site mitigation—the program may apply biodiversity offsets for significant residual impacts or implement additional conservation actions where residual impacts are non-significant</w:t>
      </w:r>
      <w:r w:rsidRPr="002B3F36">
        <w:rPr>
          <w:rFonts w:ascii="Arial" w:hAnsi="Arial" w:cs="Arial"/>
        </w:rPr>
        <w:t>.</w:t>
      </w:r>
    </w:p>
    <w:p w14:paraId="0C18753F"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F) Operations Interface</w:t>
      </w:r>
    </w:p>
    <w:p w14:paraId="2156AEF5" w14:textId="77777777" w:rsidR="00CE31E8" w:rsidRPr="002B3F36" w:rsidRDefault="00CE31E8" w:rsidP="009B4CDB">
      <w:pPr>
        <w:pStyle w:val="aff9"/>
        <w:numPr>
          <w:ilvl w:val="0"/>
          <w:numId w:val="190"/>
        </w:numPr>
        <w:spacing w:before="0" w:beforeAutospacing="0" w:after="0" w:afterAutospacing="0"/>
        <w:jc w:val="both"/>
        <w:rPr>
          <w:rFonts w:ascii="Arial" w:hAnsi="Arial" w:cs="Arial"/>
        </w:rPr>
      </w:pPr>
      <w:r w:rsidRPr="002B3F36">
        <w:rPr>
          <w:rFonts w:ascii="Arial" w:hAnsi="Arial" w:cs="Arial"/>
        </w:rPr>
        <w:t xml:space="preserve">Maintain and periodically audit </w:t>
      </w:r>
      <w:r w:rsidRPr="002B3F36">
        <w:rPr>
          <w:rStyle w:val="affffb"/>
        </w:rPr>
        <w:t>wildlife crossings and fencing</w:t>
      </w:r>
      <w:r w:rsidRPr="002B3F36">
        <w:rPr>
          <w:rFonts w:ascii="Arial" w:hAnsi="Arial" w:cs="Arial"/>
        </w:rPr>
        <w:t>; repair promptly; keep crossing substrates natural.</w:t>
      </w:r>
    </w:p>
    <w:p w14:paraId="1582A1E8" w14:textId="6ADD21ED" w:rsidR="00CE31E8" w:rsidRPr="002B3F36" w:rsidRDefault="00827137" w:rsidP="009B4CDB">
      <w:pPr>
        <w:pStyle w:val="aff9"/>
        <w:numPr>
          <w:ilvl w:val="0"/>
          <w:numId w:val="190"/>
        </w:numPr>
        <w:jc w:val="both"/>
        <w:rPr>
          <w:rFonts w:ascii="Arial" w:hAnsi="Arial" w:cs="Arial"/>
        </w:rPr>
      </w:pPr>
      <w:r w:rsidRPr="002B3F36">
        <w:rPr>
          <w:rStyle w:val="affffb"/>
        </w:rPr>
        <w:t>Train operator</w:t>
      </w:r>
      <w:r w:rsidR="00CE31E8" w:rsidRPr="002B3F36">
        <w:rPr>
          <w:rStyle w:val="affffb"/>
        </w:rPr>
        <w:t xml:space="preserve"> alerts/speed caution</w:t>
      </w:r>
      <w:r w:rsidR="00CE31E8" w:rsidRPr="002B3F36">
        <w:rPr>
          <w:rFonts w:ascii="Arial" w:hAnsi="Arial" w:cs="Arial"/>
        </w:rPr>
        <w:t xml:space="preserve"> through high-use wildlife corridors based on monitoring results; assess wildlife-detection systems where justified.</w:t>
      </w:r>
    </w:p>
    <w:p w14:paraId="4F89FDE6" w14:textId="77777777" w:rsidR="00CE31E8" w:rsidRPr="002B3F36" w:rsidRDefault="00CE31E8" w:rsidP="009B4CDB">
      <w:pPr>
        <w:pStyle w:val="aff9"/>
        <w:numPr>
          <w:ilvl w:val="0"/>
          <w:numId w:val="190"/>
        </w:numPr>
        <w:jc w:val="both"/>
        <w:rPr>
          <w:rFonts w:ascii="Arial" w:hAnsi="Arial" w:cs="Arial"/>
        </w:rPr>
      </w:pPr>
      <w:r w:rsidRPr="002B3F36">
        <w:rPr>
          <w:rFonts w:ascii="Arial" w:hAnsi="Arial" w:cs="Arial"/>
        </w:rPr>
        <w:t xml:space="preserve">Maintain </w:t>
      </w:r>
      <w:r w:rsidRPr="002B3F36">
        <w:rPr>
          <w:rStyle w:val="affffb"/>
        </w:rPr>
        <w:t>avian-safe fittings</w:t>
      </w:r>
      <w:r w:rsidRPr="002B3F36">
        <w:rPr>
          <w:rFonts w:ascii="Arial" w:hAnsi="Arial" w:cs="Arial"/>
        </w:rPr>
        <w:t xml:space="preserve"> on power lines; keep lighting at operational minimums consistent with dark-sky plan.</w:t>
      </w:r>
    </w:p>
    <w:p w14:paraId="7BDE385E"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G) Monitoring &amp; Adaptive Management</w:t>
      </w:r>
    </w:p>
    <w:p w14:paraId="172569DC" w14:textId="77777777" w:rsidR="00CE31E8" w:rsidRPr="002B3F36" w:rsidRDefault="00CE31E8" w:rsidP="009B4CDB">
      <w:pPr>
        <w:pStyle w:val="aff9"/>
        <w:numPr>
          <w:ilvl w:val="0"/>
          <w:numId w:val="191"/>
        </w:numPr>
        <w:spacing w:before="0" w:beforeAutospacing="0" w:after="0" w:afterAutospacing="0"/>
        <w:jc w:val="both"/>
        <w:rPr>
          <w:rFonts w:ascii="Arial" w:hAnsi="Arial" w:cs="Arial"/>
        </w:rPr>
      </w:pPr>
      <w:r w:rsidRPr="002B3F36">
        <w:rPr>
          <w:rStyle w:val="affffb"/>
        </w:rPr>
        <w:lastRenderedPageBreak/>
        <w:t>Pre-works:</w:t>
      </w:r>
      <w:r w:rsidRPr="002B3F36">
        <w:rPr>
          <w:rFonts w:ascii="Arial" w:hAnsi="Arial" w:cs="Arial"/>
        </w:rPr>
        <w:t xml:space="preserve"> Confirm saiga routes; raptor/nest surveys; herpetofauna checks; aquatic baseline at crossings.</w:t>
      </w:r>
    </w:p>
    <w:p w14:paraId="115ACC34" w14:textId="77777777" w:rsidR="00CE31E8" w:rsidRPr="002B3F36" w:rsidRDefault="00CE31E8" w:rsidP="009B4CDB">
      <w:pPr>
        <w:pStyle w:val="aff9"/>
        <w:numPr>
          <w:ilvl w:val="0"/>
          <w:numId w:val="191"/>
        </w:numPr>
        <w:jc w:val="both"/>
        <w:rPr>
          <w:rFonts w:ascii="Arial" w:hAnsi="Arial" w:cs="Arial"/>
        </w:rPr>
      </w:pPr>
      <w:r w:rsidRPr="002B3F36">
        <w:rPr>
          <w:rStyle w:val="affffb"/>
        </w:rPr>
        <w:t>During works:</w:t>
      </w:r>
      <w:r w:rsidRPr="002B3F36">
        <w:rPr>
          <w:rFonts w:ascii="Arial" w:hAnsi="Arial" w:cs="Arial"/>
        </w:rPr>
        <w:t xml:space="preserve"> Compliance checks for buffers, lighting shields, and ESC; trench-fauna rescue logs; turbidity/spill incident tracking.</w:t>
      </w:r>
    </w:p>
    <w:p w14:paraId="6358B1F8" w14:textId="77777777" w:rsidR="00CE31E8" w:rsidRPr="002B3F36" w:rsidRDefault="00CE31E8" w:rsidP="009B4CDB">
      <w:pPr>
        <w:pStyle w:val="aff9"/>
        <w:numPr>
          <w:ilvl w:val="0"/>
          <w:numId w:val="191"/>
        </w:numPr>
        <w:jc w:val="both"/>
        <w:rPr>
          <w:rFonts w:ascii="Arial" w:hAnsi="Arial" w:cs="Arial"/>
        </w:rPr>
      </w:pPr>
      <w:r w:rsidRPr="002B3F36">
        <w:rPr>
          <w:rStyle w:val="affffb"/>
        </w:rPr>
        <w:t>Effectiveness:</w:t>
      </w:r>
      <w:r w:rsidRPr="002B3F36">
        <w:rPr>
          <w:rFonts w:ascii="Arial" w:hAnsi="Arial" w:cs="Arial"/>
        </w:rPr>
        <w:t xml:space="preserve"> Camera traps/track pads at crossings; collision/entrapment logs; revegetation transects and invasive-species audits.</w:t>
      </w:r>
    </w:p>
    <w:p w14:paraId="5CB05115" w14:textId="77777777" w:rsidR="00CE31E8" w:rsidRPr="002B3F36" w:rsidRDefault="00CE31E8" w:rsidP="009B4CDB">
      <w:pPr>
        <w:pStyle w:val="aff9"/>
        <w:numPr>
          <w:ilvl w:val="0"/>
          <w:numId w:val="191"/>
        </w:numPr>
        <w:jc w:val="both"/>
        <w:rPr>
          <w:rFonts w:ascii="Arial" w:hAnsi="Arial" w:cs="Arial"/>
        </w:rPr>
      </w:pPr>
      <w:r w:rsidRPr="002B3F36">
        <w:rPr>
          <w:rStyle w:val="affffb"/>
        </w:rPr>
        <w:t>Adaptive actions:</w:t>
      </w:r>
      <w:r w:rsidRPr="002B3F36">
        <w:rPr>
          <w:rFonts w:ascii="Arial" w:hAnsi="Arial" w:cs="Arial"/>
        </w:rPr>
        <w:t xml:space="preserve"> Add/modify guide fencing, adjust lighting curfews, retrofit crossings if utilization is low.</w:t>
      </w:r>
    </w:p>
    <w:p w14:paraId="7323723C" w14:textId="77777777" w:rsidR="00CE31E8" w:rsidRPr="002B3F36" w:rsidRDefault="00CE31E8" w:rsidP="00701F4F">
      <w:pPr>
        <w:pStyle w:val="41"/>
      </w:pPr>
      <w:bookmarkStart w:id="2529" w:name="_Toc210589522"/>
      <w:r w:rsidRPr="002B3F36">
        <w:t>Compliance with Andasai SPNA Requirements</w:t>
      </w:r>
      <w:bookmarkEnd w:id="2529"/>
    </w:p>
    <w:p w14:paraId="31E25F4F"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Obligations (site translation into actions)</w:t>
      </w:r>
    </w:p>
    <w:p w14:paraId="546F28BF" w14:textId="5C944D6B" w:rsidR="00CE31E8" w:rsidRPr="002B3F36" w:rsidRDefault="00CE31E8" w:rsidP="009B4CDB">
      <w:pPr>
        <w:pStyle w:val="aff9"/>
        <w:numPr>
          <w:ilvl w:val="0"/>
          <w:numId w:val="192"/>
        </w:numPr>
        <w:spacing w:before="0" w:beforeAutospacing="0" w:after="0" w:afterAutospacing="0"/>
        <w:jc w:val="both"/>
        <w:rPr>
          <w:rFonts w:ascii="Arial" w:hAnsi="Arial" w:cs="Arial"/>
        </w:rPr>
      </w:pPr>
      <w:r w:rsidRPr="002B3F36">
        <w:rPr>
          <w:rFonts w:ascii="Arial" w:hAnsi="Arial" w:cs="Arial"/>
        </w:rPr>
        <w:t xml:space="preserve">Use </w:t>
      </w:r>
      <w:r w:rsidRPr="002B3F36">
        <w:rPr>
          <w:rStyle w:val="affffb"/>
        </w:rPr>
        <w:t>low-impact methods</w:t>
      </w:r>
      <w:r w:rsidRPr="002B3F36">
        <w:rPr>
          <w:rFonts w:ascii="Arial" w:hAnsi="Arial" w:cs="Arial"/>
        </w:rPr>
        <w:t xml:space="preserve">; prevent soil degradation/pollution; comply with construction, environmental, and sanitary rules; brief all personnel on SPNA rules with </w:t>
      </w:r>
      <w:r w:rsidRPr="002B3F36">
        <w:rPr>
          <w:rStyle w:val="affffb"/>
        </w:rPr>
        <w:t>signed induction records</w:t>
      </w:r>
      <w:r w:rsidRPr="002B3F36">
        <w:rPr>
          <w:rFonts w:ascii="Arial" w:hAnsi="Arial" w:cs="Arial"/>
        </w:rPr>
        <w:t xml:space="preserve">; maintain </w:t>
      </w:r>
      <w:r w:rsidRPr="002B3F36">
        <w:rPr>
          <w:rStyle w:val="affffb"/>
        </w:rPr>
        <w:t>fire breaks</w:t>
      </w:r>
      <w:r w:rsidRPr="002B3F36">
        <w:rPr>
          <w:rFonts w:ascii="Arial" w:hAnsi="Arial" w:cs="Arial"/>
        </w:rPr>
        <w:t xml:space="preserve"> and hot-work controls; enable </w:t>
      </w:r>
      <w:r w:rsidRPr="002B3F36">
        <w:rPr>
          <w:rStyle w:val="affffb"/>
        </w:rPr>
        <w:t>inspector access</w:t>
      </w:r>
      <w:r w:rsidRPr="002B3F36">
        <w:rPr>
          <w:rFonts w:ascii="Arial" w:hAnsi="Arial" w:cs="Arial"/>
        </w:rPr>
        <w:t>; implement compensatory measures if any reserve assets are damaged.</w:t>
      </w:r>
    </w:p>
    <w:p w14:paraId="406AE141" w14:textId="77777777" w:rsidR="00C13FFB" w:rsidRPr="002B3F36" w:rsidRDefault="00C13FFB" w:rsidP="00C13FFB">
      <w:pPr>
        <w:pStyle w:val="ReportBodyTextNogap"/>
      </w:pPr>
    </w:p>
    <w:p w14:paraId="477B196D" w14:textId="77777777" w:rsidR="00CE31E8" w:rsidRPr="002B3F36" w:rsidRDefault="00CE31E8" w:rsidP="00C13FFB">
      <w:pPr>
        <w:pStyle w:val="aff9"/>
        <w:spacing w:before="0" w:beforeAutospacing="0" w:after="0" w:afterAutospacing="0"/>
        <w:jc w:val="both"/>
        <w:rPr>
          <w:rFonts w:ascii="Arial" w:hAnsi="Arial" w:cs="Arial"/>
        </w:rPr>
      </w:pPr>
      <w:r w:rsidRPr="002B3F36">
        <w:rPr>
          <w:rStyle w:val="affffb"/>
        </w:rPr>
        <w:t>Prohibitions (controls/enforcement)</w:t>
      </w:r>
    </w:p>
    <w:p w14:paraId="421B9794" w14:textId="2EEC8A6E" w:rsidR="00F61F8E" w:rsidRPr="002B3F36" w:rsidRDefault="00CE31E8" w:rsidP="009B4CDB">
      <w:pPr>
        <w:pStyle w:val="aff9"/>
        <w:numPr>
          <w:ilvl w:val="0"/>
          <w:numId w:val="193"/>
        </w:numPr>
        <w:spacing w:before="0" w:beforeAutospacing="0" w:after="0" w:afterAutospacing="0"/>
        <w:jc w:val="both"/>
        <w:rPr>
          <w:rFonts w:ascii="Arial" w:hAnsi="Arial" w:cs="Arial"/>
        </w:rPr>
      </w:pPr>
      <w:r w:rsidRPr="002B3F36">
        <w:rPr>
          <w:rFonts w:ascii="Arial" w:hAnsi="Arial" w:cs="Arial"/>
        </w:rPr>
        <w:t xml:space="preserve">No wildlife extraction; no saxaul cutting/uprooting; no nest/den destruction or egg collection; no off-road driving; no unpermitted quarrying; no waste storage or liquid discharge outside </w:t>
      </w:r>
      <w:r w:rsidRPr="002B3F36">
        <w:rPr>
          <w:rStyle w:val="affffb"/>
        </w:rPr>
        <w:t>designated, contained, and approved</w:t>
      </w:r>
      <w:r w:rsidRPr="002B3F36">
        <w:rPr>
          <w:rFonts w:ascii="Arial" w:hAnsi="Arial" w:cs="Arial"/>
        </w:rPr>
        <w:t xml:space="preserve"> areas. Enforce via site rules, signage, spot checks, stop-work authority, and NCR/CAPA tracking.</w:t>
      </w:r>
    </w:p>
    <w:p w14:paraId="43876EE2" w14:textId="05049A38" w:rsidR="00C13FFB" w:rsidRPr="002B3F36" w:rsidRDefault="00C13FFB" w:rsidP="00C13FFB">
      <w:pPr>
        <w:pStyle w:val="ReportBodyPar"/>
      </w:pPr>
    </w:p>
    <w:p w14:paraId="77F7D354" w14:textId="2CAFCC82" w:rsidR="008D461F" w:rsidRPr="002B3F36" w:rsidRDefault="008D461F" w:rsidP="008D461F">
      <w:pPr>
        <w:pStyle w:val="41"/>
      </w:pPr>
      <w:bookmarkStart w:id="2530" w:name="_Toc210589523"/>
      <w:r w:rsidRPr="002B3F36">
        <w:t xml:space="preserve">Cumulative Impacts for </w:t>
      </w:r>
      <w:r w:rsidR="00481636" w:rsidRPr="002B3F36">
        <w:t>Biodiversity</w:t>
      </w:r>
      <w:bookmarkEnd w:id="2530"/>
    </w:p>
    <w:p w14:paraId="1C9CF9A3" w14:textId="63C5E0C9" w:rsidR="008D461F" w:rsidRPr="002B3F36" w:rsidRDefault="00481636" w:rsidP="00C13FFB">
      <w:pPr>
        <w:pStyle w:val="ReportBodyPar"/>
      </w:pPr>
      <w:bookmarkStart w:id="2531" w:name="_Hlk210659881"/>
      <w:r w:rsidRPr="002B3F36">
        <w:t>Most of the 32</w:t>
      </w:r>
      <w:r w:rsidR="005C152A">
        <w:t>2.2</w:t>
      </w:r>
      <w:r w:rsidRPr="002B3F36">
        <w:t xml:space="preserve"> km corridor traverses steppe habitats with riparian patches, farmed land, and community woodlots. Other projects are limited mainly to the connection nodes at Mointy and Kyzylzhar, plus foreseeable activities like KTZ works, local road upgrades, borrow/quarry use, settlement growth, and added logistics traffic. Sensitive receptors include steppe/wetland habitats, migration routes (notably saiga), raptors and other key birds in the IBAs, protected features in Andasai, and watercourses.</w:t>
      </w:r>
    </w:p>
    <w:p w14:paraId="17D9121B" w14:textId="587FF445" w:rsidR="00481636" w:rsidRPr="002B3F36" w:rsidRDefault="00481636" w:rsidP="00C13FFB">
      <w:pPr>
        <w:pStyle w:val="ReportBodyPar"/>
      </w:pPr>
    </w:p>
    <w:p w14:paraId="57DCDB1A" w14:textId="7C96173A" w:rsidR="00481636" w:rsidRPr="002B3F36" w:rsidRDefault="00481636" w:rsidP="00756C76">
      <w:pPr>
        <w:pStyle w:val="DiaList12"/>
        <w:rPr>
          <w:rFonts w:eastAsia="SimSun"/>
          <w:lang w:val="en-PH"/>
        </w:rPr>
      </w:pPr>
      <w:r w:rsidRPr="002B3F36">
        <w:rPr>
          <w:rFonts w:eastAsia="SimSun"/>
          <w:lang w:val="en-PH"/>
        </w:rPr>
        <w:t>Origin of Impact</w:t>
      </w:r>
      <w:r w:rsidR="00756C76" w:rsidRPr="002B3F36">
        <w:rPr>
          <w:rFonts w:eastAsia="SimSun"/>
          <w:lang w:val="en-PH"/>
        </w:rPr>
        <w:t>:</w:t>
      </w:r>
    </w:p>
    <w:p w14:paraId="04D5CFA6" w14:textId="37A75DB8" w:rsidR="00481636" w:rsidRPr="002B3F36" w:rsidRDefault="00481636" w:rsidP="00756C76">
      <w:pPr>
        <w:pStyle w:val="Bullet12"/>
      </w:pPr>
      <w:r w:rsidRPr="002B3F36">
        <w:rPr>
          <w:b/>
        </w:rPr>
        <w:t>Corridor-wide (Flora &amp; Fauna):</w:t>
      </w:r>
      <w:r w:rsidRPr="002B3F36">
        <w:t xml:space="preserve"> Vegetation clearing and earthworks for the rail embankment, camps, borrow/crushing plants, access roads, and utility </w:t>
      </w:r>
      <w:r w:rsidR="00756C76" w:rsidRPr="002B3F36">
        <w:t>connections</w:t>
      </w:r>
      <w:r w:rsidRPr="002B3F36">
        <w:t>; noise, vibration, lighting, traffic, and workforce presence during construction; linear infrastructure (embankments/fencing) creating barriers; dust and exhaust; erosion/sedimentation and accidental spills; open pits/trenches; water abstraction and in-channel works at crossings; and, in operations, recurring train movements, yard lighting, and maintenance.</w:t>
      </w:r>
    </w:p>
    <w:p w14:paraId="4480EC44" w14:textId="77777777" w:rsidR="00481636" w:rsidRPr="002B3F36" w:rsidRDefault="00481636" w:rsidP="00756C76">
      <w:pPr>
        <w:pStyle w:val="Bullet12"/>
      </w:pPr>
      <w:r w:rsidRPr="002B3F36">
        <w:rPr>
          <w:b/>
        </w:rPr>
        <w:t>Important Bird Areas (Ortav Lowlands, Ayak-Bestau):</w:t>
      </w:r>
      <w:r w:rsidRPr="002B3F36">
        <w:t xml:space="preserve"> Habitat disturbance from embankments and access routes; construction/operations noise and night lighting; collision/electrocution on associated power lines; increased human access.</w:t>
      </w:r>
    </w:p>
    <w:p w14:paraId="3607306F" w14:textId="5557AD04" w:rsidR="00481636" w:rsidRPr="002B3F36" w:rsidRDefault="00481636" w:rsidP="00756C76">
      <w:pPr>
        <w:pStyle w:val="Bullet12"/>
      </w:pPr>
      <w:r w:rsidRPr="002B3F36">
        <w:rPr>
          <w:b/>
        </w:rPr>
        <w:t>Andasai State Nature Sanctuary (Cluster 2):</w:t>
      </w:r>
      <w:r w:rsidRPr="002B3F36">
        <w:t xml:space="preserve"> Works within a protected area used by saiga and other notable species; embankments/fencing affecting movement; night lighting, traffic, and intensive works; SPNA restrictions governing clearing, access, waste, and hazardous materials.</w:t>
      </w:r>
    </w:p>
    <w:p w14:paraId="1F954E9E" w14:textId="77777777" w:rsidR="00481636" w:rsidRPr="002B3F36" w:rsidRDefault="00481636" w:rsidP="00756C76">
      <w:pPr>
        <w:pStyle w:val="ReportBodyPar"/>
        <w:rPr>
          <w:lang w:val="en-PH"/>
        </w:rPr>
      </w:pPr>
    </w:p>
    <w:p w14:paraId="3BEA75CC" w14:textId="153E9F5D" w:rsidR="00481636" w:rsidRPr="002B3F36" w:rsidRDefault="00481636" w:rsidP="00756C76">
      <w:pPr>
        <w:pStyle w:val="DiaList12"/>
        <w:rPr>
          <w:rFonts w:eastAsia="SimSun"/>
          <w:lang w:val="en-PH"/>
        </w:rPr>
      </w:pPr>
      <w:r w:rsidRPr="002B3F36">
        <w:rPr>
          <w:rFonts w:eastAsia="SimSun"/>
          <w:lang w:val="en-PH"/>
        </w:rPr>
        <w:t>Impact Assessment</w:t>
      </w:r>
      <w:r w:rsidR="00756C76" w:rsidRPr="002B3F36">
        <w:rPr>
          <w:rFonts w:eastAsia="SimSun"/>
          <w:lang w:val="en-PH"/>
        </w:rPr>
        <w:t>:</w:t>
      </w:r>
    </w:p>
    <w:p w14:paraId="2379181A" w14:textId="77777777" w:rsidR="00481636" w:rsidRPr="002B3F36" w:rsidRDefault="00481636" w:rsidP="00756C76">
      <w:pPr>
        <w:pStyle w:val="BulletPar"/>
        <w:ind w:left="990"/>
        <w:rPr>
          <w:lang w:val="en-PH"/>
        </w:rPr>
      </w:pPr>
      <w:r w:rsidRPr="002B3F36">
        <w:rPr>
          <w:b/>
          <w:bCs/>
          <w:lang w:val="en-PH"/>
        </w:rPr>
        <w:lastRenderedPageBreak/>
        <w:t>Corridor-wide (Flora &amp; Fauna):</w:t>
      </w:r>
      <w:r w:rsidRPr="002B3F36">
        <w:rPr>
          <w:lang w:val="en-PH"/>
        </w:rPr>
        <w:t xml:space="preserve"> Loss and fragmentation of steppe/riparian habitats; disturbance to mammals, birds, reptiles/amphibians, and fish; trench entrapment (herpetofauna), collision risk (wildlife–train), and bird strikes on power lines; turbidity and entrainment at water intakes/crossings. Overall significance </w:t>
      </w:r>
      <w:r w:rsidRPr="002B3F36">
        <w:rPr>
          <w:b/>
          <w:bCs/>
          <w:lang w:val="en-PH"/>
        </w:rPr>
        <w:t>Moderate</w:t>
      </w:r>
      <w:r w:rsidRPr="002B3F36">
        <w:rPr>
          <w:lang w:val="en-PH"/>
        </w:rPr>
        <w:t xml:space="preserve"> pre-mitigation, trending </w:t>
      </w:r>
      <w:r w:rsidRPr="002B3F36">
        <w:rPr>
          <w:b/>
          <w:bCs/>
          <w:lang w:val="en-PH"/>
        </w:rPr>
        <w:t>High</w:t>
      </w:r>
      <w:r w:rsidRPr="002B3F36">
        <w:rPr>
          <w:lang w:val="en-PH"/>
        </w:rPr>
        <w:t xml:space="preserve"> locally where migration routes, nesting/roosting, or crossings concentrate.</w:t>
      </w:r>
    </w:p>
    <w:p w14:paraId="6A833E9D" w14:textId="77777777" w:rsidR="00756C76" w:rsidRPr="002B3F36" w:rsidRDefault="00481636" w:rsidP="00756C76">
      <w:pPr>
        <w:pStyle w:val="BulletPar"/>
        <w:ind w:left="990"/>
        <w:rPr>
          <w:lang w:val="en-PH"/>
        </w:rPr>
      </w:pPr>
      <w:r w:rsidRPr="002B3F36">
        <w:rPr>
          <w:b/>
          <w:bCs/>
          <w:lang w:val="en-PH"/>
        </w:rPr>
        <w:t>IBAs:</w:t>
      </w:r>
      <w:r w:rsidRPr="002B3F36">
        <w:rPr>
          <w:lang w:val="en-PH"/>
        </w:rPr>
        <w:t xml:space="preserve"> For raptors, steppe and wetland birds, cumulative risks arise from habitat fragmentation, disturbance during nesting/migration, and line strikes/electrocution—</w:t>
      </w:r>
      <w:r w:rsidRPr="002B3F36">
        <w:rPr>
          <w:b/>
          <w:bCs/>
          <w:lang w:val="en-PH"/>
        </w:rPr>
        <w:t>Moderate</w:t>
      </w:r>
      <w:r w:rsidRPr="002B3F36">
        <w:rPr>
          <w:lang w:val="en-PH"/>
        </w:rPr>
        <w:t xml:space="preserve">, rising to </w:t>
      </w:r>
      <w:r w:rsidRPr="002B3F36">
        <w:rPr>
          <w:b/>
          <w:bCs/>
          <w:lang w:val="en-PH"/>
        </w:rPr>
        <w:t>High</w:t>
      </w:r>
      <w:r w:rsidRPr="002B3F36">
        <w:rPr>
          <w:lang w:val="en-PH"/>
        </w:rPr>
        <w:t xml:space="preserve"> during peak overlap or poor visibility.</w:t>
      </w:r>
    </w:p>
    <w:p w14:paraId="5B240885" w14:textId="35D59677" w:rsidR="00481636" w:rsidRPr="002B3F36" w:rsidRDefault="00481636" w:rsidP="00756C76">
      <w:pPr>
        <w:pStyle w:val="BulletPar"/>
        <w:ind w:left="990"/>
        <w:rPr>
          <w:lang w:val="en-PH"/>
        </w:rPr>
      </w:pPr>
      <w:r w:rsidRPr="002B3F36">
        <w:rPr>
          <w:b/>
          <w:bCs/>
          <w:lang w:val="en-PH"/>
        </w:rPr>
        <w:t>Andasai Sanctuary:</w:t>
      </w:r>
      <w:r w:rsidRPr="002B3F36">
        <w:rPr>
          <w:lang w:val="en-PH"/>
        </w:rPr>
        <w:t xml:space="preserve"> Barrier effects to wide-ranging fauna, displacement from construction fronts and lighting, and collision risk on intersecting corridors—</w:t>
      </w:r>
      <w:r w:rsidRPr="002B3F36">
        <w:rPr>
          <w:b/>
          <w:bCs/>
          <w:lang w:val="en-PH"/>
        </w:rPr>
        <w:t>Moderate</w:t>
      </w:r>
      <w:r w:rsidRPr="002B3F36">
        <w:rPr>
          <w:lang w:val="en-PH"/>
        </w:rPr>
        <w:t xml:space="preserve"> pre-mitigation, potentially </w:t>
      </w:r>
      <w:r w:rsidRPr="002B3F36">
        <w:rPr>
          <w:b/>
          <w:bCs/>
          <w:lang w:val="en-PH"/>
        </w:rPr>
        <w:t>High</w:t>
      </w:r>
      <w:r w:rsidRPr="002B3F36">
        <w:rPr>
          <w:lang w:val="en-PH"/>
        </w:rPr>
        <w:t xml:space="preserve"> along migration paths.</w:t>
      </w:r>
    </w:p>
    <w:bookmarkEnd w:id="2531"/>
    <w:p w14:paraId="0FFC329D" w14:textId="77777777" w:rsidR="00481636" w:rsidRPr="002B3F36" w:rsidRDefault="00481636" w:rsidP="00756C76">
      <w:pPr>
        <w:pStyle w:val="ReportBodyPar"/>
        <w:rPr>
          <w:lang w:val="en-PH"/>
        </w:rPr>
      </w:pPr>
    </w:p>
    <w:p w14:paraId="006334A2" w14:textId="51920703" w:rsidR="00481636" w:rsidRPr="002B3F36" w:rsidRDefault="00481636" w:rsidP="00756C76">
      <w:pPr>
        <w:pStyle w:val="DiaList12"/>
        <w:rPr>
          <w:rFonts w:eastAsia="SimSun"/>
          <w:lang w:val="en-PH"/>
        </w:rPr>
      </w:pPr>
      <w:bookmarkStart w:id="2532" w:name="_Hlk210660107"/>
      <w:r w:rsidRPr="002B3F36">
        <w:rPr>
          <w:rFonts w:eastAsia="SimSun"/>
          <w:lang w:val="en-PH"/>
        </w:rPr>
        <w:sym w:font="Symbol" w:char="F0D8"/>
      </w:r>
      <w:r w:rsidRPr="002B3F36">
        <w:rPr>
          <w:rFonts w:eastAsia="SimSun"/>
          <w:lang w:val="en-PH"/>
        </w:rPr>
        <w:t xml:space="preserve"> Mitigation Measures</w:t>
      </w:r>
      <w:r w:rsidR="00756C76" w:rsidRPr="002B3F36">
        <w:rPr>
          <w:rFonts w:eastAsia="SimSun"/>
          <w:lang w:val="en-PH"/>
        </w:rPr>
        <w:t>:</w:t>
      </w:r>
    </w:p>
    <w:p w14:paraId="411AF30A" w14:textId="77777777" w:rsidR="00756C76" w:rsidRPr="002B3F36" w:rsidRDefault="00481636" w:rsidP="00756C76">
      <w:pPr>
        <w:pStyle w:val="Bullet12"/>
      </w:pPr>
      <w:r w:rsidRPr="002B3F36">
        <w:rPr>
          <w:b/>
        </w:rPr>
        <w:t>Avoid/Minimize (Design &amp; Construction):</w:t>
      </w:r>
      <w:r w:rsidRPr="002B3F36">
        <w:t xml:space="preserve"> </w:t>
      </w:r>
    </w:p>
    <w:p w14:paraId="146F7473" w14:textId="61603917" w:rsidR="00756C76" w:rsidRPr="002B3F36" w:rsidRDefault="002A4754" w:rsidP="00756C76">
      <w:pPr>
        <w:pStyle w:val="DashBullet"/>
      </w:pPr>
      <w:r w:rsidRPr="002B3F36">
        <w:t>K</w:t>
      </w:r>
      <w:r w:rsidR="00481636" w:rsidRPr="002B3F36">
        <w:t xml:space="preserve">eep to approved boundaries; maintain riparian buffers. </w:t>
      </w:r>
    </w:p>
    <w:p w14:paraId="321E0138" w14:textId="77777777" w:rsidR="002A4754" w:rsidRPr="002B3F36" w:rsidRDefault="00481636" w:rsidP="00756C76">
      <w:pPr>
        <w:pStyle w:val="DashBullet"/>
      </w:pPr>
      <w:r w:rsidRPr="002B3F36">
        <w:t>Provide wildlife permeability—under/overpasses or large culverts with natural substrate</w:t>
      </w:r>
      <w:r w:rsidR="002A4754" w:rsidRPr="002B3F36">
        <w:t xml:space="preserve">, where necessary </w:t>
      </w:r>
      <w:r w:rsidRPr="002B3F36">
        <w:t xml:space="preserve">paired with guide fencing and flatter approaches (≈1:6–1:10). </w:t>
      </w:r>
    </w:p>
    <w:p w14:paraId="2F52EB4B" w14:textId="77777777" w:rsidR="002A4754" w:rsidRPr="002B3F36" w:rsidRDefault="00481636" w:rsidP="00756C76">
      <w:pPr>
        <w:pStyle w:val="DashBullet"/>
      </w:pPr>
      <w:r w:rsidRPr="002B3F36">
        <w:t>Apply dark-sky lighting (shielding, curfews, motion sensors) and seasonal windows (avoid April–August nesting; avoid April–May herpetofauna breeding;</w:t>
      </w:r>
    </w:p>
    <w:p w14:paraId="2E9F2558" w14:textId="0A6E9DF8" w:rsidR="00756C76" w:rsidRPr="002B3F36" w:rsidRDefault="002A4754" w:rsidP="00756C76">
      <w:pPr>
        <w:pStyle w:val="DashBullet"/>
      </w:pPr>
      <w:r w:rsidRPr="002B3F36">
        <w:t>S</w:t>
      </w:r>
      <w:r w:rsidR="00481636" w:rsidRPr="002B3F36">
        <w:t xml:space="preserve">chedule in-channel works outside spawning/juvenile periods). </w:t>
      </w:r>
    </w:p>
    <w:p w14:paraId="528F5294" w14:textId="77777777" w:rsidR="00756C76" w:rsidRPr="002B3F36" w:rsidRDefault="00481636" w:rsidP="00756C76">
      <w:pPr>
        <w:pStyle w:val="DashBullet"/>
      </w:pPr>
      <w:r w:rsidRPr="002B3F36">
        <w:t xml:space="preserve">Use avian-safe power-line designs with markers/diverters and insulated hardware. </w:t>
      </w:r>
    </w:p>
    <w:p w14:paraId="5D4D296C" w14:textId="77777777" w:rsidR="00756C76" w:rsidRPr="002B3F36" w:rsidRDefault="00481636" w:rsidP="00756C76">
      <w:pPr>
        <w:pStyle w:val="DashBullet"/>
      </w:pPr>
      <w:r w:rsidRPr="002B3F36">
        <w:t xml:space="preserve">Coordinate phasing to limit peak overlap; enforce a unified traffic/access plan and work-hour limits near sensitive receptors. Inspect trenches daily and install escape ramps. </w:t>
      </w:r>
    </w:p>
    <w:p w14:paraId="66CC4FA9" w14:textId="466CF704" w:rsidR="00481636" w:rsidRPr="002B3F36" w:rsidRDefault="00481636" w:rsidP="00756C76">
      <w:pPr>
        <w:pStyle w:val="DashBullet"/>
      </w:pPr>
      <w:r w:rsidRPr="002B3F36">
        <w:t>Implement erosion/sediment controls, lined washouts, bunded fuel/chemicals, spill kits, and non-community water sources.</w:t>
      </w:r>
    </w:p>
    <w:p w14:paraId="0B9BB2B7" w14:textId="77777777" w:rsidR="00756C76" w:rsidRPr="002B3F36" w:rsidRDefault="00481636" w:rsidP="00481636">
      <w:pPr>
        <w:pStyle w:val="Bullet12"/>
      </w:pPr>
      <w:r w:rsidRPr="002B3F36">
        <w:rPr>
          <w:b/>
        </w:rPr>
        <w:t>Restore/Offset:</w:t>
      </w:r>
      <w:r w:rsidRPr="002B3F36">
        <w:t xml:space="preserve"> </w:t>
      </w:r>
    </w:p>
    <w:p w14:paraId="1592436C" w14:textId="77777777" w:rsidR="00756C76" w:rsidRPr="002B3F36" w:rsidRDefault="00481636" w:rsidP="00756C76">
      <w:pPr>
        <w:pStyle w:val="DashBullet"/>
      </w:pPr>
      <w:r w:rsidRPr="002B3F36">
        <w:t xml:space="preserve">Progressive restoration with salvaged topsoil and native reseeding; replace permitted tree removals per local rules; </w:t>
      </w:r>
    </w:p>
    <w:p w14:paraId="398612B2" w14:textId="77777777" w:rsidR="00756C76" w:rsidRPr="002B3F36" w:rsidRDefault="00481636" w:rsidP="00756C76">
      <w:pPr>
        <w:pStyle w:val="DashBullet"/>
      </w:pPr>
      <w:r w:rsidRPr="002B3F36">
        <w:t>set clear success criteria (e.g., ≥70% cover within two growing seasons).</w:t>
      </w:r>
    </w:p>
    <w:p w14:paraId="21727B8B" w14:textId="77777777" w:rsidR="00756C76" w:rsidRPr="002B3F36" w:rsidRDefault="00481636" w:rsidP="00756C76">
      <w:pPr>
        <w:pStyle w:val="DashBullet"/>
      </w:pPr>
      <w:r w:rsidRPr="002B3F36">
        <w:t xml:space="preserve">Target </w:t>
      </w:r>
      <w:r w:rsidRPr="002B3F36">
        <w:rPr>
          <w:b/>
        </w:rPr>
        <w:t>No Net Loss</w:t>
      </w:r>
      <w:r w:rsidRPr="002B3F36">
        <w:t xml:space="preserve"> in natural habitat; </w:t>
      </w:r>
    </w:p>
    <w:p w14:paraId="0E7C7D38" w14:textId="3B21F9A1" w:rsidR="00481636" w:rsidRPr="002B3F36" w:rsidRDefault="00481636" w:rsidP="00A846C7">
      <w:pPr>
        <w:pStyle w:val="DashBullet"/>
      </w:pPr>
      <w:r w:rsidRPr="002B3F36">
        <w:t xml:space="preserve">where critical habitat conditions apply, pursue </w:t>
      </w:r>
      <w:r w:rsidRPr="002B3F36">
        <w:rPr>
          <w:b/>
        </w:rPr>
        <w:t>Net Gain</w:t>
      </w:r>
      <w:r w:rsidRPr="002B3F36">
        <w:t>, considering biodiversity offsets or additional conservation actions if residual effects remain.</w:t>
      </w:r>
    </w:p>
    <w:p w14:paraId="23177055" w14:textId="77777777" w:rsidR="00756C76" w:rsidRPr="002B3F36" w:rsidRDefault="00481636" w:rsidP="00756C76">
      <w:pPr>
        <w:pStyle w:val="Bullet12"/>
      </w:pPr>
      <w:r w:rsidRPr="002B3F36">
        <w:rPr>
          <w:b/>
        </w:rPr>
        <w:t>Monitoring &amp; Adaptive Management:</w:t>
      </w:r>
      <w:r w:rsidRPr="002B3F36">
        <w:t xml:space="preserve"> </w:t>
      </w:r>
    </w:p>
    <w:p w14:paraId="148E8B0F" w14:textId="77777777" w:rsidR="00756C76" w:rsidRPr="002B3F36" w:rsidRDefault="00481636" w:rsidP="00756C76">
      <w:pPr>
        <w:pStyle w:val="DashBullet"/>
      </w:pPr>
      <w:r w:rsidRPr="002B3F36">
        <w:t xml:space="preserve">Track PM and noise/vibration near communities; upstream/downstream turbidity and hydrocarbons; wildlife-passage use (cameras/track pads); </w:t>
      </w:r>
    </w:p>
    <w:p w14:paraId="7C3145C8" w14:textId="5B1344EB" w:rsidR="00756C76" w:rsidRPr="002B3F36" w:rsidRDefault="00756C76" w:rsidP="00756C76">
      <w:pPr>
        <w:pStyle w:val="DashBullet"/>
      </w:pPr>
      <w:r w:rsidRPr="002B3F36">
        <w:t>C</w:t>
      </w:r>
      <w:r w:rsidR="00481636" w:rsidRPr="002B3F36">
        <w:t xml:space="preserve">ollision/entrapment and nest-occupancy logs; </w:t>
      </w:r>
    </w:p>
    <w:p w14:paraId="28ABDFAF" w14:textId="27B03767" w:rsidR="00756C76" w:rsidRPr="002B3F36" w:rsidRDefault="00756C76" w:rsidP="00756C76">
      <w:pPr>
        <w:pStyle w:val="DashBullet"/>
      </w:pPr>
      <w:r w:rsidRPr="002B3F36">
        <w:t>R</w:t>
      </w:r>
      <w:r w:rsidR="00481636" w:rsidRPr="002B3F36">
        <w:t xml:space="preserve">evegetation and invasive-species control; grievance performance. </w:t>
      </w:r>
    </w:p>
    <w:p w14:paraId="3B244F16" w14:textId="77777777" w:rsidR="00756C76" w:rsidRPr="002B3F36" w:rsidRDefault="00756C76" w:rsidP="00756C76">
      <w:pPr>
        <w:pStyle w:val="DashBullet"/>
      </w:pPr>
      <w:r w:rsidRPr="002B3F36">
        <w:t>Where necessary, a</w:t>
      </w:r>
      <w:r w:rsidR="00481636" w:rsidRPr="002B3F36">
        <w:t xml:space="preserve">djust fencing, lighting curfews, and crossing designs based on results. </w:t>
      </w:r>
    </w:p>
    <w:p w14:paraId="573CFB15" w14:textId="3BC97899" w:rsidR="00756C76" w:rsidRPr="002B3F36" w:rsidRDefault="00481636" w:rsidP="00756C76">
      <w:pPr>
        <w:pStyle w:val="DashBullet"/>
      </w:pPr>
      <w:r w:rsidRPr="002B3F36">
        <w:t xml:space="preserve">Maintain node-specific engagement with two-week look-aheads, detours, quiet hours, and a single, accessible grievance channel. </w:t>
      </w:r>
    </w:p>
    <w:p w14:paraId="77DA5DCD" w14:textId="57CC649F" w:rsidR="00481636" w:rsidRPr="002B3F36" w:rsidRDefault="00481636" w:rsidP="00756C76">
      <w:pPr>
        <w:pStyle w:val="DashBullet"/>
      </w:pPr>
      <w:r w:rsidRPr="002B3F36">
        <w:t xml:space="preserve">With disciplined implementation, residual cumulative impacts are expected to fall to </w:t>
      </w:r>
      <w:r w:rsidRPr="002B3F36">
        <w:rPr>
          <w:b/>
        </w:rPr>
        <w:t>Low–Moderate</w:t>
      </w:r>
      <w:r w:rsidRPr="002B3F36">
        <w:t xml:space="preserve"> during construction and </w:t>
      </w:r>
      <w:r w:rsidRPr="002B3F36">
        <w:rPr>
          <w:b/>
        </w:rPr>
        <w:t>Low</w:t>
      </w:r>
      <w:r w:rsidRPr="002B3F36">
        <w:t xml:space="preserve"> in steady operations.</w:t>
      </w:r>
    </w:p>
    <w:bookmarkEnd w:id="2532"/>
    <w:p w14:paraId="1E5C182D" w14:textId="77777777" w:rsidR="008D461F" w:rsidRPr="002B3F36" w:rsidRDefault="008D461F" w:rsidP="00C13FFB">
      <w:pPr>
        <w:pStyle w:val="ReportBodyPar"/>
      </w:pPr>
    </w:p>
    <w:p w14:paraId="3792D4D2" w14:textId="08B3BC9C" w:rsidR="00F61F8E" w:rsidRPr="002B3F36" w:rsidRDefault="00850BD8" w:rsidP="005A68AD">
      <w:pPr>
        <w:pStyle w:val="31"/>
      </w:pPr>
      <w:bookmarkStart w:id="2533" w:name="_Toc169094796"/>
      <w:bookmarkStart w:id="2534" w:name="_Toc208973880"/>
      <w:bookmarkStart w:id="2535" w:name="_Toc208974080"/>
      <w:bookmarkStart w:id="2536" w:name="_Toc208974280"/>
      <w:bookmarkStart w:id="2537" w:name="_Toc208974483"/>
      <w:bookmarkStart w:id="2538" w:name="_Toc208974686"/>
      <w:bookmarkStart w:id="2539" w:name="_Toc210589524"/>
      <w:r w:rsidRPr="002B3F36">
        <w:lastRenderedPageBreak/>
        <w:t xml:space="preserve">E&amp;S </w:t>
      </w:r>
      <w:r w:rsidR="000F264B" w:rsidRPr="002B3F36">
        <w:t xml:space="preserve">Risks and Impacts Related to </w:t>
      </w:r>
      <w:r w:rsidR="00974479" w:rsidRPr="002B3F36">
        <w:t>P</w:t>
      </w:r>
      <w:r w:rsidR="000F264B" w:rsidRPr="002B3F36">
        <w:t>S 8</w:t>
      </w:r>
      <w:bookmarkEnd w:id="2533"/>
      <w:bookmarkEnd w:id="2534"/>
      <w:bookmarkEnd w:id="2535"/>
      <w:bookmarkEnd w:id="2536"/>
      <w:bookmarkEnd w:id="2537"/>
      <w:bookmarkEnd w:id="2538"/>
      <w:bookmarkEnd w:id="2539"/>
    </w:p>
    <w:p w14:paraId="2E67EECE" w14:textId="54A142EC" w:rsidR="003F0268" w:rsidRPr="002B3F36" w:rsidRDefault="003F0268" w:rsidP="003F0268">
      <w:pPr>
        <w:pStyle w:val="ReportBodyTextNogap"/>
      </w:pPr>
    </w:p>
    <w:p w14:paraId="0E95EC89" w14:textId="408F0F03" w:rsidR="003F0268" w:rsidRPr="002B3F36" w:rsidRDefault="002E14E2" w:rsidP="003F0268">
      <w:pPr>
        <w:pStyle w:val="ReportBodyTextNogap"/>
      </w:pPr>
      <w:r w:rsidRPr="002B3F36">
        <w:t xml:space="preserve">A comprehensive historical and cultural heritage assessment for the </w:t>
      </w:r>
      <w:r w:rsidR="003650DB" w:rsidRPr="002B3F36">
        <w:t xml:space="preserve">Mointy – Kyzylzhar </w:t>
      </w:r>
      <w:r w:rsidRPr="002B3F36">
        <w:t xml:space="preserve">Railway Construction Project identified 17 archaeological sites within the broader corridor; however, the state historical and cultural expertise confirmed that none fall within the designated right-of-way. Therefore, under Kazakhstan law and in line with </w:t>
      </w:r>
      <w:r w:rsidR="00F95BD8" w:rsidRPr="002B3F36">
        <w:t>WB</w:t>
      </w:r>
      <w:r w:rsidRPr="002B3F36">
        <w:t xml:space="preserve"> Performance Standard 8 (PS8) on Cultural Heritage, there are no regulatory restrictions on construction along this section. Nonetheless, consistent with PS8, the WBG General EHS Guidelines (2007), Section 1.3, and national legislation, to respond to any unanticipated risk, the project will integrate a Chance Finds Procedure into the ESMP to manage any unexpected discoveries during construction.</w:t>
      </w:r>
    </w:p>
    <w:p w14:paraId="6607FC5D" w14:textId="1C65D0C8" w:rsidR="0038476D" w:rsidRPr="002B3F36" w:rsidRDefault="000F264B" w:rsidP="00701F4F">
      <w:pPr>
        <w:pStyle w:val="41"/>
      </w:pPr>
      <w:bookmarkStart w:id="2540" w:name="_Toc169094797"/>
      <w:bookmarkStart w:id="2541" w:name="_Toc208973881"/>
      <w:bookmarkStart w:id="2542" w:name="_Toc208974081"/>
      <w:bookmarkStart w:id="2543" w:name="_Toc208974281"/>
      <w:bookmarkStart w:id="2544" w:name="_Toc208974484"/>
      <w:bookmarkStart w:id="2545" w:name="_Toc210589525"/>
      <w:r w:rsidRPr="002B3F36">
        <w:t>Cultural Heritage</w:t>
      </w:r>
      <w:bookmarkEnd w:id="2540"/>
      <w:bookmarkEnd w:id="2541"/>
      <w:bookmarkEnd w:id="2542"/>
      <w:bookmarkEnd w:id="2543"/>
      <w:bookmarkEnd w:id="2544"/>
      <w:bookmarkEnd w:id="2545"/>
    </w:p>
    <w:p w14:paraId="0B82D92A" w14:textId="4B3FCE8A" w:rsidR="00F17509" w:rsidRPr="002B3F36" w:rsidRDefault="00F17509" w:rsidP="00F17509">
      <w:pPr>
        <w:pStyle w:val="ReportBodyPar"/>
      </w:pPr>
      <w:r w:rsidRPr="002B3F36">
        <w:t xml:space="preserve">The </w:t>
      </w:r>
      <w:r w:rsidR="003650DB" w:rsidRPr="002B3F36">
        <w:t xml:space="preserve">Mointy – Kyzylzhar </w:t>
      </w:r>
      <w:r w:rsidRPr="002B3F36">
        <w:t xml:space="preserve">Railway Construction Project recognizes that archaeological and cultural heritage resources are protected under both national legislation and </w:t>
      </w:r>
      <w:r w:rsidR="00F95BD8" w:rsidRPr="002B3F36">
        <w:t>WB</w:t>
      </w:r>
      <w:r w:rsidRPr="002B3F36">
        <w:t xml:space="preserve"> Performance Standard 8 (PS8). In recognition of any potential heritage sites along the railway alignment, activities such as excavation, trenching, piling, quarrying, and borrow pit development carry the risk of uncovering previously unknown archaeological materials or culturally sensitive objects (“chance finds”). Without clear procedures, such discoveries could be vulnerable to damage, unauthorized removal, or loss, leading to irreversible cultural impacts and potential non-compliance with PS8 and national laws.</w:t>
      </w:r>
    </w:p>
    <w:p w14:paraId="35D1E4D1" w14:textId="77777777" w:rsidR="00F17509" w:rsidRPr="002B3F36" w:rsidRDefault="00F17509" w:rsidP="00F17509">
      <w:pPr>
        <w:pStyle w:val="ReportBodyPar"/>
      </w:pPr>
    </w:p>
    <w:p w14:paraId="3F7DCBB1" w14:textId="4F996881" w:rsidR="00F61F8E" w:rsidRPr="002B3F36" w:rsidRDefault="000F264B" w:rsidP="00750923">
      <w:pPr>
        <w:pStyle w:val="DiaList12"/>
        <w:rPr>
          <w:rFonts w:eastAsia="SimSun"/>
          <w:lang w:val="en-PH"/>
        </w:rPr>
      </w:pPr>
      <w:r w:rsidRPr="002B3F36">
        <w:rPr>
          <w:rFonts w:eastAsia="SimSun"/>
          <w:lang w:val="en-PH"/>
        </w:rPr>
        <w:t xml:space="preserve">Origin of Impact </w:t>
      </w:r>
    </w:p>
    <w:p w14:paraId="6255460A" w14:textId="0C1EDC88" w:rsidR="00750923" w:rsidRPr="002B3F36" w:rsidRDefault="00750923" w:rsidP="00750923">
      <w:pPr>
        <w:pStyle w:val="ReportBodyTextNogap"/>
        <w:rPr>
          <w:rFonts w:eastAsia="Verdana"/>
          <w:lang w:eastAsia="en-US"/>
        </w:rPr>
      </w:pPr>
      <w:r w:rsidRPr="002B3F36">
        <w:rPr>
          <w:rFonts w:eastAsia="Verdana"/>
          <w:lang w:eastAsia="en-US"/>
        </w:rPr>
        <w:t xml:space="preserve">Archaeological and cultural heritage are protected under the laws of the Republic of Kazakhstan. </w:t>
      </w:r>
      <w:r w:rsidR="00F17509" w:rsidRPr="002B3F36">
        <w:rPr>
          <w:rFonts w:eastAsia="Verdana"/>
          <w:lang w:eastAsia="en-US"/>
        </w:rPr>
        <w:t>Certain</w:t>
      </w:r>
      <w:r w:rsidRPr="002B3F36">
        <w:rPr>
          <w:rFonts w:eastAsia="Verdana"/>
          <w:lang w:eastAsia="en-US"/>
        </w:rPr>
        <w:t xml:space="preserve"> officially recorded sites lie within the current right-of-way, ground-disturbing works</w:t>
      </w:r>
      <w:r w:rsidR="0003768B" w:rsidRPr="002B3F36">
        <w:rPr>
          <w:rFonts w:eastAsia="Verdana"/>
          <w:lang w:eastAsia="en-US"/>
        </w:rPr>
        <w:t xml:space="preserve">, </w:t>
      </w:r>
      <w:r w:rsidRPr="002B3F36">
        <w:rPr>
          <w:rFonts w:eastAsia="Verdana"/>
          <w:lang w:eastAsia="en-US"/>
        </w:rPr>
        <w:t>such as excavation, trenching, piling, quarrying, and borrow pit development</w:t>
      </w:r>
      <w:r w:rsidR="0003768B" w:rsidRPr="002B3F36">
        <w:rPr>
          <w:rFonts w:eastAsia="Verdana"/>
          <w:lang w:eastAsia="en-US"/>
        </w:rPr>
        <w:t xml:space="preserve">, </w:t>
      </w:r>
      <w:r w:rsidRPr="002B3F36">
        <w:rPr>
          <w:rFonts w:eastAsia="Verdana"/>
          <w:lang w:eastAsia="en-US"/>
        </w:rPr>
        <w:t xml:space="preserve">can expose </w:t>
      </w:r>
      <w:r w:rsidRPr="002B3F36">
        <w:rPr>
          <w:rFonts w:eastAsia="Verdana"/>
          <w:b/>
          <w:bCs/>
          <w:lang w:eastAsia="en-US"/>
        </w:rPr>
        <w:t>previously unknown cultural or archaeological remains</w:t>
      </w:r>
      <w:r w:rsidRPr="002B3F36">
        <w:rPr>
          <w:rFonts w:eastAsia="Verdana"/>
          <w:lang w:eastAsia="en-US"/>
        </w:rPr>
        <w:t xml:space="preserve"> (“chance finds”). Construction also involves risks from unauthorized handling or removal of discovered artifacts if clear procedures are not in place.</w:t>
      </w:r>
    </w:p>
    <w:p w14:paraId="07459428" w14:textId="1351866B" w:rsidR="00750923" w:rsidRPr="002B3F36" w:rsidRDefault="00750923" w:rsidP="00750923">
      <w:pPr>
        <w:pStyle w:val="ReportBodyTextNogap"/>
        <w:rPr>
          <w:rFonts w:eastAsia="SimSun"/>
          <w:lang w:val="en-PH"/>
        </w:rPr>
      </w:pPr>
    </w:p>
    <w:p w14:paraId="399E8014" w14:textId="42CD53E1" w:rsidR="00750923" w:rsidRPr="002B3F36" w:rsidRDefault="00750923" w:rsidP="009B4CDB">
      <w:pPr>
        <w:pStyle w:val="ReportBodyTextNogap"/>
        <w:numPr>
          <w:ilvl w:val="0"/>
          <w:numId w:val="197"/>
        </w:numPr>
        <w:rPr>
          <w:rFonts w:eastAsia="SimSun"/>
          <w:b/>
          <w:lang w:val="en-PH"/>
        </w:rPr>
      </w:pPr>
      <w:r w:rsidRPr="002B3F36">
        <w:rPr>
          <w:rFonts w:eastAsia="SimSun"/>
          <w:b/>
          <w:lang w:val="en-PH"/>
        </w:rPr>
        <w:t>Impact Assessment</w:t>
      </w:r>
    </w:p>
    <w:p w14:paraId="3A6C503C" w14:textId="69E365E9" w:rsidR="004C3B82" w:rsidRPr="002B3F36" w:rsidRDefault="008F5CC4" w:rsidP="004C3B82">
      <w:pPr>
        <w:pStyle w:val="ReportBodyTextNogap"/>
        <w:rPr>
          <w:rFonts w:eastAsia="Verdana"/>
          <w:lang w:eastAsia="en-US"/>
        </w:rPr>
      </w:pPr>
      <w:r w:rsidRPr="002B3F36">
        <w:rPr>
          <w:rFonts w:eastAsia="Verdana"/>
          <w:lang w:eastAsia="en-US"/>
        </w:rPr>
        <w:t xml:space="preserve">The assessment of potential impacts on cultural heritage considered findings from the historical and cultural heritage surveys, national legal requirements, and </w:t>
      </w:r>
      <w:r w:rsidR="00F95BD8" w:rsidRPr="002B3F36">
        <w:rPr>
          <w:rFonts w:eastAsia="Verdana"/>
          <w:lang w:eastAsia="en-US"/>
        </w:rPr>
        <w:t>WB</w:t>
      </w:r>
      <w:r w:rsidRPr="002B3F36">
        <w:rPr>
          <w:rFonts w:eastAsia="Verdana"/>
          <w:lang w:eastAsia="en-US"/>
        </w:rPr>
        <w:t xml:space="preserve"> Performance Standard 8 (PS8). While archaeological sites were identified within the wider project area, no officially registered or legally protected cultural heritage sites were confirmed within the project’s right-of-way.</w:t>
      </w:r>
    </w:p>
    <w:p w14:paraId="35C8AD82" w14:textId="77777777" w:rsidR="004C3B82" w:rsidRPr="002B3F36" w:rsidRDefault="004C3B82" w:rsidP="004C3B82">
      <w:pPr>
        <w:pStyle w:val="ReportBodyTextNogap"/>
        <w:rPr>
          <w:rFonts w:eastAsia="Verdana"/>
          <w:lang w:eastAsia="en-US"/>
        </w:rPr>
      </w:pPr>
    </w:p>
    <w:p w14:paraId="2C7B0FBD" w14:textId="7C19041F" w:rsidR="000A5FDD" w:rsidRPr="002B3F36" w:rsidRDefault="000A5FDD" w:rsidP="008F5CC4">
      <w:pPr>
        <w:pStyle w:val="ReportBodyTextNogap"/>
        <w:rPr>
          <w:rFonts w:eastAsia="Verdana"/>
          <w:lang w:eastAsia="en-US"/>
        </w:rPr>
      </w:pPr>
      <w:r w:rsidRPr="002B3F36">
        <w:t>The Project poses direct cultural-heritage risk only to the identified archaeological loci, but the official investigation confirms that no legally registered or protected archaeological/cultural sites lie within the right-of-way. For any affected loci, effects would be permanent yet local in extent, and the investigation does not deem them significant. The frequency is a single event rather than ongoing exposure. Under the Significance of Impact Matrix, cultural-heritage receptors are assessed as Low sensitivity with Negligible magnitude, yielding an overall Negligible significance (pre-mitigation).</w:t>
      </w:r>
    </w:p>
    <w:p w14:paraId="235905A6" w14:textId="77777777" w:rsidR="008F5CC4" w:rsidRPr="002B3F36" w:rsidRDefault="008F5CC4" w:rsidP="008F5CC4">
      <w:pPr>
        <w:pStyle w:val="ReportBodyTextNogap"/>
        <w:rPr>
          <w:rFonts w:eastAsia="Verdana"/>
          <w:lang w:eastAsia="en-US"/>
        </w:rPr>
      </w:pPr>
    </w:p>
    <w:p w14:paraId="4D162316" w14:textId="66C00801" w:rsidR="00EC1560" w:rsidRPr="002B3F36" w:rsidRDefault="008F5CC4" w:rsidP="008F5CC4">
      <w:pPr>
        <w:pStyle w:val="ReportBodyTextNogap"/>
        <w:rPr>
          <w:rFonts w:eastAsia="Verdana"/>
          <w:lang w:eastAsia="en-US"/>
        </w:rPr>
      </w:pPr>
      <w:r w:rsidRPr="002B3F36">
        <w:rPr>
          <w:rFonts w:eastAsia="Verdana"/>
          <w:lang w:eastAsia="en-US"/>
        </w:rPr>
        <w:t xml:space="preserve">However, recognizing the potential for previously unknown archaeological materials (“chance finds”) during excavation or other ground-disturbing works, the project will apply the precautionary approach recommended in </w:t>
      </w:r>
      <w:r w:rsidR="00163238" w:rsidRPr="002B3F36">
        <w:rPr>
          <w:rFonts w:eastAsia="Verdana"/>
          <w:lang w:eastAsia="en-US"/>
        </w:rPr>
        <w:t>WB PS</w:t>
      </w:r>
      <w:r w:rsidRPr="002B3F36">
        <w:rPr>
          <w:rFonts w:eastAsia="Verdana"/>
          <w:lang w:eastAsia="en-US"/>
        </w:rPr>
        <w:t xml:space="preserve">8 and the WBG EHS Guidelines (2007), Section 1.3. A Chance Finds Procedure will be integrated into the ESMP to ensure immediate work stoppage, site protection, notification of authorities, and expert evaluation prior to </w:t>
      </w:r>
      <w:r w:rsidRPr="002B3F36">
        <w:rPr>
          <w:rFonts w:eastAsia="Verdana"/>
          <w:lang w:eastAsia="en-US"/>
        </w:rPr>
        <w:lastRenderedPageBreak/>
        <w:t>resuming construction, minimizing residual risks and ensuring full compliance with international and national requirements</w:t>
      </w:r>
      <w:r w:rsidR="002E14E2" w:rsidRPr="002B3F36">
        <w:rPr>
          <w:rFonts w:eastAsia="Verdana"/>
          <w:lang w:eastAsia="en-US"/>
        </w:rPr>
        <w:t>.</w:t>
      </w:r>
    </w:p>
    <w:p w14:paraId="55F6AFAA" w14:textId="77777777" w:rsidR="002E14E2" w:rsidRPr="002B3F36" w:rsidRDefault="002E14E2" w:rsidP="00EC1560">
      <w:pPr>
        <w:pStyle w:val="ReportBodyTextNogap"/>
        <w:rPr>
          <w:rFonts w:eastAsia="SimSun"/>
          <w:b/>
          <w:lang w:val="en-PH"/>
        </w:rPr>
      </w:pPr>
    </w:p>
    <w:p w14:paraId="4DFF3806" w14:textId="1540CAAB" w:rsidR="00750923" w:rsidRPr="002B3F36" w:rsidRDefault="00750923" w:rsidP="009B4CDB">
      <w:pPr>
        <w:pStyle w:val="ReportBodyTextNogap"/>
        <w:numPr>
          <w:ilvl w:val="0"/>
          <w:numId w:val="197"/>
        </w:numPr>
        <w:rPr>
          <w:rFonts w:eastAsia="SimSun"/>
          <w:b/>
          <w:lang w:val="en-PH"/>
        </w:rPr>
      </w:pPr>
      <w:r w:rsidRPr="002B3F36">
        <w:rPr>
          <w:rFonts w:eastAsia="SimSun"/>
          <w:b/>
          <w:lang w:val="en-PH"/>
        </w:rPr>
        <w:t>Mitigation Measures</w:t>
      </w:r>
    </w:p>
    <w:p w14:paraId="71ABC33B" w14:textId="6FFFFA2F" w:rsidR="00EC1560" w:rsidRPr="002B3F36" w:rsidRDefault="00EC1560" w:rsidP="00EC1560">
      <w:pPr>
        <w:pStyle w:val="ReportBodyPar"/>
        <w:rPr>
          <w:lang w:val="en-PH"/>
        </w:rPr>
      </w:pPr>
      <w:r w:rsidRPr="002B3F36">
        <w:rPr>
          <w:lang w:val="en-PH"/>
        </w:rPr>
        <w:t xml:space="preserve">To ensure full compliance with the Law of the Republic of Kazakhstan, </w:t>
      </w:r>
      <w:r w:rsidR="00163238" w:rsidRPr="002B3F36">
        <w:rPr>
          <w:lang w:val="en-PH"/>
        </w:rPr>
        <w:t>WB PS</w:t>
      </w:r>
      <w:r w:rsidRPr="002B3F36">
        <w:rPr>
          <w:lang w:val="en-PH"/>
        </w:rPr>
        <w:t>8 and the WBG General EHS Guidelines (2007), Section 1.3, the project will implement a comprehensive Chance Finds Procedure as part of the Contractor’s Construction Environmental and Social Management Plan (C-ESMP). This procedure will provide clear guidance for planning and training, immediate response steps in the event of discoveries, and ongoing monitoring to ensure that any archaeological or cultural heritage materials encountered during construction are protected, documented, and managed in coordination with the competent heritage authorities before construction activities resume.</w:t>
      </w:r>
      <w:r w:rsidR="006F666A" w:rsidRPr="002B3F36">
        <w:rPr>
          <w:lang w:val="en-PH"/>
        </w:rPr>
        <w:t xml:space="preserve"> The specifics are as follows:</w:t>
      </w:r>
    </w:p>
    <w:p w14:paraId="01762468" w14:textId="77777777" w:rsidR="00827137" w:rsidRPr="002B3F36" w:rsidRDefault="00827137" w:rsidP="00EC1560">
      <w:pPr>
        <w:pStyle w:val="ReportBodyPar"/>
        <w:rPr>
          <w:lang w:val="en-PH"/>
        </w:rPr>
      </w:pPr>
    </w:p>
    <w:p w14:paraId="7B6110F0" w14:textId="3B2BB647" w:rsidR="00750923" w:rsidRPr="002B3F36" w:rsidRDefault="006F666A" w:rsidP="009B4CDB">
      <w:pPr>
        <w:pStyle w:val="a0"/>
        <w:widowControl/>
        <w:numPr>
          <w:ilvl w:val="1"/>
          <w:numId w:val="193"/>
        </w:numPr>
        <w:autoSpaceDE/>
        <w:autoSpaceDN/>
        <w:ind w:left="1170" w:hanging="900"/>
        <w:rPr>
          <w:rFonts w:eastAsia="Times New Roman"/>
        </w:rPr>
      </w:pPr>
      <w:r w:rsidRPr="002B3F36">
        <w:rPr>
          <w:rFonts w:eastAsia="Times New Roman"/>
          <w:b/>
          <w:bCs/>
        </w:rPr>
        <w:t xml:space="preserve"> </w:t>
      </w:r>
      <w:r w:rsidR="00750923" w:rsidRPr="002B3F36">
        <w:rPr>
          <w:rFonts w:eastAsia="Times New Roman"/>
          <w:b/>
          <w:bCs/>
        </w:rPr>
        <w:t>Planning and Training</w:t>
      </w:r>
    </w:p>
    <w:p w14:paraId="55D3C8BD" w14:textId="77777777" w:rsidR="00750923" w:rsidRPr="002B3F36" w:rsidRDefault="00750923" w:rsidP="009B4CDB">
      <w:pPr>
        <w:widowControl/>
        <w:numPr>
          <w:ilvl w:val="0"/>
          <w:numId w:val="194"/>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Integrate a </w:t>
      </w:r>
      <w:r w:rsidRPr="002B3F36">
        <w:rPr>
          <w:rFonts w:ascii="Arial" w:eastAsia="Times New Roman" w:hAnsi="Arial" w:cs="Arial"/>
          <w:b/>
          <w:bCs/>
          <w:sz w:val="24"/>
          <w:szCs w:val="24"/>
        </w:rPr>
        <w:t>Chance Finds Procedure</w:t>
      </w:r>
      <w:r w:rsidRPr="002B3F36">
        <w:rPr>
          <w:rFonts w:ascii="Arial" w:eastAsia="Times New Roman" w:hAnsi="Arial" w:cs="Arial"/>
          <w:sz w:val="24"/>
          <w:szCs w:val="24"/>
        </w:rPr>
        <w:t xml:space="preserve"> into the Contractor’s C-ESMP.</w:t>
      </w:r>
    </w:p>
    <w:p w14:paraId="38C8D6BF" w14:textId="77777777" w:rsidR="00750923" w:rsidRPr="002B3F36" w:rsidRDefault="00750923" w:rsidP="009B4CDB">
      <w:pPr>
        <w:widowControl/>
        <w:numPr>
          <w:ilvl w:val="0"/>
          <w:numId w:val="19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Train all workers through toolbox talks on recognizing potential heritage objects and the stop-work protocol.</w:t>
      </w:r>
    </w:p>
    <w:p w14:paraId="0BE3404C" w14:textId="77777777" w:rsidR="00750923" w:rsidRPr="002B3F36" w:rsidRDefault="00750923" w:rsidP="009B4CDB">
      <w:pPr>
        <w:widowControl/>
        <w:numPr>
          <w:ilvl w:val="0"/>
          <w:numId w:val="19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Include contractual clauses prohibiting removal, trading, or personal handling of finds.</w:t>
      </w:r>
    </w:p>
    <w:p w14:paraId="28264E18" w14:textId="16FC93FE" w:rsidR="00750923" w:rsidRPr="002B3F36" w:rsidRDefault="006F666A" w:rsidP="009B4CDB">
      <w:pPr>
        <w:pStyle w:val="a0"/>
        <w:widowControl/>
        <w:numPr>
          <w:ilvl w:val="1"/>
          <w:numId w:val="193"/>
        </w:numPr>
        <w:autoSpaceDE/>
        <w:autoSpaceDN/>
        <w:ind w:left="1350" w:hanging="1080"/>
        <w:rPr>
          <w:rFonts w:eastAsia="Times New Roman"/>
        </w:rPr>
      </w:pPr>
      <w:r w:rsidRPr="002B3F36">
        <w:rPr>
          <w:rFonts w:eastAsia="Times New Roman"/>
          <w:b/>
          <w:bCs/>
        </w:rPr>
        <w:t xml:space="preserve"> </w:t>
      </w:r>
      <w:r w:rsidR="00750923" w:rsidRPr="002B3F36">
        <w:rPr>
          <w:rFonts w:eastAsia="Times New Roman"/>
          <w:b/>
          <w:bCs/>
        </w:rPr>
        <w:t>Chance Finds Procedure</w:t>
      </w:r>
    </w:p>
    <w:p w14:paraId="608EC82E" w14:textId="77777777" w:rsidR="00750923" w:rsidRPr="002B3F36" w:rsidRDefault="00750923" w:rsidP="009B4CDB">
      <w:pPr>
        <w:widowControl/>
        <w:numPr>
          <w:ilvl w:val="0"/>
          <w:numId w:val="195"/>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Stop Work &amp; Secure</w:t>
      </w:r>
      <w:r w:rsidRPr="002B3F36">
        <w:rPr>
          <w:rFonts w:ascii="Arial" w:eastAsia="Times New Roman" w:hAnsi="Arial" w:cs="Arial"/>
          <w:sz w:val="24"/>
          <w:szCs w:val="24"/>
        </w:rPr>
        <w:t xml:space="preserve">: Immediately cease activities in the discovery area and establish a </w:t>
      </w:r>
      <w:r w:rsidRPr="002B3F36">
        <w:rPr>
          <w:rFonts w:ascii="Arial" w:eastAsia="Times New Roman" w:hAnsi="Arial" w:cs="Arial"/>
          <w:b/>
          <w:bCs/>
          <w:sz w:val="24"/>
          <w:szCs w:val="24"/>
        </w:rPr>
        <w:t>minimum 30 m buffer</w:t>
      </w:r>
      <w:r w:rsidRPr="002B3F36">
        <w:rPr>
          <w:rFonts w:ascii="Arial" w:eastAsia="Times New Roman" w:hAnsi="Arial" w:cs="Arial"/>
          <w:sz w:val="24"/>
          <w:szCs w:val="24"/>
        </w:rPr>
        <w:t>.</w:t>
      </w:r>
    </w:p>
    <w:p w14:paraId="60A28844" w14:textId="58FF879C" w:rsidR="00750923" w:rsidRPr="002B3F36" w:rsidRDefault="00750923" w:rsidP="009B4CDB">
      <w:pPr>
        <w:widowControl/>
        <w:numPr>
          <w:ilvl w:val="0"/>
          <w:numId w:val="19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Notify</w:t>
      </w:r>
      <w:r w:rsidRPr="002B3F36">
        <w:rPr>
          <w:rFonts w:ascii="Arial" w:eastAsia="Times New Roman" w:hAnsi="Arial" w:cs="Arial"/>
          <w:sz w:val="24"/>
          <w:szCs w:val="24"/>
        </w:rPr>
        <w:t>: Inform the Engineer and KTZ the same day; KTZ notifies the competent heritage authority.</w:t>
      </w:r>
    </w:p>
    <w:p w14:paraId="565286B2" w14:textId="77777777" w:rsidR="00750923" w:rsidRPr="002B3F36" w:rsidRDefault="00750923" w:rsidP="009B4CDB">
      <w:pPr>
        <w:widowControl/>
        <w:numPr>
          <w:ilvl w:val="0"/>
          <w:numId w:val="19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Document</w:t>
      </w:r>
      <w:r w:rsidRPr="002B3F36">
        <w:rPr>
          <w:rFonts w:ascii="Arial" w:eastAsia="Times New Roman" w:hAnsi="Arial" w:cs="Arial"/>
          <w:sz w:val="24"/>
          <w:szCs w:val="24"/>
        </w:rPr>
        <w:t>: Record location, depth, photographs, and brief descriptions; log coordinates in a site register.</w:t>
      </w:r>
    </w:p>
    <w:p w14:paraId="37064D61" w14:textId="77777777" w:rsidR="00750923" w:rsidRPr="002B3F36" w:rsidRDefault="00750923" w:rsidP="009B4CDB">
      <w:pPr>
        <w:widowControl/>
        <w:numPr>
          <w:ilvl w:val="0"/>
          <w:numId w:val="19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Protect &amp; Stabilize</w:t>
      </w:r>
      <w:r w:rsidRPr="002B3F36">
        <w:rPr>
          <w:rFonts w:ascii="Arial" w:eastAsia="Times New Roman" w:hAnsi="Arial" w:cs="Arial"/>
          <w:sz w:val="24"/>
          <w:szCs w:val="24"/>
        </w:rPr>
        <w:t>: Cover or shield the find from vibration, runoff, or tampering.</w:t>
      </w:r>
    </w:p>
    <w:p w14:paraId="07D35F9A" w14:textId="77777777" w:rsidR="00750923" w:rsidRPr="002B3F36" w:rsidRDefault="00750923" w:rsidP="009B4CDB">
      <w:pPr>
        <w:widowControl/>
        <w:numPr>
          <w:ilvl w:val="0"/>
          <w:numId w:val="19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Evaluation</w:t>
      </w:r>
      <w:r w:rsidRPr="002B3F36">
        <w:rPr>
          <w:rFonts w:ascii="Arial" w:eastAsia="Times New Roman" w:hAnsi="Arial" w:cs="Arial"/>
          <w:sz w:val="24"/>
          <w:szCs w:val="24"/>
        </w:rPr>
        <w:t>: Heritage experts assess the find’s significance and issue recommendations.</w:t>
      </w:r>
    </w:p>
    <w:p w14:paraId="530756DC" w14:textId="77777777" w:rsidR="00750923" w:rsidRPr="002B3F36" w:rsidRDefault="00750923" w:rsidP="009B4CDB">
      <w:pPr>
        <w:widowControl/>
        <w:numPr>
          <w:ilvl w:val="0"/>
          <w:numId w:val="19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Decision &amp; Clearance</w:t>
      </w:r>
      <w:r w:rsidRPr="002B3F36">
        <w:rPr>
          <w:rFonts w:ascii="Arial" w:eastAsia="Times New Roman" w:hAnsi="Arial" w:cs="Arial"/>
          <w:sz w:val="24"/>
          <w:szCs w:val="24"/>
        </w:rPr>
        <w:t xml:space="preserve">: Authorities decide on preservation in situ, salvage excavation, or redesign/avoidance. Work resumes only after </w:t>
      </w:r>
      <w:r w:rsidRPr="002B3F36">
        <w:rPr>
          <w:rFonts w:ascii="Arial" w:eastAsia="Times New Roman" w:hAnsi="Arial" w:cs="Arial"/>
          <w:b/>
          <w:bCs/>
          <w:sz w:val="24"/>
          <w:szCs w:val="24"/>
        </w:rPr>
        <w:t>written clearance</w:t>
      </w:r>
      <w:r w:rsidRPr="002B3F36">
        <w:rPr>
          <w:rFonts w:ascii="Arial" w:eastAsia="Times New Roman" w:hAnsi="Arial" w:cs="Arial"/>
          <w:sz w:val="24"/>
          <w:szCs w:val="24"/>
        </w:rPr>
        <w:t>.</w:t>
      </w:r>
    </w:p>
    <w:p w14:paraId="5B9C0D70" w14:textId="77777777" w:rsidR="00750923" w:rsidRPr="002B3F36" w:rsidRDefault="00750923" w:rsidP="009B4CDB">
      <w:pPr>
        <w:widowControl/>
        <w:numPr>
          <w:ilvl w:val="0"/>
          <w:numId w:val="19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Reporting</w:t>
      </w:r>
      <w:r w:rsidRPr="002B3F36">
        <w:rPr>
          <w:rFonts w:ascii="Arial" w:eastAsia="Times New Roman" w:hAnsi="Arial" w:cs="Arial"/>
          <w:sz w:val="24"/>
          <w:szCs w:val="24"/>
        </w:rPr>
        <w:t>: Contractor submits a short Chance Finds Report summarizing the find, actions taken, and authority decision.</w:t>
      </w:r>
    </w:p>
    <w:p w14:paraId="0CBC6186" w14:textId="7068F5FD" w:rsidR="00750923" w:rsidRPr="002B3F36" w:rsidRDefault="006F666A" w:rsidP="009B4CDB">
      <w:pPr>
        <w:pStyle w:val="a0"/>
        <w:widowControl/>
        <w:numPr>
          <w:ilvl w:val="1"/>
          <w:numId w:val="193"/>
        </w:numPr>
        <w:autoSpaceDE/>
        <w:autoSpaceDN/>
        <w:ind w:left="1350" w:hanging="1080"/>
        <w:rPr>
          <w:rFonts w:eastAsia="Times New Roman"/>
        </w:rPr>
      </w:pPr>
      <w:r w:rsidRPr="002B3F36">
        <w:rPr>
          <w:rFonts w:eastAsia="Times New Roman"/>
          <w:b/>
          <w:bCs/>
        </w:rPr>
        <w:t xml:space="preserve"> </w:t>
      </w:r>
      <w:r w:rsidR="00750923" w:rsidRPr="002B3F36">
        <w:rPr>
          <w:rFonts w:eastAsia="Times New Roman"/>
          <w:b/>
          <w:bCs/>
        </w:rPr>
        <w:t>Ongoing Monitoring</w:t>
      </w:r>
      <w:r w:rsidR="00FB7005" w:rsidRPr="002B3F36">
        <w:rPr>
          <w:rFonts w:eastAsia="Times New Roman"/>
          <w:b/>
          <w:bCs/>
        </w:rPr>
        <w:t xml:space="preserve"> during Construction</w:t>
      </w:r>
    </w:p>
    <w:p w14:paraId="31F6115F" w14:textId="77777777" w:rsidR="00750923" w:rsidRPr="002B3F36" w:rsidRDefault="00750923" w:rsidP="009B4CDB">
      <w:pPr>
        <w:widowControl/>
        <w:numPr>
          <w:ilvl w:val="0"/>
          <w:numId w:val="196"/>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Maintain a </w:t>
      </w:r>
      <w:r w:rsidRPr="002B3F36">
        <w:rPr>
          <w:rFonts w:ascii="Arial" w:eastAsia="Times New Roman" w:hAnsi="Arial" w:cs="Arial"/>
          <w:b/>
          <w:bCs/>
          <w:sz w:val="24"/>
          <w:szCs w:val="24"/>
        </w:rPr>
        <w:t>finds kit</w:t>
      </w:r>
      <w:r w:rsidRPr="002B3F36">
        <w:rPr>
          <w:rFonts w:ascii="Arial" w:eastAsia="Times New Roman" w:hAnsi="Arial" w:cs="Arial"/>
          <w:sz w:val="24"/>
          <w:szCs w:val="24"/>
        </w:rPr>
        <w:t xml:space="preserve"> (flagging, GPS, forms, camera) at worksites.</w:t>
      </w:r>
    </w:p>
    <w:p w14:paraId="48052C1F" w14:textId="77777777" w:rsidR="00750923" w:rsidRPr="002B3F36" w:rsidRDefault="00750923" w:rsidP="009B4CDB">
      <w:pPr>
        <w:widowControl/>
        <w:numPr>
          <w:ilvl w:val="0"/>
          <w:numId w:val="19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Include chance finds compliance in monthly E&amp;S monitoring reports.</w:t>
      </w:r>
    </w:p>
    <w:p w14:paraId="3A023FFA" w14:textId="10F9A522" w:rsidR="00750923" w:rsidRPr="002B3F36" w:rsidRDefault="00750923" w:rsidP="009B4CDB">
      <w:pPr>
        <w:widowControl/>
        <w:numPr>
          <w:ilvl w:val="0"/>
          <w:numId w:val="19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Track KPIs: % of workforce trained, number of finds reported, time to clearance, and C</w:t>
      </w:r>
      <w:r w:rsidR="00EC1560" w:rsidRPr="002B3F36">
        <w:rPr>
          <w:rFonts w:ascii="Arial" w:eastAsia="Times New Roman" w:hAnsi="Arial" w:cs="Arial"/>
          <w:sz w:val="24"/>
          <w:szCs w:val="24"/>
        </w:rPr>
        <w:t>orrective and Preventive Action (CAPA)</w:t>
      </w:r>
      <w:r w:rsidRPr="002B3F36">
        <w:rPr>
          <w:rFonts w:ascii="Arial" w:eastAsia="Times New Roman" w:hAnsi="Arial" w:cs="Arial"/>
          <w:sz w:val="24"/>
          <w:szCs w:val="24"/>
        </w:rPr>
        <w:t xml:space="preserve"> close-outs.</w:t>
      </w:r>
    </w:p>
    <w:p w14:paraId="7CB33A98" w14:textId="1F73BA38" w:rsidR="00EC1560" w:rsidRPr="002B3F36" w:rsidRDefault="00EC1560" w:rsidP="00EC1560">
      <w:pPr>
        <w:pStyle w:val="ReportBodyPar"/>
      </w:pPr>
    </w:p>
    <w:p w14:paraId="3F938C2C" w14:textId="1314F2FC" w:rsidR="007F2D60" w:rsidRPr="00A846C7" w:rsidRDefault="007F2D60" w:rsidP="007F2D60">
      <w:pPr>
        <w:pStyle w:val="31"/>
        <w:numPr>
          <w:ilvl w:val="2"/>
          <w:numId w:val="262"/>
        </w:numPr>
      </w:pPr>
      <w:bookmarkStart w:id="2546" w:name="_Toc210589526"/>
      <w:bookmarkStart w:id="2547" w:name="_Hlk210660680"/>
      <w:r w:rsidRPr="00A846C7">
        <w:t xml:space="preserve">Summary </w:t>
      </w:r>
      <w:r w:rsidR="00291F89" w:rsidRPr="00A846C7">
        <w:t>Assessment of Impacts and Risks during Construction</w:t>
      </w:r>
      <w:bookmarkEnd w:id="2546"/>
    </w:p>
    <w:p w14:paraId="35BBC58B" w14:textId="63B30545" w:rsidR="007F2D60" w:rsidRPr="00A846C7" w:rsidRDefault="007F2D60" w:rsidP="00EC1560">
      <w:pPr>
        <w:pStyle w:val="ReportBodyPar"/>
      </w:pPr>
    </w:p>
    <w:p w14:paraId="65DE019B" w14:textId="23C1A893" w:rsidR="00291F89" w:rsidRPr="002B3F36" w:rsidRDefault="00291F89" w:rsidP="00EC1560">
      <w:pPr>
        <w:pStyle w:val="ReportBodyPar"/>
      </w:pPr>
      <w:r w:rsidRPr="00A846C7">
        <w:t>From the preceeding subsections, a summary table for impacts and risks as per applicacle WB PSs is presented below covering the construction period.</w:t>
      </w:r>
    </w:p>
    <w:p w14:paraId="41FFF84D" w14:textId="3A05AE8D" w:rsidR="007F2D60" w:rsidRPr="002B3F36" w:rsidRDefault="007F2D60" w:rsidP="00EC1560">
      <w:pPr>
        <w:pStyle w:val="ReportBodyPar"/>
      </w:pPr>
    </w:p>
    <w:p w14:paraId="75FC5CE4" w14:textId="0480087F" w:rsidR="007F2D60" w:rsidRPr="002B3F36" w:rsidRDefault="007F2D60" w:rsidP="007F2D60">
      <w:pPr>
        <w:pStyle w:val="CaptionTable"/>
      </w:pPr>
      <w:bookmarkStart w:id="2548" w:name="_Toc210589582"/>
      <w:r w:rsidRPr="002B3F36">
        <w:t xml:space="preserve">Table </w:t>
      </w:r>
      <w:r w:rsidRPr="002B3F36">
        <w:rPr>
          <w:noProof/>
        </w:rPr>
        <w:fldChar w:fldCharType="begin"/>
      </w:r>
      <w:r w:rsidRPr="002B3F36">
        <w:rPr>
          <w:noProof/>
        </w:rPr>
        <w:instrText xml:space="preserve"> SEQ Table \* ARABIC </w:instrText>
      </w:r>
      <w:r w:rsidRPr="002B3F36">
        <w:rPr>
          <w:noProof/>
        </w:rPr>
        <w:fldChar w:fldCharType="separate"/>
      </w:r>
      <w:r w:rsidR="00A023DA">
        <w:rPr>
          <w:noProof/>
        </w:rPr>
        <w:t>38</w:t>
      </w:r>
      <w:r w:rsidRPr="002B3F36">
        <w:rPr>
          <w:noProof/>
        </w:rPr>
        <w:fldChar w:fldCharType="end"/>
      </w:r>
      <w:r w:rsidRPr="002B3F36">
        <w:t xml:space="preserve">: </w:t>
      </w:r>
      <w:r w:rsidR="00291F89" w:rsidRPr="002B3F36">
        <w:t xml:space="preserve">Summary </w:t>
      </w:r>
      <w:r w:rsidRPr="002B3F36">
        <w:t xml:space="preserve">Assessment of Impacts and Risks during </w:t>
      </w:r>
      <w:r w:rsidR="00291F89" w:rsidRPr="002B3F36">
        <w:t>Construc</w:t>
      </w:r>
      <w:r w:rsidRPr="002B3F36">
        <w:t>tion</w:t>
      </w:r>
      <w:bookmarkEnd w:id="2548"/>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3082"/>
        <w:gridCol w:w="1335"/>
        <w:gridCol w:w="1914"/>
        <w:gridCol w:w="1095"/>
        <w:gridCol w:w="1117"/>
      </w:tblGrid>
      <w:tr w:rsidR="007F2D60" w:rsidRPr="002B3F36" w14:paraId="0B91B4DD" w14:textId="77777777" w:rsidTr="00F23D20">
        <w:trPr>
          <w:trHeight w:val="336"/>
          <w:tblHeader/>
        </w:trPr>
        <w:tc>
          <w:tcPr>
            <w:tcW w:w="812" w:type="dxa"/>
            <w:shd w:val="clear" w:color="auto" w:fill="F2F2F2" w:themeFill="background1" w:themeFillShade="F2"/>
            <w:vAlign w:val="center"/>
          </w:tcPr>
          <w:p w14:paraId="6D848F29"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b/>
                <w:bCs/>
                <w:sz w:val="20"/>
                <w:szCs w:val="20"/>
                <w:lang w:val="en-PH" w:eastAsia="en-PH"/>
              </w:rPr>
              <w:lastRenderedPageBreak/>
              <w:t>PS</w:t>
            </w:r>
          </w:p>
        </w:tc>
        <w:tc>
          <w:tcPr>
            <w:tcW w:w="3082" w:type="dxa"/>
            <w:shd w:val="clear" w:color="auto" w:fill="F2F2F2" w:themeFill="background1" w:themeFillShade="F2"/>
            <w:vAlign w:val="center"/>
          </w:tcPr>
          <w:p w14:paraId="11750D4F"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b/>
                <w:bCs/>
                <w:sz w:val="20"/>
                <w:szCs w:val="20"/>
                <w:lang w:val="en-PH" w:eastAsia="en-PH"/>
              </w:rPr>
              <w:t>Issues/ Impacts</w:t>
            </w:r>
          </w:p>
        </w:tc>
        <w:tc>
          <w:tcPr>
            <w:tcW w:w="1335" w:type="dxa"/>
            <w:shd w:val="clear" w:color="auto" w:fill="F2F2F2" w:themeFill="background1" w:themeFillShade="F2"/>
          </w:tcPr>
          <w:p w14:paraId="528C5B73"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b/>
                <w:bCs/>
                <w:sz w:val="20"/>
                <w:szCs w:val="20"/>
                <w:lang w:val="en-PH" w:eastAsia="en-PH"/>
              </w:rPr>
              <w:t>Nature of impact Positive or Negative</w:t>
            </w:r>
          </w:p>
        </w:tc>
        <w:tc>
          <w:tcPr>
            <w:tcW w:w="1914" w:type="dxa"/>
            <w:shd w:val="clear" w:color="auto" w:fill="F2F2F2" w:themeFill="background1" w:themeFillShade="F2"/>
            <w:vAlign w:val="center"/>
          </w:tcPr>
          <w:p w14:paraId="6D9D3D1E"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b/>
                <w:bCs/>
                <w:sz w:val="20"/>
                <w:szCs w:val="20"/>
                <w:lang w:val="en-PH" w:eastAsia="en-PH"/>
              </w:rPr>
              <w:t>Likelihood</w:t>
            </w:r>
          </w:p>
        </w:tc>
        <w:tc>
          <w:tcPr>
            <w:tcW w:w="1095" w:type="dxa"/>
            <w:shd w:val="clear" w:color="auto" w:fill="F2F2F2" w:themeFill="background1" w:themeFillShade="F2"/>
            <w:vAlign w:val="center"/>
          </w:tcPr>
          <w:p w14:paraId="443E88C8"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b/>
                <w:bCs/>
                <w:sz w:val="20"/>
                <w:szCs w:val="20"/>
                <w:lang w:val="en-PH" w:eastAsia="en-PH"/>
              </w:rPr>
              <w:t>Impact</w:t>
            </w:r>
          </w:p>
        </w:tc>
        <w:tc>
          <w:tcPr>
            <w:tcW w:w="1117" w:type="dxa"/>
            <w:shd w:val="clear" w:color="auto" w:fill="F2F2F2" w:themeFill="background1" w:themeFillShade="F2"/>
            <w:vAlign w:val="center"/>
          </w:tcPr>
          <w:p w14:paraId="2E123540"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b/>
                <w:bCs/>
                <w:sz w:val="20"/>
                <w:szCs w:val="20"/>
                <w:lang w:val="en-PH" w:eastAsia="en-PH"/>
              </w:rPr>
              <w:t>Risk</w:t>
            </w:r>
          </w:p>
        </w:tc>
      </w:tr>
      <w:tr w:rsidR="007F2D60" w:rsidRPr="002B3F36" w14:paraId="602766E8" w14:textId="77777777" w:rsidTr="00F23D20">
        <w:trPr>
          <w:trHeight w:val="539"/>
        </w:trPr>
        <w:tc>
          <w:tcPr>
            <w:tcW w:w="812" w:type="dxa"/>
            <w:vMerge w:val="restart"/>
            <w:vAlign w:val="center"/>
            <w:hideMark/>
          </w:tcPr>
          <w:p w14:paraId="65A7CFA2" w14:textId="7E31F483" w:rsidR="007F2D60" w:rsidRPr="00A846C7" w:rsidRDefault="00F23D20" w:rsidP="00F23D20">
            <w:pPr>
              <w:jc w:val="center"/>
              <w:rPr>
                <w:rFonts w:ascii="Arial" w:hAnsi="Arial" w:cs="Arial"/>
                <w:sz w:val="20"/>
                <w:szCs w:val="20"/>
                <w:lang w:val="en-PH" w:eastAsia="en-PH"/>
              </w:rPr>
            </w:pPr>
            <w:r w:rsidRPr="00A846C7">
              <w:rPr>
                <w:rFonts w:ascii="Arial" w:hAnsi="Arial" w:cs="Arial"/>
                <w:sz w:val="20"/>
                <w:szCs w:val="20"/>
                <w:lang w:val="en-PH" w:eastAsia="en-PH"/>
              </w:rPr>
              <w:t>PS2</w:t>
            </w:r>
          </w:p>
        </w:tc>
        <w:tc>
          <w:tcPr>
            <w:tcW w:w="3082" w:type="dxa"/>
            <w:hideMark/>
          </w:tcPr>
          <w:p w14:paraId="71D56A3E"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Occupational Health and Safety Hazard</w:t>
            </w:r>
          </w:p>
        </w:tc>
        <w:tc>
          <w:tcPr>
            <w:tcW w:w="1335" w:type="dxa"/>
            <w:hideMark/>
          </w:tcPr>
          <w:p w14:paraId="2359B80C"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43F67103"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605A52F5"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117" w:type="dxa"/>
            <w:hideMark/>
          </w:tcPr>
          <w:p w14:paraId="042D7D2A" w14:textId="79CC7C63" w:rsidR="007F2D60" w:rsidRPr="002B3F36" w:rsidRDefault="00F23D20" w:rsidP="00F82096">
            <w:pPr>
              <w:jc w:val="center"/>
              <w:rPr>
                <w:rFonts w:ascii="Arial" w:hAnsi="Arial" w:cs="Arial"/>
                <w:sz w:val="20"/>
                <w:szCs w:val="20"/>
                <w:lang w:val="en-PH" w:eastAsia="en-PH"/>
              </w:rPr>
            </w:pPr>
            <w:r w:rsidRPr="002B3F36">
              <w:rPr>
                <w:rFonts w:ascii="Arial" w:hAnsi="Arial" w:cs="Arial"/>
                <w:sz w:val="20"/>
                <w:szCs w:val="20"/>
                <w:lang w:val="en-PH" w:eastAsia="en-PH"/>
              </w:rPr>
              <w:t>Moderage</w:t>
            </w:r>
          </w:p>
        </w:tc>
      </w:tr>
      <w:tr w:rsidR="007F2D60" w:rsidRPr="002B3F36" w14:paraId="268245D3" w14:textId="77777777" w:rsidTr="00F23D20">
        <w:trPr>
          <w:trHeight w:val="276"/>
        </w:trPr>
        <w:tc>
          <w:tcPr>
            <w:tcW w:w="812" w:type="dxa"/>
            <w:vMerge/>
            <w:vAlign w:val="center"/>
            <w:hideMark/>
          </w:tcPr>
          <w:p w14:paraId="62A3CA64" w14:textId="77777777" w:rsidR="007F2D60" w:rsidRPr="00A846C7" w:rsidRDefault="007F2D60" w:rsidP="00F82096">
            <w:pPr>
              <w:rPr>
                <w:rFonts w:ascii="Arial" w:hAnsi="Arial" w:cs="Arial"/>
                <w:sz w:val="20"/>
                <w:szCs w:val="20"/>
                <w:lang w:val="en-PH" w:eastAsia="en-PH"/>
              </w:rPr>
            </w:pPr>
          </w:p>
        </w:tc>
        <w:tc>
          <w:tcPr>
            <w:tcW w:w="3082" w:type="dxa"/>
            <w:hideMark/>
          </w:tcPr>
          <w:p w14:paraId="40983EB0"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Gender Based Violence (GBV)</w:t>
            </w:r>
          </w:p>
        </w:tc>
        <w:tc>
          <w:tcPr>
            <w:tcW w:w="1335" w:type="dxa"/>
            <w:hideMark/>
          </w:tcPr>
          <w:p w14:paraId="2BA9B00B"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27D36220"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73682E14" w14:textId="3F52733E"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w:t>
            </w:r>
            <w:r w:rsidR="00F23D20" w:rsidRPr="002B3F36">
              <w:rPr>
                <w:rFonts w:ascii="Arial" w:hAnsi="Arial" w:cs="Arial"/>
                <w:sz w:val="20"/>
                <w:szCs w:val="20"/>
                <w:lang w:val="en-PH" w:eastAsia="en-PH"/>
              </w:rPr>
              <w:t>oderate</w:t>
            </w:r>
          </w:p>
        </w:tc>
        <w:tc>
          <w:tcPr>
            <w:tcW w:w="1117" w:type="dxa"/>
            <w:hideMark/>
          </w:tcPr>
          <w:p w14:paraId="7EBCA7E7" w14:textId="7D1D9C15" w:rsidR="007F2D60" w:rsidRPr="002B3F36" w:rsidRDefault="00F23D2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7F2D60" w:rsidRPr="002B3F36" w14:paraId="50EB0E30" w14:textId="77777777" w:rsidTr="00F23D20">
        <w:trPr>
          <w:trHeight w:val="276"/>
        </w:trPr>
        <w:tc>
          <w:tcPr>
            <w:tcW w:w="812" w:type="dxa"/>
            <w:vMerge/>
            <w:vAlign w:val="center"/>
            <w:hideMark/>
          </w:tcPr>
          <w:p w14:paraId="6EBD81B2" w14:textId="77777777" w:rsidR="007F2D60" w:rsidRPr="00A846C7" w:rsidRDefault="007F2D60" w:rsidP="00F82096">
            <w:pPr>
              <w:rPr>
                <w:rFonts w:ascii="Arial" w:hAnsi="Arial" w:cs="Arial"/>
                <w:sz w:val="20"/>
                <w:szCs w:val="20"/>
                <w:lang w:val="en-PH" w:eastAsia="en-PH"/>
              </w:rPr>
            </w:pPr>
          </w:p>
        </w:tc>
        <w:tc>
          <w:tcPr>
            <w:tcW w:w="3082" w:type="dxa"/>
            <w:hideMark/>
          </w:tcPr>
          <w:p w14:paraId="772585E4" w14:textId="2A7B1554"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Social Conflict</w:t>
            </w:r>
            <w:r w:rsidR="00F23D20" w:rsidRPr="002B3F36">
              <w:rPr>
                <w:rFonts w:ascii="Arial" w:hAnsi="Arial" w:cs="Arial"/>
                <w:sz w:val="20"/>
                <w:szCs w:val="20"/>
                <w:lang w:val="en-PH" w:eastAsia="en-PH"/>
              </w:rPr>
              <w:t xml:space="preserve"> (Labor Influx)</w:t>
            </w:r>
          </w:p>
        </w:tc>
        <w:tc>
          <w:tcPr>
            <w:tcW w:w="1335" w:type="dxa"/>
            <w:hideMark/>
          </w:tcPr>
          <w:p w14:paraId="758E8252"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772A85C9" w14:textId="1C73E627" w:rsidR="007F2D60" w:rsidRPr="002B3F36" w:rsidRDefault="0083448D" w:rsidP="00F82096">
            <w:pPr>
              <w:jc w:val="center"/>
              <w:rPr>
                <w:rFonts w:ascii="Arial" w:hAnsi="Arial" w:cs="Arial"/>
                <w:sz w:val="20"/>
                <w:szCs w:val="20"/>
                <w:lang w:val="en-PH" w:eastAsia="en-PH"/>
              </w:rPr>
            </w:pPr>
            <w:r w:rsidRPr="002B3F36">
              <w:rPr>
                <w:rFonts w:ascii="Arial" w:hAnsi="Arial" w:cs="Arial"/>
                <w:sz w:val="20"/>
                <w:szCs w:val="20"/>
                <w:lang w:val="en-PH" w:eastAsia="en-PH"/>
              </w:rPr>
              <w:t>Un</w:t>
            </w:r>
            <w:r w:rsidR="007F2D60" w:rsidRPr="002B3F36">
              <w:rPr>
                <w:rFonts w:ascii="Arial" w:hAnsi="Arial" w:cs="Arial"/>
                <w:sz w:val="20"/>
                <w:szCs w:val="20"/>
                <w:lang w:val="en-PH" w:eastAsia="en-PH"/>
              </w:rPr>
              <w:t>Likely</w:t>
            </w:r>
          </w:p>
        </w:tc>
        <w:tc>
          <w:tcPr>
            <w:tcW w:w="1095" w:type="dxa"/>
            <w:hideMark/>
          </w:tcPr>
          <w:p w14:paraId="355B75EB"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117" w:type="dxa"/>
            <w:hideMark/>
          </w:tcPr>
          <w:p w14:paraId="10C782A1"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7582E2B6" w14:textId="77777777" w:rsidTr="00F23D20">
        <w:trPr>
          <w:trHeight w:val="276"/>
        </w:trPr>
        <w:tc>
          <w:tcPr>
            <w:tcW w:w="812" w:type="dxa"/>
            <w:vMerge/>
            <w:vAlign w:val="center"/>
            <w:hideMark/>
          </w:tcPr>
          <w:p w14:paraId="648C2E03" w14:textId="77777777" w:rsidR="007F2D60" w:rsidRPr="00A846C7" w:rsidRDefault="007F2D60" w:rsidP="00F82096">
            <w:pPr>
              <w:rPr>
                <w:rFonts w:ascii="Arial" w:hAnsi="Arial" w:cs="Arial"/>
                <w:sz w:val="20"/>
                <w:szCs w:val="20"/>
                <w:lang w:val="en-PH" w:eastAsia="en-PH"/>
              </w:rPr>
            </w:pPr>
          </w:p>
        </w:tc>
        <w:tc>
          <w:tcPr>
            <w:tcW w:w="3082" w:type="dxa"/>
            <w:hideMark/>
          </w:tcPr>
          <w:p w14:paraId="70CE1C7A"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Employment Generation and Livelihood</w:t>
            </w:r>
          </w:p>
        </w:tc>
        <w:tc>
          <w:tcPr>
            <w:tcW w:w="1335" w:type="dxa"/>
            <w:hideMark/>
          </w:tcPr>
          <w:p w14:paraId="2E276A09"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Positive</w:t>
            </w:r>
          </w:p>
        </w:tc>
        <w:tc>
          <w:tcPr>
            <w:tcW w:w="1914" w:type="dxa"/>
            <w:hideMark/>
          </w:tcPr>
          <w:p w14:paraId="391B9C88"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7350EF43"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117" w:type="dxa"/>
            <w:hideMark/>
          </w:tcPr>
          <w:p w14:paraId="02F7BFBA"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7F2D60" w:rsidRPr="002B3F36" w14:paraId="43B753B6" w14:textId="77777777" w:rsidTr="00F82096">
        <w:trPr>
          <w:trHeight w:val="233"/>
        </w:trPr>
        <w:tc>
          <w:tcPr>
            <w:tcW w:w="812" w:type="dxa"/>
            <w:vMerge w:val="restart"/>
            <w:hideMark/>
          </w:tcPr>
          <w:p w14:paraId="39405D66" w14:textId="77777777" w:rsidR="007F2D60" w:rsidRPr="00A846C7" w:rsidRDefault="007F2D60" w:rsidP="00F82096">
            <w:pPr>
              <w:jc w:val="center"/>
              <w:rPr>
                <w:rFonts w:ascii="Arial" w:hAnsi="Arial" w:cs="Arial"/>
                <w:sz w:val="20"/>
                <w:szCs w:val="20"/>
                <w:lang w:val="en-PH" w:eastAsia="en-PH"/>
              </w:rPr>
            </w:pPr>
            <w:r w:rsidRPr="00A846C7">
              <w:rPr>
                <w:rFonts w:ascii="Arial" w:hAnsi="Arial" w:cs="Arial"/>
                <w:sz w:val="20"/>
                <w:szCs w:val="20"/>
                <w:lang w:val="en-PH" w:eastAsia="en-PH"/>
              </w:rPr>
              <w:t>PS3</w:t>
            </w:r>
          </w:p>
        </w:tc>
        <w:tc>
          <w:tcPr>
            <w:tcW w:w="3082" w:type="dxa"/>
            <w:hideMark/>
          </w:tcPr>
          <w:p w14:paraId="754BF794"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 xml:space="preserve">Land Resources (Soil Quality) </w:t>
            </w:r>
          </w:p>
        </w:tc>
        <w:tc>
          <w:tcPr>
            <w:tcW w:w="1335" w:type="dxa"/>
            <w:hideMark/>
          </w:tcPr>
          <w:p w14:paraId="7E65EDAF"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275C5BC5"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Unlikely</w:t>
            </w:r>
          </w:p>
        </w:tc>
        <w:tc>
          <w:tcPr>
            <w:tcW w:w="1095" w:type="dxa"/>
            <w:hideMark/>
          </w:tcPr>
          <w:p w14:paraId="1D395E86"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117" w:type="dxa"/>
            <w:hideMark/>
          </w:tcPr>
          <w:p w14:paraId="3CEBF8DF"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15CD5FEA" w14:textId="77777777" w:rsidTr="00F23D20">
        <w:trPr>
          <w:trHeight w:val="276"/>
        </w:trPr>
        <w:tc>
          <w:tcPr>
            <w:tcW w:w="812" w:type="dxa"/>
            <w:vMerge/>
            <w:vAlign w:val="center"/>
            <w:hideMark/>
          </w:tcPr>
          <w:p w14:paraId="6B1338A5" w14:textId="77777777" w:rsidR="007F2D60" w:rsidRPr="00A846C7" w:rsidRDefault="007F2D60" w:rsidP="00F82096">
            <w:pPr>
              <w:rPr>
                <w:rFonts w:ascii="Arial" w:hAnsi="Arial" w:cs="Arial"/>
                <w:sz w:val="20"/>
                <w:szCs w:val="20"/>
                <w:lang w:val="en-PH" w:eastAsia="en-PH"/>
              </w:rPr>
            </w:pPr>
          </w:p>
        </w:tc>
        <w:tc>
          <w:tcPr>
            <w:tcW w:w="3082" w:type="dxa"/>
            <w:hideMark/>
          </w:tcPr>
          <w:p w14:paraId="5B70EF60"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Sediment Quality</w:t>
            </w:r>
          </w:p>
        </w:tc>
        <w:tc>
          <w:tcPr>
            <w:tcW w:w="1335" w:type="dxa"/>
            <w:hideMark/>
          </w:tcPr>
          <w:p w14:paraId="169C2333"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7EFF0F86"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1A038A22"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117" w:type="dxa"/>
            <w:hideMark/>
          </w:tcPr>
          <w:p w14:paraId="14D6F6F9"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4D64A814" w14:textId="77777777" w:rsidTr="00F23D20">
        <w:trPr>
          <w:trHeight w:val="552"/>
        </w:trPr>
        <w:tc>
          <w:tcPr>
            <w:tcW w:w="812" w:type="dxa"/>
            <w:vMerge/>
            <w:vAlign w:val="center"/>
            <w:hideMark/>
          </w:tcPr>
          <w:p w14:paraId="02E542FE" w14:textId="77777777" w:rsidR="007F2D60" w:rsidRPr="00A846C7" w:rsidRDefault="007F2D60" w:rsidP="00F82096">
            <w:pPr>
              <w:rPr>
                <w:rFonts w:ascii="Arial" w:hAnsi="Arial" w:cs="Arial"/>
                <w:sz w:val="20"/>
                <w:szCs w:val="20"/>
                <w:lang w:val="en-PH" w:eastAsia="en-PH"/>
              </w:rPr>
            </w:pPr>
          </w:p>
        </w:tc>
        <w:tc>
          <w:tcPr>
            <w:tcW w:w="3082" w:type="dxa"/>
            <w:hideMark/>
          </w:tcPr>
          <w:p w14:paraId="3047B97B"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Water Resources (Surface and Ground Water) and Quality</w:t>
            </w:r>
          </w:p>
        </w:tc>
        <w:tc>
          <w:tcPr>
            <w:tcW w:w="1335" w:type="dxa"/>
            <w:hideMark/>
          </w:tcPr>
          <w:p w14:paraId="4AA367CC"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79D1CBDB"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00868D18" w14:textId="65F5485E" w:rsidR="007F2D60" w:rsidRPr="002B3F36" w:rsidRDefault="0080119E" w:rsidP="00F82096">
            <w:pPr>
              <w:jc w:val="center"/>
              <w:rPr>
                <w:rFonts w:ascii="Arial" w:hAnsi="Arial" w:cs="Arial"/>
                <w:sz w:val="20"/>
                <w:szCs w:val="20"/>
                <w:lang w:val="en-PH" w:eastAsia="en-PH"/>
              </w:rPr>
            </w:pPr>
            <w:r w:rsidRPr="002B3F36">
              <w:rPr>
                <w:rFonts w:ascii="Arial" w:hAnsi="Arial" w:cs="Arial"/>
                <w:sz w:val="20"/>
                <w:szCs w:val="20"/>
                <w:lang w:val="en-PH" w:eastAsia="en-PH"/>
              </w:rPr>
              <w:t>Major</w:t>
            </w:r>
          </w:p>
        </w:tc>
        <w:tc>
          <w:tcPr>
            <w:tcW w:w="1117" w:type="dxa"/>
            <w:hideMark/>
          </w:tcPr>
          <w:p w14:paraId="44DF8100"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80119E" w:rsidRPr="002B3F36" w14:paraId="6E764BD2" w14:textId="77777777" w:rsidTr="00F23D20">
        <w:trPr>
          <w:trHeight w:val="276"/>
        </w:trPr>
        <w:tc>
          <w:tcPr>
            <w:tcW w:w="812" w:type="dxa"/>
            <w:vMerge/>
            <w:vAlign w:val="center"/>
            <w:hideMark/>
          </w:tcPr>
          <w:p w14:paraId="2990ECB8" w14:textId="77777777" w:rsidR="0080119E" w:rsidRPr="00A846C7" w:rsidRDefault="0080119E" w:rsidP="0080119E">
            <w:pPr>
              <w:rPr>
                <w:rFonts w:ascii="Arial" w:hAnsi="Arial" w:cs="Arial"/>
                <w:sz w:val="20"/>
                <w:szCs w:val="20"/>
                <w:lang w:val="en-PH" w:eastAsia="en-PH"/>
              </w:rPr>
            </w:pPr>
          </w:p>
        </w:tc>
        <w:tc>
          <w:tcPr>
            <w:tcW w:w="3082" w:type="dxa"/>
            <w:hideMark/>
          </w:tcPr>
          <w:p w14:paraId="37D62670" w14:textId="77777777" w:rsidR="0080119E" w:rsidRPr="002B3F36" w:rsidRDefault="0080119E" w:rsidP="0080119E">
            <w:pPr>
              <w:rPr>
                <w:rFonts w:ascii="Arial" w:hAnsi="Arial" w:cs="Arial"/>
                <w:sz w:val="20"/>
                <w:szCs w:val="20"/>
                <w:lang w:val="en-PH" w:eastAsia="en-PH"/>
              </w:rPr>
            </w:pPr>
            <w:r w:rsidRPr="002B3F36">
              <w:rPr>
                <w:rFonts w:ascii="Arial" w:hAnsi="Arial" w:cs="Arial"/>
                <w:sz w:val="20"/>
                <w:szCs w:val="20"/>
                <w:lang w:val="en-PH" w:eastAsia="en-PH"/>
              </w:rPr>
              <w:t>Impact on Air Quality</w:t>
            </w:r>
          </w:p>
        </w:tc>
        <w:tc>
          <w:tcPr>
            <w:tcW w:w="1335" w:type="dxa"/>
            <w:hideMark/>
          </w:tcPr>
          <w:p w14:paraId="2D8D5721" w14:textId="77777777" w:rsidR="0080119E" w:rsidRPr="002B3F36" w:rsidRDefault="0080119E" w:rsidP="0080119E">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2254488F" w14:textId="77777777" w:rsidR="0080119E" w:rsidRPr="002B3F36" w:rsidRDefault="0080119E" w:rsidP="0080119E">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167058F0" w14:textId="652987B7" w:rsidR="0080119E" w:rsidRPr="002B3F36" w:rsidRDefault="0080119E" w:rsidP="0080119E">
            <w:pPr>
              <w:jc w:val="center"/>
              <w:rPr>
                <w:rFonts w:ascii="Arial" w:hAnsi="Arial" w:cs="Arial"/>
                <w:sz w:val="20"/>
                <w:szCs w:val="20"/>
                <w:lang w:val="en-PH" w:eastAsia="en-PH"/>
              </w:rPr>
            </w:pPr>
            <w:r w:rsidRPr="002B3F36">
              <w:rPr>
                <w:rFonts w:ascii="Arial" w:hAnsi="Arial" w:cs="Arial"/>
                <w:sz w:val="20"/>
                <w:szCs w:val="20"/>
                <w:lang w:val="en-PH" w:eastAsia="en-PH"/>
              </w:rPr>
              <w:t>Major</w:t>
            </w:r>
          </w:p>
        </w:tc>
        <w:tc>
          <w:tcPr>
            <w:tcW w:w="1117" w:type="dxa"/>
            <w:hideMark/>
          </w:tcPr>
          <w:p w14:paraId="6F10B17F" w14:textId="44F3EAFA" w:rsidR="0080119E" w:rsidRPr="002B3F36" w:rsidRDefault="0080119E" w:rsidP="0080119E">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CA20A5" w:rsidRPr="002B3F36" w14:paraId="141A8038" w14:textId="77777777" w:rsidTr="00F23D20">
        <w:trPr>
          <w:trHeight w:val="276"/>
        </w:trPr>
        <w:tc>
          <w:tcPr>
            <w:tcW w:w="812" w:type="dxa"/>
            <w:vMerge/>
            <w:vAlign w:val="center"/>
            <w:hideMark/>
          </w:tcPr>
          <w:p w14:paraId="4B47ACB4" w14:textId="77777777" w:rsidR="00CA20A5" w:rsidRPr="00A846C7" w:rsidRDefault="00CA20A5" w:rsidP="00CA20A5">
            <w:pPr>
              <w:rPr>
                <w:rFonts w:ascii="Arial" w:hAnsi="Arial" w:cs="Arial"/>
                <w:sz w:val="20"/>
                <w:szCs w:val="20"/>
                <w:lang w:val="en-PH" w:eastAsia="en-PH"/>
              </w:rPr>
            </w:pPr>
          </w:p>
        </w:tc>
        <w:tc>
          <w:tcPr>
            <w:tcW w:w="3082" w:type="dxa"/>
            <w:hideMark/>
          </w:tcPr>
          <w:p w14:paraId="17B94125" w14:textId="77777777" w:rsidR="00CA20A5" w:rsidRPr="002B3F36" w:rsidRDefault="00CA20A5" w:rsidP="00CA20A5">
            <w:pPr>
              <w:rPr>
                <w:rFonts w:ascii="Arial" w:hAnsi="Arial" w:cs="Arial"/>
                <w:sz w:val="20"/>
                <w:szCs w:val="20"/>
                <w:lang w:val="en-PH" w:eastAsia="en-PH"/>
              </w:rPr>
            </w:pPr>
            <w:r w:rsidRPr="002B3F36">
              <w:rPr>
                <w:rFonts w:ascii="Arial" w:hAnsi="Arial" w:cs="Arial"/>
                <w:sz w:val="20"/>
                <w:szCs w:val="20"/>
                <w:lang w:val="en-PH" w:eastAsia="en-PH"/>
              </w:rPr>
              <w:t>Impact on Noise Quality</w:t>
            </w:r>
          </w:p>
        </w:tc>
        <w:tc>
          <w:tcPr>
            <w:tcW w:w="1335" w:type="dxa"/>
            <w:hideMark/>
          </w:tcPr>
          <w:p w14:paraId="3904F46B" w14:textId="77777777"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0E218DC2" w14:textId="77777777"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3847F9A2" w14:textId="15816236"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Major</w:t>
            </w:r>
          </w:p>
        </w:tc>
        <w:tc>
          <w:tcPr>
            <w:tcW w:w="1117" w:type="dxa"/>
            <w:hideMark/>
          </w:tcPr>
          <w:p w14:paraId="3C40917F" w14:textId="0F9E8526"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7B33F86C" w14:textId="77777777" w:rsidTr="00F23D20">
        <w:trPr>
          <w:trHeight w:val="228"/>
        </w:trPr>
        <w:tc>
          <w:tcPr>
            <w:tcW w:w="812" w:type="dxa"/>
            <w:vMerge/>
            <w:vAlign w:val="center"/>
            <w:hideMark/>
          </w:tcPr>
          <w:p w14:paraId="57B597F8" w14:textId="77777777" w:rsidR="007F2D60" w:rsidRPr="00A846C7" w:rsidRDefault="007F2D60" w:rsidP="00F82096">
            <w:pPr>
              <w:rPr>
                <w:rFonts w:ascii="Arial" w:hAnsi="Arial" w:cs="Arial"/>
                <w:sz w:val="20"/>
                <w:szCs w:val="20"/>
                <w:lang w:val="en-PH" w:eastAsia="en-PH"/>
              </w:rPr>
            </w:pPr>
          </w:p>
        </w:tc>
        <w:tc>
          <w:tcPr>
            <w:tcW w:w="3082" w:type="dxa"/>
            <w:vAlign w:val="bottom"/>
            <w:hideMark/>
          </w:tcPr>
          <w:p w14:paraId="6C93E4B3"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Waste Generation</w:t>
            </w:r>
          </w:p>
        </w:tc>
        <w:tc>
          <w:tcPr>
            <w:tcW w:w="1335" w:type="dxa"/>
            <w:hideMark/>
          </w:tcPr>
          <w:p w14:paraId="00B99E8B"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6C03E32E"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6C2F4DC0" w14:textId="4930C7C8" w:rsidR="007F2D60" w:rsidRPr="002B3F36" w:rsidRDefault="00CA20A5" w:rsidP="00F82096">
            <w:pPr>
              <w:jc w:val="center"/>
              <w:rPr>
                <w:rFonts w:ascii="Arial" w:hAnsi="Arial" w:cs="Arial"/>
                <w:sz w:val="20"/>
                <w:szCs w:val="20"/>
                <w:lang w:val="en-PH" w:eastAsia="en-PH"/>
              </w:rPr>
            </w:pPr>
            <w:r w:rsidRPr="002B3F36">
              <w:rPr>
                <w:rFonts w:ascii="Arial" w:hAnsi="Arial" w:cs="Arial"/>
                <w:sz w:val="20"/>
                <w:szCs w:val="20"/>
                <w:lang w:val="en-PH" w:eastAsia="en-PH"/>
              </w:rPr>
              <w:t>Major</w:t>
            </w:r>
          </w:p>
        </w:tc>
        <w:tc>
          <w:tcPr>
            <w:tcW w:w="1117" w:type="dxa"/>
            <w:hideMark/>
          </w:tcPr>
          <w:p w14:paraId="6DC6B5A9" w14:textId="485E22EA" w:rsidR="007F2D60" w:rsidRPr="002B3F36" w:rsidRDefault="00CA20A5"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F82096" w:rsidRPr="002B3F36" w14:paraId="59861CEE" w14:textId="77777777" w:rsidTr="00F23D20">
        <w:trPr>
          <w:trHeight w:val="264"/>
        </w:trPr>
        <w:tc>
          <w:tcPr>
            <w:tcW w:w="812" w:type="dxa"/>
            <w:hideMark/>
          </w:tcPr>
          <w:p w14:paraId="13CE33F5" w14:textId="77777777"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PS4</w:t>
            </w:r>
          </w:p>
        </w:tc>
        <w:tc>
          <w:tcPr>
            <w:tcW w:w="3082" w:type="dxa"/>
            <w:hideMark/>
          </w:tcPr>
          <w:p w14:paraId="68AC070F" w14:textId="77777777" w:rsidR="00CA20A5" w:rsidRPr="002B3F36" w:rsidRDefault="00CA20A5" w:rsidP="00CA20A5">
            <w:pPr>
              <w:rPr>
                <w:rFonts w:ascii="Arial" w:hAnsi="Arial" w:cs="Arial"/>
                <w:sz w:val="20"/>
                <w:szCs w:val="20"/>
                <w:lang w:val="en-PH" w:eastAsia="en-PH"/>
              </w:rPr>
            </w:pPr>
            <w:r w:rsidRPr="002B3F36">
              <w:rPr>
                <w:rFonts w:ascii="Arial" w:hAnsi="Arial" w:cs="Arial"/>
                <w:sz w:val="20"/>
                <w:szCs w:val="20"/>
                <w:lang w:val="en-PH" w:eastAsia="en-PH"/>
              </w:rPr>
              <w:t>Community Health and Safety</w:t>
            </w:r>
          </w:p>
        </w:tc>
        <w:tc>
          <w:tcPr>
            <w:tcW w:w="1335" w:type="dxa"/>
            <w:hideMark/>
          </w:tcPr>
          <w:p w14:paraId="2A97A81C" w14:textId="77777777"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171915F6" w14:textId="77777777"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386C4566" w14:textId="214739BE"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Negligible</w:t>
            </w:r>
          </w:p>
        </w:tc>
        <w:tc>
          <w:tcPr>
            <w:tcW w:w="1117" w:type="dxa"/>
            <w:hideMark/>
          </w:tcPr>
          <w:p w14:paraId="2CAF3B63" w14:textId="53F0EDE9" w:rsidR="00CA20A5" w:rsidRPr="002B3F36" w:rsidRDefault="00CA20A5" w:rsidP="00CA20A5">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25EA633B" w14:textId="77777777" w:rsidTr="00F23D20">
        <w:trPr>
          <w:trHeight w:val="276"/>
        </w:trPr>
        <w:tc>
          <w:tcPr>
            <w:tcW w:w="812" w:type="dxa"/>
            <w:vMerge w:val="restart"/>
            <w:hideMark/>
          </w:tcPr>
          <w:p w14:paraId="0910B9BF"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PS5</w:t>
            </w:r>
          </w:p>
        </w:tc>
        <w:tc>
          <w:tcPr>
            <w:tcW w:w="3082" w:type="dxa"/>
            <w:hideMark/>
          </w:tcPr>
          <w:p w14:paraId="61B27B59"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 xml:space="preserve">Land Acquisition, Resettlements </w:t>
            </w:r>
          </w:p>
        </w:tc>
        <w:tc>
          <w:tcPr>
            <w:tcW w:w="1335" w:type="dxa"/>
            <w:hideMark/>
          </w:tcPr>
          <w:p w14:paraId="1732F08F"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18434EA8"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692D390D" w14:textId="27C1297E" w:rsidR="007F2D60" w:rsidRPr="002B3F36" w:rsidRDefault="00CA20A5" w:rsidP="00F82096">
            <w:pPr>
              <w:jc w:val="center"/>
              <w:rPr>
                <w:rFonts w:ascii="Arial" w:hAnsi="Arial" w:cs="Arial"/>
                <w:sz w:val="20"/>
                <w:szCs w:val="20"/>
                <w:lang w:val="en-PH" w:eastAsia="en-PH"/>
              </w:rPr>
            </w:pPr>
            <w:r w:rsidRPr="002B3F36">
              <w:rPr>
                <w:rFonts w:ascii="Arial" w:hAnsi="Arial" w:cs="Arial"/>
                <w:sz w:val="20"/>
                <w:szCs w:val="20"/>
                <w:lang w:val="en-PH" w:eastAsia="en-PH"/>
              </w:rPr>
              <w:t>Negligible</w:t>
            </w:r>
          </w:p>
        </w:tc>
        <w:tc>
          <w:tcPr>
            <w:tcW w:w="1117" w:type="dxa"/>
            <w:hideMark/>
          </w:tcPr>
          <w:p w14:paraId="06F2A681"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4FDC0A22" w14:textId="77777777" w:rsidTr="00F23D20">
        <w:trPr>
          <w:trHeight w:val="276"/>
        </w:trPr>
        <w:tc>
          <w:tcPr>
            <w:tcW w:w="812" w:type="dxa"/>
            <w:vMerge/>
            <w:vAlign w:val="center"/>
            <w:hideMark/>
          </w:tcPr>
          <w:p w14:paraId="2BED8309" w14:textId="77777777" w:rsidR="007F2D60" w:rsidRPr="002B3F36" w:rsidRDefault="007F2D60" w:rsidP="00F82096">
            <w:pPr>
              <w:rPr>
                <w:rFonts w:ascii="Arial" w:hAnsi="Arial" w:cs="Arial"/>
                <w:sz w:val="20"/>
                <w:szCs w:val="20"/>
                <w:lang w:val="en-PH" w:eastAsia="en-PH"/>
              </w:rPr>
            </w:pPr>
          </w:p>
        </w:tc>
        <w:tc>
          <w:tcPr>
            <w:tcW w:w="3082" w:type="dxa"/>
            <w:hideMark/>
          </w:tcPr>
          <w:p w14:paraId="51C8B760"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Constrained Access</w:t>
            </w:r>
          </w:p>
        </w:tc>
        <w:tc>
          <w:tcPr>
            <w:tcW w:w="1335" w:type="dxa"/>
            <w:hideMark/>
          </w:tcPr>
          <w:p w14:paraId="1C2FC62D"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6FD28031"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 xml:space="preserve">Likely </w:t>
            </w:r>
          </w:p>
        </w:tc>
        <w:tc>
          <w:tcPr>
            <w:tcW w:w="1095" w:type="dxa"/>
            <w:hideMark/>
          </w:tcPr>
          <w:p w14:paraId="798CBB74"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117" w:type="dxa"/>
            <w:hideMark/>
          </w:tcPr>
          <w:p w14:paraId="27004176"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7F2D60" w:rsidRPr="002B3F36" w14:paraId="47998CA0" w14:textId="77777777" w:rsidTr="00F23D20">
        <w:trPr>
          <w:trHeight w:val="276"/>
        </w:trPr>
        <w:tc>
          <w:tcPr>
            <w:tcW w:w="812" w:type="dxa"/>
            <w:vMerge w:val="restart"/>
            <w:hideMark/>
          </w:tcPr>
          <w:p w14:paraId="477D9204"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PS6</w:t>
            </w:r>
          </w:p>
        </w:tc>
        <w:tc>
          <w:tcPr>
            <w:tcW w:w="3082" w:type="dxa"/>
            <w:hideMark/>
          </w:tcPr>
          <w:p w14:paraId="37579139"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Flora</w:t>
            </w:r>
          </w:p>
        </w:tc>
        <w:tc>
          <w:tcPr>
            <w:tcW w:w="1335" w:type="dxa"/>
            <w:hideMark/>
          </w:tcPr>
          <w:p w14:paraId="356B1585"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682552AD"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7AE19BFF" w14:textId="091B7C4E" w:rsidR="007F2D60" w:rsidRPr="002B3F36" w:rsidRDefault="00CA20A5"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117" w:type="dxa"/>
            <w:hideMark/>
          </w:tcPr>
          <w:p w14:paraId="3C2A8E15" w14:textId="6CD08EC3" w:rsidR="007F2D60" w:rsidRPr="002B3F36" w:rsidRDefault="00CA20A5"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7F2D60" w:rsidRPr="002B3F36" w14:paraId="000E2379" w14:textId="77777777" w:rsidTr="00F23D20">
        <w:trPr>
          <w:trHeight w:val="276"/>
        </w:trPr>
        <w:tc>
          <w:tcPr>
            <w:tcW w:w="812" w:type="dxa"/>
            <w:vMerge/>
            <w:vAlign w:val="center"/>
            <w:hideMark/>
          </w:tcPr>
          <w:p w14:paraId="68B4BD86" w14:textId="77777777" w:rsidR="007F2D60" w:rsidRPr="002B3F36" w:rsidRDefault="007F2D60" w:rsidP="00F82096">
            <w:pPr>
              <w:rPr>
                <w:rFonts w:ascii="Arial" w:hAnsi="Arial" w:cs="Arial"/>
                <w:sz w:val="20"/>
                <w:szCs w:val="20"/>
                <w:lang w:val="en-PH" w:eastAsia="en-PH"/>
              </w:rPr>
            </w:pPr>
          </w:p>
        </w:tc>
        <w:tc>
          <w:tcPr>
            <w:tcW w:w="3082" w:type="dxa"/>
            <w:hideMark/>
          </w:tcPr>
          <w:p w14:paraId="78D7B0FE"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Fauna</w:t>
            </w:r>
          </w:p>
        </w:tc>
        <w:tc>
          <w:tcPr>
            <w:tcW w:w="1335" w:type="dxa"/>
            <w:hideMark/>
          </w:tcPr>
          <w:p w14:paraId="05ADEF05"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7CB75846"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20C25DE2"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117" w:type="dxa"/>
            <w:hideMark/>
          </w:tcPr>
          <w:p w14:paraId="5B9862AB"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7F2D60" w:rsidRPr="002B3F36" w14:paraId="7C46AAD2" w14:textId="77777777" w:rsidTr="00F23D20">
        <w:trPr>
          <w:trHeight w:val="276"/>
        </w:trPr>
        <w:tc>
          <w:tcPr>
            <w:tcW w:w="812" w:type="dxa"/>
            <w:vMerge/>
            <w:vAlign w:val="center"/>
            <w:hideMark/>
          </w:tcPr>
          <w:p w14:paraId="39739B45" w14:textId="77777777" w:rsidR="007F2D60" w:rsidRPr="002B3F36" w:rsidRDefault="007F2D60" w:rsidP="00F82096">
            <w:pPr>
              <w:rPr>
                <w:rFonts w:ascii="Arial" w:hAnsi="Arial" w:cs="Arial"/>
                <w:sz w:val="20"/>
                <w:szCs w:val="20"/>
                <w:lang w:val="en-PH" w:eastAsia="en-PH"/>
              </w:rPr>
            </w:pPr>
          </w:p>
        </w:tc>
        <w:tc>
          <w:tcPr>
            <w:tcW w:w="3082" w:type="dxa"/>
            <w:hideMark/>
          </w:tcPr>
          <w:p w14:paraId="23187665"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Protected Areas &amp; Biodiversity</w:t>
            </w:r>
          </w:p>
        </w:tc>
        <w:tc>
          <w:tcPr>
            <w:tcW w:w="1335" w:type="dxa"/>
            <w:hideMark/>
          </w:tcPr>
          <w:p w14:paraId="7C82B703"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3DB3E261"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95" w:type="dxa"/>
            <w:hideMark/>
          </w:tcPr>
          <w:p w14:paraId="3900797B"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117" w:type="dxa"/>
            <w:hideMark/>
          </w:tcPr>
          <w:p w14:paraId="62414025"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7F2D60" w:rsidRPr="002B3F36" w14:paraId="3ABA48CA" w14:textId="77777777" w:rsidTr="00F23D20">
        <w:trPr>
          <w:trHeight w:val="276"/>
        </w:trPr>
        <w:tc>
          <w:tcPr>
            <w:tcW w:w="812" w:type="dxa"/>
            <w:hideMark/>
          </w:tcPr>
          <w:p w14:paraId="3E144342"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PS8</w:t>
            </w:r>
          </w:p>
        </w:tc>
        <w:tc>
          <w:tcPr>
            <w:tcW w:w="3082" w:type="dxa"/>
            <w:hideMark/>
          </w:tcPr>
          <w:p w14:paraId="2A651651" w14:textId="77777777" w:rsidR="007F2D60" w:rsidRPr="002B3F36" w:rsidRDefault="007F2D60" w:rsidP="00F82096">
            <w:pPr>
              <w:rPr>
                <w:rFonts w:ascii="Arial" w:hAnsi="Arial" w:cs="Arial"/>
                <w:sz w:val="20"/>
                <w:szCs w:val="20"/>
                <w:lang w:val="en-PH" w:eastAsia="en-PH"/>
              </w:rPr>
            </w:pPr>
            <w:r w:rsidRPr="002B3F36">
              <w:rPr>
                <w:rFonts w:ascii="Arial" w:hAnsi="Arial" w:cs="Arial"/>
                <w:sz w:val="20"/>
                <w:szCs w:val="20"/>
                <w:lang w:val="en-PH" w:eastAsia="en-PH"/>
              </w:rPr>
              <w:t>Physical Cultural Resources</w:t>
            </w:r>
          </w:p>
        </w:tc>
        <w:tc>
          <w:tcPr>
            <w:tcW w:w="1335" w:type="dxa"/>
            <w:hideMark/>
          </w:tcPr>
          <w:p w14:paraId="0315E504"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14" w:type="dxa"/>
            <w:hideMark/>
          </w:tcPr>
          <w:p w14:paraId="79FF77C8" w14:textId="4BD749A9" w:rsidR="007F2D60" w:rsidRPr="002B3F36" w:rsidRDefault="007E391A" w:rsidP="00F82096">
            <w:pPr>
              <w:jc w:val="center"/>
              <w:rPr>
                <w:rFonts w:ascii="Arial" w:hAnsi="Arial" w:cs="Arial"/>
                <w:sz w:val="20"/>
                <w:szCs w:val="20"/>
                <w:lang w:val="en-PH" w:eastAsia="en-PH"/>
              </w:rPr>
            </w:pPr>
            <w:r w:rsidRPr="002B3F36">
              <w:rPr>
                <w:rFonts w:ascii="Arial" w:hAnsi="Arial" w:cs="Arial"/>
                <w:sz w:val="20"/>
                <w:szCs w:val="20"/>
                <w:lang w:val="en-PH" w:eastAsia="en-PH"/>
              </w:rPr>
              <w:t>Unl</w:t>
            </w:r>
            <w:r w:rsidR="007F2D60" w:rsidRPr="002B3F36">
              <w:rPr>
                <w:rFonts w:ascii="Arial" w:hAnsi="Arial" w:cs="Arial"/>
                <w:sz w:val="20"/>
                <w:szCs w:val="20"/>
                <w:lang w:val="en-PH" w:eastAsia="en-PH"/>
              </w:rPr>
              <w:t>ikely</w:t>
            </w:r>
          </w:p>
        </w:tc>
        <w:tc>
          <w:tcPr>
            <w:tcW w:w="1095" w:type="dxa"/>
            <w:hideMark/>
          </w:tcPr>
          <w:p w14:paraId="58A32FBD" w14:textId="0940CDA4" w:rsidR="007F2D60" w:rsidRPr="002B3F36" w:rsidRDefault="00CA20A5" w:rsidP="00F82096">
            <w:pPr>
              <w:jc w:val="center"/>
              <w:rPr>
                <w:rFonts w:ascii="Arial" w:hAnsi="Arial" w:cs="Arial"/>
                <w:sz w:val="20"/>
                <w:szCs w:val="20"/>
                <w:lang w:val="en-PH" w:eastAsia="en-PH"/>
              </w:rPr>
            </w:pPr>
            <w:r w:rsidRPr="002B3F36">
              <w:rPr>
                <w:rFonts w:ascii="Arial" w:hAnsi="Arial" w:cs="Arial"/>
                <w:sz w:val="20"/>
                <w:szCs w:val="20"/>
                <w:lang w:val="en-PH" w:eastAsia="en-PH"/>
              </w:rPr>
              <w:t>Negligible</w:t>
            </w:r>
          </w:p>
        </w:tc>
        <w:tc>
          <w:tcPr>
            <w:tcW w:w="1117" w:type="dxa"/>
            <w:hideMark/>
          </w:tcPr>
          <w:p w14:paraId="076B4ECA" w14:textId="77777777" w:rsidR="007F2D60" w:rsidRPr="002B3F36" w:rsidRDefault="007F2D60" w:rsidP="00F82096">
            <w:pPr>
              <w:jc w:val="center"/>
              <w:rPr>
                <w:rFonts w:ascii="Arial" w:hAnsi="Arial" w:cs="Arial"/>
                <w:sz w:val="20"/>
                <w:szCs w:val="20"/>
                <w:lang w:val="en-PH" w:eastAsia="en-PH"/>
              </w:rPr>
            </w:pPr>
            <w:r w:rsidRPr="002B3F36">
              <w:rPr>
                <w:rFonts w:ascii="Arial" w:hAnsi="Arial" w:cs="Arial"/>
                <w:sz w:val="20"/>
                <w:szCs w:val="20"/>
                <w:lang w:val="en-PH" w:eastAsia="en-PH"/>
              </w:rPr>
              <w:t>Low</w:t>
            </w:r>
          </w:p>
        </w:tc>
      </w:tr>
    </w:tbl>
    <w:p w14:paraId="0706259A" w14:textId="77777777" w:rsidR="007F2D60" w:rsidRPr="002B3F36" w:rsidRDefault="007F2D60" w:rsidP="00EC1560">
      <w:pPr>
        <w:pStyle w:val="ReportBodyPar"/>
      </w:pPr>
    </w:p>
    <w:p w14:paraId="5EB3075A" w14:textId="5EF8AA1C" w:rsidR="00F61F8E" w:rsidRPr="002B3F36" w:rsidRDefault="000F264B">
      <w:pPr>
        <w:pStyle w:val="20"/>
        <w:rPr>
          <w:color w:val="auto"/>
        </w:rPr>
      </w:pPr>
      <w:bookmarkStart w:id="2549" w:name="_Toc169094798"/>
      <w:bookmarkStart w:id="2550" w:name="_Toc208973882"/>
      <w:bookmarkStart w:id="2551" w:name="_Toc208974082"/>
      <w:bookmarkStart w:id="2552" w:name="_Toc208974282"/>
      <w:bookmarkStart w:id="2553" w:name="_Toc208974485"/>
      <w:bookmarkStart w:id="2554" w:name="_Toc208974687"/>
      <w:bookmarkStart w:id="2555" w:name="_Toc210589527"/>
      <w:bookmarkEnd w:id="2547"/>
      <w:r w:rsidRPr="002B3F36">
        <w:rPr>
          <w:color w:val="auto"/>
        </w:rPr>
        <w:t>Potential Impacts and Risks during Operations Phase</w:t>
      </w:r>
      <w:bookmarkEnd w:id="2549"/>
      <w:bookmarkEnd w:id="2550"/>
      <w:bookmarkEnd w:id="2551"/>
      <w:bookmarkEnd w:id="2552"/>
      <w:bookmarkEnd w:id="2553"/>
      <w:bookmarkEnd w:id="2554"/>
      <w:bookmarkEnd w:id="2555"/>
    </w:p>
    <w:p w14:paraId="04A2D655" w14:textId="3DBE254F" w:rsidR="00A62571" w:rsidRPr="002B3F36" w:rsidRDefault="00A62571" w:rsidP="00A62571">
      <w:pPr>
        <w:pStyle w:val="ReportBodyPar"/>
      </w:pPr>
    </w:p>
    <w:p w14:paraId="4AAB3CAE" w14:textId="77777777" w:rsidR="00660A50" w:rsidRPr="002B3F36" w:rsidRDefault="00660A50" w:rsidP="00660A50">
      <w:pPr>
        <w:pStyle w:val="ReportBodyPar"/>
      </w:pPr>
      <w:r w:rsidRPr="002B3F36">
        <w:t>During the operations phase, potential impacts may arise from train operations, facility maintenance, and ancillary activities, including emissions, noise, vibration, waste generation, soil erosion, water contamination risks, and disturbance to biodiversity and local communities. Social risks such as occupational health and safety hazards, traffic safety concerns, and constrained access may also occur, while employment opportunities and improved transport connectivity represent key positive impacts.</w:t>
      </w:r>
    </w:p>
    <w:p w14:paraId="2643C9B0" w14:textId="77777777" w:rsidR="00660A50" w:rsidRPr="002B3F36" w:rsidRDefault="00660A50" w:rsidP="00660A50">
      <w:pPr>
        <w:pStyle w:val="ReportBodyPar"/>
      </w:pPr>
    </w:p>
    <w:p w14:paraId="42AA2F1A" w14:textId="47EF38E2" w:rsidR="00A62571" w:rsidRPr="002B3F36" w:rsidRDefault="00660A50" w:rsidP="00660A50">
      <w:pPr>
        <w:pStyle w:val="ReportBodyPar"/>
      </w:pPr>
      <w:r w:rsidRPr="002B3F36">
        <w:t xml:space="preserve">To address these risks, the project will apply </w:t>
      </w:r>
      <w:r w:rsidR="00F95BD8" w:rsidRPr="002B3F36">
        <w:t>WB</w:t>
      </w:r>
      <w:r w:rsidRPr="002B3F36">
        <w:t xml:space="preserve"> Performance Standards (PS1–PS8), WBG EHS Guidelines (2007), and national regulations through an ESMP. Measures will focus on pollution prevention, waste management, noise and traffic safety controls, wildlife protection, and occupational health and safety, ensuring compliance and minimizing residual impacts during railway operations.</w:t>
      </w:r>
    </w:p>
    <w:p w14:paraId="77EAA26F" w14:textId="77777777" w:rsidR="00A62571" w:rsidRPr="002B3F36" w:rsidRDefault="00A62571" w:rsidP="00A62571">
      <w:pPr>
        <w:pStyle w:val="ReportBodyPar"/>
      </w:pPr>
    </w:p>
    <w:p w14:paraId="152DEBE1" w14:textId="77777777" w:rsidR="00F61F8E" w:rsidRPr="002B3F36" w:rsidRDefault="000F264B" w:rsidP="009B4CDB">
      <w:pPr>
        <w:pStyle w:val="ReportBodyTextNogap"/>
        <w:numPr>
          <w:ilvl w:val="0"/>
          <w:numId w:val="197"/>
        </w:numPr>
        <w:rPr>
          <w:rFonts w:eastAsia="SimSun"/>
          <w:b/>
          <w:lang w:val="en-PH"/>
        </w:rPr>
      </w:pPr>
      <w:r w:rsidRPr="002B3F36">
        <w:rPr>
          <w:rFonts w:eastAsia="SimSun"/>
          <w:b/>
          <w:lang w:val="en-PH"/>
        </w:rPr>
        <w:t>Origin of Impact</w:t>
      </w:r>
    </w:p>
    <w:p w14:paraId="63EE4EEB" w14:textId="77777777" w:rsidR="00A66DE7" w:rsidRPr="002B3F36" w:rsidRDefault="00A66DE7" w:rsidP="00827137">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During the operations phase, impacts and risks will primarily arise from:</w:t>
      </w:r>
    </w:p>
    <w:p w14:paraId="485684F5" w14:textId="77777777" w:rsidR="00A66DE7" w:rsidRPr="002B3F36" w:rsidRDefault="00A66DE7" w:rsidP="009B4CDB">
      <w:pPr>
        <w:widowControl/>
        <w:numPr>
          <w:ilvl w:val="0"/>
          <w:numId w:val="19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Train operations</w:t>
      </w:r>
      <w:r w:rsidRPr="002B3F36">
        <w:rPr>
          <w:rFonts w:ascii="Arial" w:eastAsia="Times New Roman" w:hAnsi="Arial" w:cs="Arial"/>
          <w:sz w:val="24"/>
          <w:szCs w:val="24"/>
        </w:rPr>
        <w:t xml:space="preserve"> – locomotive emissions, noise, vibration, and potential wildlife strikes.</w:t>
      </w:r>
    </w:p>
    <w:p w14:paraId="3A3780F3" w14:textId="77777777" w:rsidR="00A66DE7" w:rsidRPr="002B3F36" w:rsidRDefault="00A66DE7" w:rsidP="009B4CDB">
      <w:pPr>
        <w:widowControl/>
        <w:numPr>
          <w:ilvl w:val="0"/>
          <w:numId w:val="19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Track, structures, and systems maintenance</w:t>
      </w:r>
      <w:r w:rsidRPr="002B3F36">
        <w:rPr>
          <w:rFonts w:ascii="Arial" w:eastAsia="Times New Roman" w:hAnsi="Arial" w:cs="Arial"/>
          <w:sz w:val="24"/>
          <w:szCs w:val="24"/>
        </w:rPr>
        <w:t xml:space="preserve"> – use of plant, handling of hazardous materials, and generation of maintenance waste.</w:t>
      </w:r>
    </w:p>
    <w:p w14:paraId="40DBA778" w14:textId="7C37EC7B" w:rsidR="00F61F8E" w:rsidRPr="002B3F36" w:rsidRDefault="00A66DE7" w:rsidP="009B4CDB">
      <w:pPr>
        <w:widowControl/>
        <w:numPr>
          <w:ilvl w:val="0"/>
          <w:numId w:val="19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Ancillary operations</w:t>
      </w:r>
      <w:r w:rsidRPr="002B3F36">
        <w:rPr>
          <w:rFonts w:ascii="Arial" w:eastAsia="Times New Roman" w:hAnsi="Arial" w:cs="Arial"/>
          <w:sz w:val="24"/>
          <w:szCs w:val="24"/>
        </w:rPr>
        <w:t xml:space="preserve"> – activities at depots, sidings, power/signaling infrastructure, level crossings, and the functioning of fencing and wildlife passages.</w:t>
      </w:r>
    </w:p>
    <w:p w14:paraId="35E9F3F1" w14:textId="58D10799" w:rsidR="00F61F8E" w:rsidRPr="002B3F36" w:rsidRDefault="008644F4">
      <w:pPr>
        <w:pStyle w:val="ReportBodyTextNogap"/>
        <w:rPr>
          <w:lang w:val="en-PH"/>
        </w:rPr>
      </w:pPr>
      <w:r w:rsidRPr="002B3F36">
        <w:rPr>
          <w:lang w:val="en-PH"/>
        </w:rPr>
        <w:t xml:space="preserve">Drawing on the consultants’ cumulative experience and lessons learned from comparable transport infrastructure projects, the anticipated environmental and social impacts and associated risks for the operations phase have been systematically identified and </w:t>
      </w:r>
      <w:r w:rsidRPr="002B3F36">
        <w:rPr>
          <w:lang w:val="en-PH"/>
        </w:rPr>
        <w:lastRenderedPageBreak/>
        <w:t>characterized. This assessment integrates empirical data, expert judgment, and established impact prediction methodologies to develop a preliminary understanding of the nature, likelihood, and significance of potential impacts, as summarized in the table below.</w:t>
      </w:r>
    </w:p>
    <w:p w14:paraId="2561CE93" w14:textId="1036F3C1" w:rsidR="008644F4" w:rsidRDefault="008644F4">
      <w:pPr>
        <w:pStyle w:val="ReportBodyTextNogap"/>
        <w:rPr>
          <w:rFonts w:eastAsia="SimSun"/>
          <w:lang w:val="en-PH"/>
        </w:rPr>
      </w:pPr>
    </w:p>
    <w:p w14:paraId="2731F14E" w14:textId="2E109EBE" w:rsidR="00A023DA" w:rsidRDefault="00A023DA">
      <w:pPr>
        <w:pStyle w:val="ReportBodyTextNogap"/>
        <w:rPr>
          <w:rFonts w:eastAsia="SimSun"/>
          <w:lang w:val="en-PH"/>
        </w:rPr>
      </w:pPr>
    </w:p>
    <w:p w14:paraId="4EA6B26B" w14:textId="72ECAC42" w:rsidR="00A023DA" w:rsidRDefault="00A023DA">
      <w:pPr>
        <w:pStyle w:val="ReportBodyTextNogap"/>
        <w:rPr>
          <w:rFonts w:eastAsia="SimSun"/>
          <w:lang w:val="en-PH"/>
        </w:rPr>
      </w:pPr>
    </w:p>
    <w:p w14:paraId="7C995589" w14:textId="77777777" w:rsidR="00A023DA" w:rsidRPr="002B3F36" w:rsidRDefault="00A023DA">
      <w:pPr>
        <w:pStyle w:val="ReportBodyTextNogap"/>
        <w:rPr>
          <w:rFonts w:eastAsia="SimSun"/>
          <w:lang w:val="en-PH"/>
        </w:rPr>
      </w:pPr>
    </w:p>
    <w:p w14:paraId="6B402C08" w14:textId="17DDF0A3" w:rsidR="00F61F8E" w:rsidRPr="002B3F36" w:rsidRDefault="00DE0226" w:rsidP="00CF2CE2">
      <w:pPr>
        <w:pStyle w:val="CaptionTable"/>
      </w:pPr>
      <w:bookmarkStart w:id="2556" w:name="_Toc169094908"/>
      <w:bookmarkStart w:id="2557" w:name="_Toc210589583"/>
      <w:r w:rsidRPr="002B3F36">
        <w:t xml:space="preserve">Table </w:t>
      </w:r>
      <w:r w:rsidR="000A5768" w:rsidRPr="002B3F36">
        <w:rPr>
          <w:noProof/>
        </w:rPr>
        <w:fldChar w:fldCharType="begin"/>
      </w:r>
      <w:r w:rsidR="000A5768" w:rsidRPr="002B3F36">
        <w:rPr>
          <w:noProof/>
        </w:rPr>
        <w:instrText xml:space="preserve"> SEQ Table \* ARABIC </w:instrText>
      </w:r>
      <w:r w:rsidR="000A5768" w:rsidRPr="002B3F36">
        <w:rPr>
          <w:noProof/>
        </w:rPr>
        <w:fldChar w:fldCharType="separate"/>
      </w:r>
      <w:r w:rsidR="00A023DA">
        <w:rPr>
          <w:noProof/>
        </w:rPr>
        <w:t>39</w:t>
      </w:r>
      <w:r w:rsidR="000A5768" w:rsidRPr="002B3F36">
        <w:rPr>
          <w:noProof/>
        </w:rPr>
        <w:fldChar w:fldCharType="end"/>
      </w:r>
      <w:r w:rsidRPr="002B3F36">
        <w:t xml:space="preserve">: Assessment of Impacts and Risks during </w:t>
      </w:r>
      <w:r w:rsidR="007F2D60" w:rsidRPr="002B3F36">
        <w:t>O</w:t>
      </w:r>
      <w:r w:rsidRPr="002B3F36">
        <w:t>peration</w:t>
      </w:r>
      <w:bookmarkEnd w:id="2556"/>
      <w:bookmarkEnd w:id="2557"/>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132"/>
        <w:gridCol w:w="1344"/>
        <w:gridCol w:w="1936"/>
        <w:gridCol w:w="1063"/>
        <w:gridCol w:w="1061"/>
      </w:tblGrid>
      <w:tr w:rsidR="00F61F8E" w:rsidRPr="002B3F36" w14:paraId="21E1AC19" w14:textId="77777777" w:rsidTr="007F2D60">
        <w:trPr>
          <w:trHeight w:val="336"/>
          <w:tblHeader/>
        </w:trPr>
        <w:tc>
          <w:tcPr>
            <w:tcW w:w="819" w:type="dxa"/>
            <w:shd w:val="clear" w:color="auto" w:fill="F2F2F2" w:themeFill="background1" w:themeFillShade="F2"/>
            <w:vAlign w:val="center"/>
          </w:tcPr>
          <w:p w14:paraId="17E613B0" w14:textId="3C201988" w:rsidR="00F61F8E" w:rsidRPr="002B3F36" w:rsidRDefault="000C7CC2" w:rsidP="0071180B">
            <w:pPr>
              <w:jc w:val="center"/>
              <w:rPr>
                <w:rFonts w:ascii="Arial" w:hAnsi="Arial" w:cs="Arial"/>
                <w:sz w:val="20"/>
                <w:szCs w:val="20"/>
                <w:lang w:val="en-PH" w:eastAsia="en-PH"/>
              </w:rPr>
            </w:pPr>
            <w:r w:rsidRPr="002B3F36">
              <w:rPr>
                <w:rFonts w:ascii="Arial" w:hAnsi="Arial" w:cs="Arial"/>
                <w:b/>
                <w:bCs/>
                <w:sz w:val="20"/>
                <w:szCs w:val="20"/>
                <w:lang w:val="en-PH" w:eastAsia="en-PH"/>
              </w:rPr>
              <w:t>P</w:t>
            </w:r>
            <w:r w:rsidR="000F264B" w:rsidRPr="002B3F36">
              <w:rPr>
                <w:rFonts w:ascii="Arial" w:hAnsi="Arial" w:cs="Arial"/>
                <w:b/>
                <w:bCs/>
                <w:sz w:val="20"/>
                <w:szCs w:val="20"/>
                <w:lang w:val="en-PH" w:eastAsia="en-PH"/>
              </w:rPr>
              <w:t>S</w:t>
            </w:r>
          </w:p>
        </w:tc>
        <w:tc>
          <w:tcPr>
            <w:tcW w:w="3132" w:type="dxa"/>
            <w:shd w:val="clear" w:color="auto" w:fill="F2F2F2" w:themeFill="background1" w:themeFillShade="F2"/>
            <w:vAlign w:val="center"/>
          </w:tcPr>
          <w:p w14:paraId="708E0640" w14:textId="77777777" w:rsidR="00F61F8E" w:rsidRPr="002B3F36" w:rsidRDefault="000F264B" w:rsidP="0071180B">
            <w:pPr>
              <w:jc w:val="center"/>
              <w:rPr>
                <w:rFonts w:ascii="Arial" w:hAnsi="Arial" w:cs="Arial"/>
                <w:sz w:val="20"/>
                <w:szCs w:val="20"/>
                <w:lang w:val="en-PH" w:eastAsia="en-PH"/>
              </w:rPr>
            </w:pPr>
            <w:r w:rsidRPr="002B3F36">
              <w:rPr>
                <w:rFonts w:ascii="Arial" w:hAnsi="Arial" w:cs="Arial"/>
                <w:b/>
                <w:bCs/>
                <w:sz w:val="20"/>
                <w:szCs w:val="20"/>
                <w:lang w:val="en-PH" w:eastAsia="en-PH"/>
              </w:rPr>
              <w:t>Issues/ Impacts</w:t>
            </w:r>
          </w:p>
        </w:tc>
        <w:tc>
          <w:tcPr>
            <w:tcW w:w="1344" w:type="dxa"/>
            <w:shd w:val="clear" w:color="auto" w:fill="F2F2F2" w:themeFill="background1" w:themeFillShade="F2"/>
          </w:tcPr>
          <w:p w14:paraId="1392B1C0" w14:textId="77777777" w:rsidR="00F61F8E" w:rsidRPr="002B3F36" w:rsidRDefault="000F264B" w:rsidP="0071180B">
            <w:pPr>
              <w:jc w:val="center"/>
              <w:rPr>
                <w:rFonts w:ascii="Arial" w:hAnsi="Arial" w:cs="Arial"/>
                <w:sz w:val="20"/>
                <w:szCs w:val="20"/>
                <w:lang w:val="en-PH" w:eastAsia="en-PH"/>
              </w:rPr>
            </w:pPr>
            <w:r w:rsidRPr="002B3F36">
              <w:rPr>
                <w:rFonts w:ascii="Arial" w:hAnsi="Arial" w:cs="Arial"/>
                <w:b/>
                <w:bCs/>
                <w:sz w:val="20"/>
                <w:szCs w:val="20"/>
                <w:lang w:val="en-PH" w:eastAsia="en-PH"/>
              </w:rPr>
              <w:t>Nature of impact Positive or Negative</w:t>
            </w:r>
          </w:p>
        </w:tc>
        <w:tc>
          <w:tcPr>
            <w:tcW w:w="1936" w:type="dxa"/>
            <w:shd w:val="clear" w:color="auto" w:fill="F2F2F2" w:themeFill="background1" w:themeFillShade="F2"/>
            <w:vAlign w:val="center"/>
          </w:tcPr>
          <w:p w14:paraId="7DB9C6D2" w14:textId="77777777" w:rsidR="00F61F8E" w:rsidRPr="002B3F36" w:rsidRDefault="000F264B" w:rsidP="0071180B">
            <w:pPr>
              <w:jc w:val="center"/>
              <w:rPr>
                <w:rFonts w:ascii="Arial" w:hAnsi="Arial" w:cs="Arial"/>
                <w:sz w:val="20"/>
                <w:szCs w:val="20"/>
                <w:lang w:val="en-PH" w:eastAsia="en-PH"/>
              </w:rPr>
            </w:pPr>
            <w:r w:rsidRPr="002B3F36">
              <w:rPr>
                <w:rFonts w:ascii="Arial" w:hAnsi="Arial" w:cs="Arial"/>
                <w:b/>
                <w:bCs/>
                <w:sz w:val="20"/>
                <w:szCs w:val="20"/>
                <w:lang w:val="en-PH" w:eastAsia="en-PH"/>
              </w:rPr>
              <w:t>Likelihood</w:t>
            </w:r>
          </w:p>
        </w:tc>
        <w:tc>
          <w:tcPr>
            <w:tcW w:w="1063" w:type="dxa"/>
            <w:shd w:val="clear" w:color="auto" w:fill="F2F2F2" w:themeFill="background1" w:themeFillShade="F2"/>
            <w:vAlign w:val="center"/>
          </w:tcPr>
          <w:p w14:paraId="5B0D6FB5" w14:textId="77777777" w:rsidR="00F61F8E" w:rsidRPr="002B3F36" w:rsidRDefault="000F264B" w:rsidP="0071180B">
            <w:pPr>
              <w:jc w:val="center"/>
              <w:rPr>
                <w:rFonts w:ascii="Arial" w:hAnsi="Arial" w:cs="Arial"/>
                <w:sz w:val="20"/>
                <w:szCs w:val="20"/>
                <w:lang w:val="en-PH" w:eastAsia="en-PH"/>
              </w:rPr>
            </w:pPr>
            <w:r w:rsidRPr="002B3F36">
              <w:rPr>
                <w:rFonts w:ascii="Arial" w:hAnsi="Arial" w:cs="Arial"/>
                <w:b/>
                <w:bCs/>
                <w:sz w:val="20"/>
                <w:szCs w:val="20"/>
                <w:lang w:val="en-PH" w:eastAsia="en-PH"/>
              </w:rPr>
              <w:t>Impact</w:t>
            </w:r>
          </w:p>
        </w:tc>
        <w:tc>
          <w:tcPr>
            <w:tcW w:w="1061" w:type="dxa"/>
            <w:shd w:val="clear" w:color="auto" w:fill="F2F2F2" w:themeFill="background1" w:themeFillShade="F2"/>
            <w:vAlign w:val="center"/>
          </w:tcPr>
          <w:p w14:paraId="2D8351B1" w14:textId="77777777" w:rsidR="00F61F8E" w:rsidRPr="002B3F36" w:rsidRDefault="000F264B" w:rsidP="0071180B">
            <w:pPr>
              <w:jc w:val="center"/>
              <w:rPr>
                <w:rFonts w:ascii="Arial" w:hAnsi="Arial" w:cs="Arial"/>
                <w:sz w:val="20"/>
                <w:szCs w:val="20"/>
                <w:lang w:val="en-PH" w:eastAsia="en-PH"/>
              </w:rPr>
            </w:pPr>
            <w:r w:rsidRPr="002B3F36">
              <w:rPr>
                <w:rFonts w:ascii="Arial" w:hAnsi="Arial" w:cs="Arial"/>
                <w:b/>
                <w:bCs/>
                <w:sz w:val="20"/>
                <w:szCs w:val="20"/>
                <w:lang w:val="en-PH" w:eastAsia="en-PH"/>
              </w:rPr>
              <w:t>Risk</w:t>
            </w:r>
          </w:p>
        </w:tc>
      </w:tr>
      <w:tr w:rsidR="00F61F8E" w:rsidRPr="002B3F36" w14:paraId="5AA90517" w14:textId="77777777" w:rsidTr="007F2D60">
        <w:trPr>
          <w:trHeight w:val="312"/>
        </w:trPr>
        <w:tc>
          <w:tcPr>
            <w:tcW w:w="819" w:type="dxa"/>
            <w:vMerge w:val="restart"/>
            <w:vAlign w:val="center"/>
            <w:hideMark/>
          </w:tcPr>
          <w:p w14:paraId="4D9215F8" w14:textId="1B81F91D" w:rsidR="00F61F8E" w:rsidRPr="002B3F36" w:rsidRDefault="00F23D20" w:rsidP="00F23D20">
            <w:pPr>
              <w:rPr>
                <w:rFonts w:ascii="Arial" w:hAnsi="Arial" w:cs="Arial"/>
                <w:sz w:val="20"/>
                <w:szCs w:val="20"/>
                <w:lang w:val="en-PH" w:eastAsia="en-PH"/>
              </w:rPr>
            </w:pPr>
            <w:r w:rsidRPr="002B3F36">
              <w:rPr>
                <w:rFonts w:ascii="Arial" w:hAnsi="Arial" w:cs="Arial"/>
                <w:sz w:val="20"/>
                <w:szCs w:val="20"/>
                <w:lang w:val="en-PH" w:eastAsia="en-PH"/>
              </w:rPr>
              <w:t>PS2</w:t>
            </w:r>
          </w:p>
        </w:tc>
        <w:tc>
          <w:tcPr>
            <w:tcW w:w="3132" w:type="dxa"/>
            <w:hideMark/>
          </w:tcPr>
          <w:p w14:paraId="7861A35B"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Occupational Health and Safety Hazard</w:t>
            </w:r>
          </w:p>
        </w:tc>
        <w:tc>
          <w:tcPr>
            <w:tcW w:w="1344" w:type="dxa"/>
            <w:hideMark/>
          </w:tcPr>
          <w:p w14:paraId="54C4E4AD"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20859C30"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40C5A106"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78BF36DF"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F61F8E" w:rsidRPr="002B3F36" w14:paraId="3DC7C126" w14:textId="77777777" w:rsidTr="007F2D60">
        <w:trPr>
          <w:trHeight w:val="276"/>
        </w:trPr>
        <w:tc>
          <w:tcPr>
            <w:tcW w:w="819" w:type="dxa"/>
            <w:vMerge/>
            <w:vAlign w:val="center"/>
            <w:hideMark/>
          </w:tcPr>
          <w:p w14:paraId="21353BC4" w14:textId="77777777" w:rsidR="00F61F8E" w:rsidRPr="002B3F36" w:rsidRDefault="00F61F8E">
            <w:pPr>
              <w:rPr>
                <w:rFonts w:ascii="Arial" w:hAnsi="Arial" w:cs="Arial"/>
                <w:sz w:val="20"/>
                <w:szCs w:val="20"/>
                <w:lang w:val="en-PH" w:eastAsia="en-PH"/>
              </w:rPr>
            </w:pPr>
          </w:p>
        </w:tc>
        <w:tc>
          <w:tcPr>
            <w:tcW w:w="3132" w:type="dxa"/>
            <w:hideMark/>
          </w:tcPr>
          <w:p w14:paraId="1242A413"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Gender Based Violence (GBV)</w:t>
            </w:r>
          </w:p>
        </w:tc>
        <w:tc>
          <w:tcPr>
            <w:tcW w:w="1344" w:type="dxa"/>
            <w:hideMark/>
          </w:tcPr>
          <w:p w14:paraId="219D2686"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24DBB04F"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1B078112"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09EF5620" w14:textId="77777777" w:rsidR="00F61F8E" w:rsidRPr="002B3F36" w:rsidRDefault="000F264B">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1AFC3064" w14:textId="77777777" w:rsidTr="007F2D60">
        <w:trPr>
          <w:trHeight w:val="276"/>
        </w:trPr>
        <w:tc>
          <w:tcPr>
            <w:tcW w:w="819" w:type="dxa"/>
            <w:vMerge/>
            <w:vAlign w:val="center"/>
            <w:hideMark/>
          </w:tcPr>
          <w:p w14:paraId="33499922" w14:textId="77777777" w:rsidR="003B1B0F" w:rsidRPr="002B3F36" w:rsidRDefault="003B1B0F" w:rsidP="003B1B0F">
            <w:pPr>
              <w:rPr>
                <w:rFonts w:ascii="Arial" w:hAnsi="Arial" w:cs="Arial"/>
                <w:sz w:val="20"/>
                <w:szCs w:val="20"/>
                <w:lang w:val="en-PH" w:eastAsia="en-PH"/>
              </w:rPr>
            </w:pPr>
          </w:p>
        </w:tc>
        <w:tc>
          <w:tcPr>
            <w:tcW w:w="3132" w:type="dxa"/>
            <w:hideMark/>
          </w:tcPr>
          <w:p w14:paraId="29848E63" w14:textId="36BC3D11"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Social Conflict</w:t>
            </w:r>
            <w:r w:rsidR="00F23D20" w:rsidRPr="002B3F36">
              <w:rPr>
                <w:rFonts w:ascii="Arial" w:hAnsi="Arial" w:cs="Arial"/>
                <w:sz w:val="20"/>
                <w:szCs w:val="20"/>
                <w:lang w:val="en-PH" w:eastAsia="en-PH"/>
              </w:rPr>
              <w:t xml:space="preserve"> (Labour Influx)</w:t>
            </w:r>
          </w:p>
        </w:tc>
        <w:tc>
          <w:tcPr>
            <w:tcW w:w="1344" w:type="dxa"/>
            <w:hideMark/>
          </w:tcPr>
          <w:p w14:paraId="5D57280E"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73A894D9" w14:textId="7A62CC16"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25633B06" w14:textId="4775CBB5"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6ADC281F" w14:textId="6F2E2E8F"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12B4797B" w14:textId="77777777" w:rsidTr="007F2D60">
        <w:trPr>
          <w:trHeight w:val="276"/>
        </w:trPr>
        <w:tc>
          <w:tcPr>
            <w:tcW w:w="819" w:type="dxa"/>
            <w:vMerge/>
            <w:vAlign w:val="center"/>
            <w:hideMark/>
          </w:tcPr>
          <w:p w14:paraId="57D91B02" w14:textId="77777777" w:rsidR="003B1B0F" w:rsidRPr="002B3F36" w:rsidRDefault="003B1B0F" w:rsidP="003B1B0F">
            <w:pPr>
              <w:rPr>
                <w:rFonts w:ascii="Arial" w:hAnsi="Arial" w:cs="Arial"/>
                <w:sz w:val="20"/>
                <w:szCs w:val="20"/>
                <w:lang w:val="en-PH" w:eastAsia="en-PH"/>
              </w:rPr>
            </w:pPr>
          </w:p>
        </w:tc>
        <w:tc>
          <w:tcPr>
            <w:tcW w:w="3132" w:type="dxa"/>
            <w:hideMark/>
          </w:tcPr>
          <w:p w14:paraId="3EEDFBC9"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Employment Generation and Livelihood</w:t>
            </w:r>
          </w:p>
        </w:tc>
        <w:tc>
          <w:tcPr>
            <w:tcW w:w="1344" w:type="dxa"/>
            <w:hideMark/>
          </w:tcPr>
          <w:p w14:paraId="4AE1229D"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Positive</w:t>
            </w:r>
          </w:p>
        </w:tc>
        <w:tc>
          <w:tcPr>
            <w:tcW w:w="1936" w:type="dxa"/>
            <w:hideMark/>
          </w:tcPr>
          <w:p w14:paraId="39F9BDA6"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3CED504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772CF4B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3B1B0F" w:rsidRPr="002B3F36" w14:paraId="6AF42E17" w14:textId="77777777" w:rsidTr="007F2D60">
        <w:trPr>
          <w:trHeight w:val="276"/>
        </w:trPr>
        <w:tc>
          <w:tcPr>
            <w:tcW w:w="819" w:type="dxa"/>
            <w:vMerge w:val="restart"/>
            <w:hideMark/>
          </w:tcPr>
          <w:p w14:paraId="30A5204D" w14:textId="7548A7EE"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PS3</w:t>
            </w:r>
          </w:p>
        </w:tc>
        <w:tc>
          <w:tcPr>
            <w:tcW w:w="3132" w:type="dxa"/>
            <w:hideMark/>
          </w:tcPr>
          <w:p w14:paraId="49D501CA"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 xml:space="preserve">Land Resources (Soil Quality) </w:t>
            </w:r>
          </w:p>
        </w:tc>
        <w:tc>
          <w:tcPr>
            <w:tcW w:w="1344" w:type="dxa"/>
            <w:hideMark/>
          </w:tcPr>
          <w:p w14:paraId="0BB277BB"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58A7F02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Unlikely</w:t>
            </w:r>
          </w:p>
        </w:tc>
        <w:tc>
          <w:tcPr>
            <w:tcW w:w="1063" w:type="dxa"/>
            <w:hideMark/>
          </w:tcPr>
          <w:p w14:paraId="3DB45930"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4ACE648C"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30D489C6" w14:textId="77777777" w:rsidTr="007F2D60">
        <w:trPr>
          <w:trHeight w:val="276"/>
        </w:trPr>
        <w:tc>
          <w:tcPr>
            <w:tcW w:w="819" w:type="dxa"/>
            <w:vMerge/>
            <w:vAlign w:val="center"/>
            <w:hideMark/>
          </w:tcPr>
          <w:p w14:paraId="34992364" w14:textId="77777777" w:rsidR="003B1B0F" w:rsidRPr="002B3F36" w:rsidRDefault="003B1B0F" w:rsidP="003B1B0F">
            <w:pPr>
              <w:rPr>
                <w:rFonts w:ascii="Arial" w:hAnsi="Arial" w:cs="Arial"/>
                <w:sz w:val="20"/>
                <w:szCs w:val="20"/>
                <w:lang w:val="en-PH" w:eastAsia="en-PH"/>
              </w:rPr>
            </w:pPr>
          </w:p>
        </w:tc>
        <w:tc>
          <w:tcPr>
            <w:tcW w:w="3132" w:type="dxa"/>
            <w:hideMark/>
          </w:tcPr>
          <w:p w14:paraId="71EF70B1"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Sediment Quality</w:t>
            </w:r>
          </w:p>
        </w:tc>
        <w:tc>
          <w:tcPr>
            <w:tcW w:w="1344" w:type="dxa"/>
            <w:hideMark/>
          </w:tcPr>
          <w:p w14:paraId="09C32D71"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1FB2F456" w14:textId="45E197EE"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2F544822"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4F5FFF5E"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67B7197D" w14:textId="77777777" w:rsidTr="007F2D60">
        <w:trPr>
          <w:trHeight w:val="552"/>
        </w:trPr>
        <w:tc>
          <w:tcPr>
            <w:tcW w:w="819" w:type="dxa"/>
            <w:vMerge/>
            <w:vAlign w:val="center"/>
            <w:hideMark/>
          </w:tcPr>
          <w:p w14:paraId="64B6357D" w14:textId="77777777" w:rsidR="003B1B0F" w:rsidRPr="002B3F36" w:rsidRDefault="003B1B0F" w:rsidP="003B1B0F">
            <w:pPr>
              <w:rPr>
                <w:rFonts w:ascii="Arial" w:hAnsi="Arial" w:cs="Arial"/>
                <w:sz w:val="20"/>
                <w:szCs w:val="20"/>
                <w:lang w:val="en-PH" w:eastAsia="en-PH"/>
              </w:rPr>
            </w:pPr>
          </w:p>
        </w:tc>
        <w:tc>
          <w:tcPr>
            <w:tcW w:w="3132" w:type="dxa"/>
            <w:hideMark/>
          </w:tcPr>
          <w:p w14:paraId="3D2EDDF8"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Water Resources (Surface and Ground Water) and Quality</w:t>
            </w:r>
          </w:p>
        </w:tc>
        <w:tc>
          <w:tcPr>
            <w:tcW w:w="1344" w:type="dxa"/>
            <w:hideMark/>
          </w:tcPr>
          <w:p w14:paraId="4A06399A"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6BDC9FDC"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09EDAFBD"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7E7BA007"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01F45FE3" w14:textId="77777777" w:rsidTr="007F2D60">
        <w:trPr>
          <w:trHeight w:val="276"/>
        </w:trPr>
        <w:tc>
          <w:tcPr>
            <w:tcW w:w="819" w:type="dxa"/>
            <w:vMerge/>
            <w:vAlign w:val="center"/>
            <w:hideMark/>
          </w:tcPr>
          <w:p w14:paraId="7659AE71" w14:textId="77777777" w:rsidR="003B1B0F" w:rsidRPr="002B3F36" w:rsidRDefault="003B1B0F" w:rsidP="003B1B0F">
            <w:pPr>
              <w:rPr>
                <w:rFonts w:ascii="Arial" w:hAnsi="Arial" w:cs="Arial"/>
                <w:sz w:val="20"/>
                <w:szCs w:val="20"/>
                <w:lang w:val="en-PH" w:eastAsia="en-PH"/>
              </w:rPr>
            </w:pPr>
          </w:p>
        </w:tc>
        <w:tc>
          <w:tcPr>
            <w:tcW w:w="3132" w:type="dxa"/>
            <w:hideMark/>
          </w:tcPr>
          <w:p w14:paraId="698623AD"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Impact on Air Quality</w:t>
            </w:r>
          </w:p>
        </w:tc>
        <w:tc>
          <w:tcPr>
            <w:tcW w:w="1344" w:type="dxa"/>
            <w:hideMark/>
          </w:tcPr>
          <w:p w14:paraId="5A13A326"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3E66D9F2"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0AC3FD65"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1BDCD56C"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16C726B5" w14:textId="77777777" w:rsidTr="007F2D60">
        <w:trPr>
          <w:trHeight w:val="276"/>
        </w:trPr>
        <w:tc>
          <w:tcPr>
            <w:tcW w:w="819" w:type="dxa"/>
            <w:vMerge/>
            <w:vAlign w:val="center"/>
            <w:hideMark/>
          </w:tcPr>
          <w:p w14:paraId="170F3E2A" w14:textId="77777777" w:rsidR="003B1B0F" w:rsidRPr="002B3F36" w:rsidRDefault="003B1B0F" w:rsidP="003B1B0F">
            <w:pPr>
              <w:rPr>
                <w:rFonts w:ascii="Arial" w:hAnsi="Arial" w:cs="Arial"/>
                <w:sz w:val="20"/>
                <w:szCs w:val="20"/>
                <w:lang w:val="en-PH" w:eastAsia="en-PH"/>
              </w:rPr>
            </w:pPr>
          </w:p>
        </w:tc>
        <w:tc>
          <w:tcPr>
            <w:tcW w:w="3132" w:type="dxa"/>
            <w:hideMark/>
          </w:tcPr>
          <w:p w14:paraId="3ED09BAA"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Impact on Noise Quality</w:t>
            </w:r>
          </w:p>
        </w:tc>
        <w:tc>
          <w:tcPr>
            <w:tcW w:w="1344" w:type="dxa"/>
            <w:hideMark/>
          </w:tcPr>
          <w:p w14:paraId="63F0A165"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216C9B5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5E8F8DC0"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443DED58"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3B1B0F" w:rsidRPr="002B3F36" w14:paraId="0053E0C3" w14:textId="77777777" w:rsidTr="007F2D60">
        <w:trPr>
          <w:trHeight w:val="228"/>
        </w:trPr>
        <w:tc>
          <w:tcPr>
            <w:tcW w:w="819" w:type="dxa"/>
            <w:vMerge/>
            <w:vAlign w:val="center"/>
            <w:hideMark/>
          </w:tcPr>
          <w:p w14:paraId="7124AA25" w14:textId="77777777" w:rsidR="003B1B0F" w:rsidRPr="002B3F36" w:rsidRDefault="003B1B0F" w:rsidP="003B1B0F">
            <w:pPr>
              <w:rPr>
                <w:rFonts w:ascii="Arial" w:hAnsi="Arial" w:cs="Arial"/>
                <w:sz w:val="20"/>
                <w:szCs w:val="20"/>
                <w:lang w:val="en-PH" w:eastAsia="en-PH"/>
              </w:rPr>
            </w:pPr>
          </w:p>
        </w:tc>
        <w:tc>
          <w:tcPr>
            <w:tcW w:w="3132" w:type="dxa"/>
            <w:vAlign w:val="bottom"/>
            <w:hideMark/>
          </w:tcPr>
          <w:p w14:paraId="26A036B8"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Waste Generation</w:t>
            </w:r>
          </w:p>
        </w:tc>
        <w:tc>
          <w:tcPr>
            <w:tcW w:w="1344" w:type="dxa"/>
            <w:hideMark/>
          </w:tcPr>
          <w:p w14:paraId="6B5FEC42"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59F7A1C0"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0C0533AC"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3E9BF6B2"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3B1B0F" w:rsidRPr="002B3F36" w14:paraId="04001C17" w14:textId="77777777" w:rsidTr="007F2D60">
        <w:trPr>
          <w:trHeight w:val="264"/>
        </w:trPr>
        <w:tc>
          <w:tcPr>
            <w:tcW w:w="819" w:type="dxa"/>
            <w:hideMark/>
          </w:tcPr>
          <w:p w14:paraId="2CE24101" w14:textId="041BF27A"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PS4</w:t>
            </w:r>
          </w:p>
        </w:tc>
        <w:tc>
          <w:tcPr>
            <w:tcW w:w="3132" w:type="dxa"/>
            <w:hideMark/>
          </w:tcPr>
          <w:p w14:paraId="7EE484A0"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Community Health and Safety</w:t>
            </w:r>
          </w:p>
        </w:tc>
        <w:tc>
          <w:tcPr>
            <w:tcW w:w="1344" w:type="dxa"/>
            <w:hideMark/>
          </w:tcPr>
          <w:p w14:paraId="1FC0DE5F"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451F99E2"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685F55DB"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2C6D9BD6"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3B1B0F" w:rsidRPr="002B3F36" w14:paraId="14E95B22" w14:textId="77777777" w:rsidTr="007F2D60">
        <w:trPr>
          <w:trHeight w:val="276"/>
        </w:trPr>
        <w:tc>
          <w:tcPr>
            <w:tcW w:w="819" w:type="dxa"/>
            <w:vMerge w:val="restart"/>
            <w:hideMark/>
          </w:tcPr>
          <w:p w14:paraId="13424C70" w14:textId="774CA029"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PS5</w:t>
            </w:r>
          </w:p>
        </w:tc>
        <w:tc>
          <w:tcPr>
            <w:tcW w:w="3132" w:type="dxa"/>
            <w:hideMark/>
          </w:tcPr>
          <w:p w14:paraId="717B335C"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 xml:space="preserve">Land Acquisition, Resettlements </w:t>
            </w:r>
          </w:p>
        </w:tc>
        <w:tc>
          <w:tcPr>
            <w:tcW w:w="1344" w:type="dxa"/>
            <w:hideMark/>
          </w:tcPr>
          <w:p w14:paraId="1E6E45FD"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077FAE3D" w14:textId="466D6986"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484C1DE5" w14:textId="58F1576F"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2B23BBD3" w14:textId="44B22C59"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23EB186F" w14:textId="77777777" w:rsidTr="007F2D60">
        <w:trPr>
          <w:trHeight w:val="276"/>
        </w:trPr>
        <w:tc>
          <w:tcPr>
            <w:tcW w:w="819" w:type="dxa"/>
            <w:vMerge/>
            <w:vAlign w:val="center"/>
            <w:hideMark/>
          </w:tcPr>
          <w:p w14:paraId="5759D3C8" w14:textId="77777777" w:rsidR="003B1B0F" w:rsidRPr="002B3F36" w:rsidRDefault="003B1B0F" w:rsidP="003B1B0F">
            <w:pPr>
              <w:rPr>
                <w:rFonts w:ascii="Arial" w:hAnsi="Arial" w:cs="Arial"/>
                <w:sz w:val="20"/>
                <w:szCs w:val="20"/>
                <w:lang w:val="en-PH" w:eastAsia="en-PH"/>
              </w:rPr>
            </w:pPr>
          </w:p>
        </w:tc>
        <w:tc>
          <w:tcPr>
            <w:tcW w:w="3132" w:type="dxa"/>
            <w:hideMark/>
          </w:tcPr>
          <w:p w14:paraId="2C1E94D8"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Constrained Access</w:t>
            </w:r>
          </w:p>
        </w:tc>
        <w:tc>
          <w:tcPr>
            <w:tcW w:w="1344" w:type="dxa"/>
            <w:hideMark/>
          </w:tcPr>
          <w:p w14:paraId="2C40FF9B"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549AAEAE" w14:textId="3E2B3D21"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 xml:space="preserve">Likely </w:t>
            </w:r>
          </w:p>
        </w:tc>
        <w:tc>
          <w:tcPr>
            <w:tcW w:w="1063" w:type="dxa"/>
            <w:hideMark/>
          </w:tcPr>
          <w:p w14:paraId="4D2C2D17" w14:textId="0D14D66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32CAAA11" w14:textId="71B6C666"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06D731BB" w14:textId="77777777" w:rsidTr="007F2D60">
        <w:trPr>
          <w:trHeight w:val="276"/>
        </w:trPr>
        <w:tc>
          <w:tcPr>
            <w:tcW w:w="819" w:type="dxa"/>
            <w:vMerge w:val="restart"/>
            <w:hideMark/>
          </w:tcPr>
          <w:p w14:paraId="0D150E07" w14:textId="629686D0"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PS6</w:t>
            </w:r>
          </w:p>
        </w:tc>
        <w:tc>
          <w:tcPr>
            <w:tcW w:w="3132" w:type="dxa"/>
            <w:hideMark/>
          </w:tcPr>
          <w:p w14:paraId="7BC7E2C1"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Flora</w:t>
            </w:r>
          </w:p>
        </w:tc>
        <w:tc>
          <w:tcPr>
            <w:tcW w:w="1344" w:type="dxa"/>
            <w:hideMark/>
          </w:tcPr>
          <w:p w14:paraId="3E52F981"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103A9937" w14:textId="068892AB"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3314942B"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3785108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r w:rsidR="003B1B0F" w:rsidRPr="002B3F36" w14:paraId="1CDF9EF5" w14:textId="77777777" w:rsidTr="007F2D60">
        <w:trPr>
          <w:trHeight w:val="276"/>
        </w:trPr>
        <w:tc>
          <w:tcPr>
            <w:tcW w:w="819" w:type="dxa"/>
            <w:vMerge/>
            <w:vAlign w:val="center"/>
            <w:hideMark/>
          </w:tcPr>
          <w:p w14:paraId="089B98FF" w14:textId="77777777" w:rsidR="003B1B0F" w:rsidRPr="002B3F36" w:rsidRDefault="003B1B0F" w:rsidP="003B1B0F">
            <w:pPr>
              <w:rPr>
                <w:rFonts w:ascii="Arial" w:hAnsi="Arial" w:cs="Arial"/>
                <w:sz w:val="20"/>
                <w:szCs w:val="20"/>
                <w:lang w:val="en-PH" w:eastAsia="en-PH"/>
              </w:rPr>
            </w:pPr>
          </w:p>
        </w:tc>
        <w:tc>
          <w:tcPr>
            <w:tcW w:w="3132" w:type="dxa"/>
            <w:hideMark/>
          </w:tcPr>
          <w:p w14:paraId="54491BBE"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Fauna</w:t>
            </w:r>
          </w:p>
        </w:tc>
        <w:tc>
          <w:tcPr>
            <w:tcW w:w="1344" w:type="dxa"/>
            <w:hideMark/>
          </w:tcPr>
          <w:p w14:paraId="13BA2F34"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68B195EF"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7FD1ECEE"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337B510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3B1B0F" w:rsidRPr="002B3F36" w14:paraId="37E61D81" w14:textId="77777777" w:rsidTr="007F2D60">
        <w:trPr>
          <w:trHeight w:val="276"/>
        </w:trPr>
        <w:tc>
          <w:tcPr>
            <w:tcW w:w="819" w:type="dxa"/>
            <w:vMerge/>
            <w:vAlign w:val="center"/>
            <w:hideMark/>
          </w:tcPr>
          <w:p w14:paraId="49E1DFB1" w14:textId="77777777" w:rsidR="003B1B0F" w:rsidRPr="002B3F36" w:rsidRDefault="003B1B0F" w:rsidP="003B1B0F">
            <w:pPr>
              <w:rPr>
                <w:rFonts w:ascii="Arial" w:hAnsi="Arial" w:cs="Arial"/>
                <w:sz w:val="20"/>
                <w:szCs w:val="20"/>
                <w:lang w:val="en-PH" w:eastAsia="en-PH"/>
              </w:rPr>
            </w:pPr>
          </w:p>
        </w:tc>
        <w:tc>
          <w:tcPr>
            <w:tcW w:w="3132" w:type="dxa"/>
            <w:hideMark/>
          </w:tcPr>
          <w:p w14:paraId="794F5619"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Protected Areas &amp; Biodiversity</w:t>
            </w:r>
          </w:p>
        </w:tc>
        <w:tc>
          <w:tcPr>
            <w:tcW w:w="1344" w:type="dxa"/>
            <w:hideMark/>
          </w:tcPr>
          <w:p w14:paraId="73A70440"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695AFF29"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62FBC818"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c>
          <w:tcPr>
            <w:tcW w:w="1061" w:type="dxa"/>
            <w:hideMark/>
          </w:tcPr>
          <w:p w14:paraId="703838C0"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Moderate</w:t>
            </w:r>
          </w:p>
        </w:tc>
      </w:tr>
      <w:tr w:rsidR="003B1B0F" w:rsidRPr="002B3F36" w14:paraId="39C5A10A" w14:textId="77777777" w:rsidTr="007F2D60">
        <w:trPr>
          <w:trHeight w:val="276"/>
        </w:trPr>
        <w:tc>
          <w:tcPr>
            <w:tcW w:w="819" w:type="dxa"/>
            <w:hideMark/>
          </w:tcPr>
          <w:p w14:paraId="1206AC2B" w14:textId="0B16ECFE"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PS8</w:t>
            </w:r>
          </w:p>
        </w:tc>
        <w:tc>
          <w:tcPr>
            <w:tcW w:w="3132" w:type="dxa"/>
            <w:hideMark/>
          </w:tcPr>
          <w:p w14:paraId="250799FB" w14:textId="77777777" w:rsidR="003B1B0F" w:rsidRPr="002B3F36" w:rsidRDefault="003B1B0F" w:rsidP="003B1B0F">
            <w:pPr>
              <w:rPr>
                <w:rFonts w:ascii="Arial" w:hAnsi="Arial" w:cs="Arial"/>
                <w:sz w:val="20"/>
                <w:szCs w:val="20"/>
                <w:lang w:val="en-PH" w:eastAsia="en-PH"/>
              </w:rPr>
            </w:pPr>
            <w:r w:rsidRPr="002B3F36">
              <w:rPr>
                <w:rFonts w:ascii="Arial" w:hAnsi="Arial" w:cs="Arial"/>
                <w:sz w:val="20"/>
                <w:szCs w:val="20"/>
                <w:lang w:val="en-PH" w:eastAsia="en-PH"/>
              </w:rPr>
              <w:t>Physical Cultural Resources</w:t>
            </w:r>
          </w:p>
        </w:tc>
        <w:tc>
          <w:tcPr>
            <w:tcW w:w="1344" w:type="dxa"/>
            <w:hideMark/>
          </w:tcPr>
          <w:p w14:paraId="2FAAFA0B"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Negative</w:t>
            </w:r>
          </w:p>
        </w:tc>
        <w:tc>
          <w:tcPr>
            <w:tcW w:w="1936" w:type="dxa"/>
            <w:hideMark/>
          </w:tcPr>
          <w:p w14:paraId="4D4732E4" w14:textId="1FF9D2BE"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Likely</w:t>
            </w:r>
          </w:p>
        </w:tc>
        <w:tc>
          <w:tcPr>
            <w:tcW w:w="1063" w:type="dxa"/>
            <w:hideMark/>
          </w:tcPr>
          <w:p w14:paraId="3F7825D3"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Minor</w:t>
            </w:r>
          </w:p>
        </w:tc>
        <w:tc>
          <w:tcPr>
            <w:tcW w:w="1061" w:type="dxa"/>
            <w:hideMark/>
          </w:tcPr>
          <w:p w14:paraId="7F4FF70D" w14:textId="77777777" w:rsidR="003B1B0F" w:rsidRPr="002B3F36" w:rsidRDefault="003B1B0F" w:rsidP="003B1B0F">
            <w:pPr>
              <w:jc w:val="center"/>
              <w:rPr>
                <w:rFonts w:ascii="Arial" w:hAnsi="Arial" w:cs="Arial"/>
                <w:sz w:val="20"/>
                <w:szCs w:val="20"/>
                <w:lang w:val="en-PH" w:eastAsia="en-PH"/>
              </w:rPr>
            </w:pPr>
            <w:r w:rsidRPr="002B3F36">
              <w:rPr>
                <w:rFonts w:ascii="Arial" w:hAnsi="Arial" w:cs="Arial"/>
                <w:sz w:val="20"/>
                <w:szCs w:val="20"/>
                <w:lang w:val="en-PH" w:eastAsia="en-PH"/>
              </w:rPr>
              <w:t>Low</w:t>
            </w:r>
          </w:p>
        </w:tc>
      </w:tr>
    </w:tbl>
    <w:p w14:paraId="6DBFC516" w14:textId="77777777" w:rsidR="00F61F8E" w:rsidRPr="002B3F36" w:rsidRDefault="00F61F8E">
      <w:pPr>
        <w:pStyle w:val="ADBNum"/>
        <w:numPr>
          <w:ilvl w:val="0"/>
          <w:numId w:val="0"/>
        </w:numPr>
        <w:rPr>
          <w:sz w:val="24"/>
          <w:szCs w:val="24"/>
        </w:rPr>
      </w:pPr>
    </w:p>
    <w:p w14:paraId="607C030E" w14:textId="168ED347" w:rsidR="00850BD8" w:rsidRPr="002B3F36" w:rsidRDefault="000F264B" w:rsidP="00850BD8">
      <w:pPr>
        <w:pStyle w:val="DiaList12"/>
        <w:rPr>
          <w:rFonts w:eastAsia="SimSun"/>
        </w:rPr>
      </w:pPr>
      <w:r w:rsidRPr="002B3F36">
        <w:rPr>
          <w:rFonts w:eastAsia="SimSun"/>
        </w:rPr>
        <w:t>Operations Impacts/Risks and Measures:</w:t>
      </w:r>
    </w:p>
    <w:p w14:paraId="41D50761" w14:textId="3F6613D6" w:rsidR="00850BD8" w:rsidRPr="002B3F36" w:rsidRDefault="00850BD8" w:rsidP="00850BD8">
      <w:pPr>
        <w:pStyle w:val="ReportBodyPar"/>
      </w:pPr>
      <w:r w:rsidRPr="002B3F36">
        <w:t xml:space="preserve">During the operational phase, the </w:t>
      </w:r>
      <w:r w:rsidR="003650DB" w:rsidRPr="002B3F36">
        <w:t xml:space="preserve">Mointy – Kyzylzhar </w:t>
      </w:r>
      <w:r w:rsidRPr="002B3F36">
        <w:t xml:space="preserve">Railway may introduce a range of environmental and social risks in line with the provisions of </w:t>
      </w:r>
      <w:r w:rsidR="00F95BD8" w:rsidRPr="002B3F36">
        <w:t>WB</w:t>
      </w:r>
      <w:r w:rsidRPr="002B3F36">
        <w:t xml:space="preserve"> Performance Standards (PS1–PS6). Potential risks include occupational health and safety hazards (PS2) from equipment use, soil erosion and water contamination (PS3) due to runoff and potential fuel spills, noise and waste generation (PS3, PS6) affecting wildlife and local communities, and community health and safety risks (PS4) from increased traffic volumes. Impacts on biodiversity and protected areas (PS6), particularly Saiga migration routes and sensitive habitats, require targeted mitigation measures such as wildlife crossings, noise control protocols, spill response mechanisms, erosion prevention, traffic safety management, and strict enforcement of environmental regulations to ensure compliance with </w:t>
      </w:r>
      <w:r w:rsidR="00163238" w:rsidRPr="002B3F36">
        <w:t>WB PS</w:t>
      </w:r>
      <w:r w:rsidRPr="002B3F36">
        <w:t>s and national legislation throughout railway operations. The operational risks are summarized below.</w:t>
      </w:r>
    </w:p>
    <w:p w14:paraId="14425066" w14:textId="77777777" w:rsidR="00F61F8E" w:rsidRPr="002B3F36" w:rsidRDefault="00F61F8E">
      <w:pPr>
        <w:pStyle w:val="ReportBodyTextNogap"/>
        <w:rPr>
          <w:rFonts w:eastAsia="SimSun"/>
        </w:rPr>
      </w:pPr>
    </w:p>
    <w:p w14:paraId="4F1304BD" w14:textId="31835274" w:rsidR="00F61F8E" w:rsidRPr="002B3F36" w:rsidRDefault="00DE0226" w:rsidP="00047090">
      <w:pPr>
        <w:pStyle w:val="CaptionTable"/>
      </w:pPr>
      <w:bookmarkStart w:id="2558" w:name="_Toc169094909"/>
      <w:bookmarkStart w:id="2559" w:name="_Toc210589584"/>
      <w:r w:rsidRPr="002B3F36">
        <w:t xml:space="preserve">Table </w:t>
      </w:r>
      <w:r w:rsidR="00F3729F" w:rsidRPr="002B3F36">
        <w:rPr>
          <w:noProof/>
        </w:rPr>
        <w:fldChar w:fldCharType="begin"/>
      </w:r>
      <w:r w:rsidR="00F3729F" w:rsidRPr="002B3F36">
        <w:rPr>
          <w:noProof/>
        </w:rPr>
        <w:instrText xml:space="preserve"> SEQ Table \* ARABIC </w:instrText>
      </w:r>
      <w:r w:rsidR="00F3729F" w:rsidRPr="002B3F36">
        <w:rPr>
          <w:noProof/>
        </w:rPr>
        <w:fldChar w:fldCharType="separate"/>
      </w:r>
      <w:r w:rsidR="00A023DA">
        <w:rPr>
          <w:noProof/>
        </w:rPr>
        <w:t>40</w:t>
      </w:r>
      <w:r w:rsidR="00F3729F" w:rsidRPr="002B3F36">
        <w:rPr>
          <w:noProof/>
        </w:rPr>
        <w:fldChar w:fldCharType="end"/>
      </w:r>
      <w:r w:rsidRPr="002B3F36">
        <w:t>: Operations Impacts/Risks and Measures</w:t>
      </w:r>
      <w:bookmarkEnd w:id="2558"/>
      <w:bookmarkEnd w:id="2559"/>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24"/>
        <w:gridCol w:w="3017"/>
        <w:gridCol w:w="3425"/>
      </w:tblGrid>
      <w:tr w:rsidR="00F61F8E" w:rsidRPr="002B3F36" w14:paraId="321740A4" w14:textId="77777777" w:rsidTr="00F82096">
        <w:trPr>
          <w:trHeight w:val="40"/>
          <w:tblHeader/>
        </w:trPr>
        <w:tc>
          <w:tcPr>
            <w:tcW w:w="1174" w:type="dxa"/>
            <w:shd w:val="clear" w:color="auto" w:fill="F2F2F2" w:themeFill="background1" w:themeFillShade="F2"/>
            <w:vAlign w:val="center"/>
            <w:hideMark/>
          </w:tcPr>
          <w:p w14:paraId="27A99C88" w14:textId="75072986" w:rsidR="00F61F8E" w:rsidRPr="002B3F36" w:rsidRDefault="00BF2A26">
            <w:pPr>
              <w:jc w:val="center"/>
              <w:rPr>
                <w:rFonts w:ascii="Arial" w:hAnsi="Arial" w:cs="Arial"/>
                <w:b/>
                <w:bCs/>
                <w:sz w:val="20"/>
                <w:szCs w:val="20"/>
                <w:lang w:val="en-PH" w:eastAsia="en-PH"/>
              </w:rPr>
            </w:pPr>
            <w:r w:rsidRPr="002B3F36">
              <w:rPr>
                <w:rFonts w:ascii="Arial" w:hAnsi="Arial" w:cs="Arial"/>
                <w:b/>
                <w:bCs/>
                <w:sz w:val="20"/>
                <w:szCs w:val="20"/>
                <w:lang w:val="en-PH" w:eastAsia="en-PH"/>
              </w:rPr>
              <w:t>PS</w:t>
            </w:r>
          </w:p>
        </w:tc>
        <w:tc>
          <w:tcPr>
            <w:tcW w:w="2024" w:type="dxa"/>
            <w:shd w:val="clear" w:color="auto" w:fill="F2F2F2" w:themeFill="background1" w:themeFillShade="F2"/>
            <w:vAlign w:val="center"/>
            <w:hideMark/>
          </w:tcPr>
          <w:p w14:paraId="30E6C707" w14:textId="77777777" w:rsidR="00F61F8E" w:rsidRPr="002B3F36" w:rsidRDefault="000F264B">
            <w:pPr>
              <w:jc w:val="center"/>
              <w:rPr>
                <w:rFonts w:ascii="Arial" w:hAnsi="Arial" w:cs="Arial"/>
                <w:b/>
                <w:bCs/>
                <w:sz w:val="20"/>
                <w:szCs w:val="20"/>
                <w:lang w:val="en-PH" w:eastAsia="en-PH"/>
              </w:rPr>
            </w:pPr>
            <w:r w:rsidRPr="002B3F36">
              <w:rPr>
                <w:rFonts w:ascii="Arial" w:hAnsi="Arial" w:cs="Arial"/>
                <w:b/>
                <w:bCs/>
                <w:sz w:val="20"/>
                <w:szCs w:val="20"/>
                <w:lang w:val="en-PH" w:eastAsia="en-PH"/>
              </w:rPr>
              <w:t>Issues/ Impacts</w:t>
            </w:r>
          </w:p>
        </w:tc>
        <w:tc>
          <w:tcPr>
            <w:tcW w:w="3017" w:type="dxa"/>
            <w:shd w:val="clear" w:color="auto" w:fill="F2F2F2" w:themeFill="background1" w:themeFillShade="F2"/>
            <w:vAlign w:val="center"/>
            <w:hideMark/>
          </w:tcPr>
          <w:p w14:paraId="206E252C" w14:textId="77777777" w:rsidR="00F61F8E" w:rsidRPr="002B3F36" w:rsidRDefault="000F264B">
            <w:pPr>
              <w:jc w:val="center"/>
              <w:rPr>
                <w:rFonts w:ascii="Arial" w:hAnsi="Arial" w:cs="Arial"/>
                <w:b/>
                <w:bCs/>
                <w:sz w:val="20"/>
                <w:szCs w:val="20"/>
                <w:lang w:val="en-PH" w:eastAsia="en-PH"/>
              </w:rPr>
            </w:pPr>
            <w:r w:rsidRPr="002B3F36">
              <w:rPr>
                <w:rFonts w:ascii="Arial" w:hAnsi="Arial" w:cs="Arial"/>
                <w:b/>
                <w:bCs/>
                <w:sz w:val="20"/>
                <w:szCs w:val="20"/>
                <w:lang w:val="en-PH" w:eastAsia="en-PH"/>
              </w:rPr>
              <w:t>Impacts and Risks</w:t>
            </w:r>
          </w:p>
        </w:tc>
        <w:tc>
          <w:tcPr>
            <w:tcW w:w="3425" w:type="dxa"/>
            <w:shd w:val="clear" w:color="auto" w:fill="F2F2F2" w:themeFill="background1" w:themeFillShade="F2"/>
            <w:vAlign w:val="center"/>
            <w:hideMark/>
          </w:tcPr>
          <w:p w14:paraId="3C94C35B" w14:textId="77777777" w:rsidR="00F61F8E" w:rsidRPr="002B3F36" w:rsidRDefault="000F264B">
            <w:pPr>
              <w:jc w:val="center"/>
              <w:rPr>
                <w:rFonts w:ascii="Arial" w:hAnsi="Arial" w:cs="Arial"/>
                <w:b/>
                <w:bCs/>
                <w:sz w:val="20"/>
                <w:szCs w:val="20"/>
                <w:lang w:val="en-PH" w:eastAsia="en-PH"/>
              </w:rPr>
            </w:pPr>
            <w:r w:rsidRPr="002B3F36">
              <w:rPr>
                <w:rFonts w:ascii="Arial" w:hAnsi="Arial" w:cs="Arial"/>
                <w:b/>
                <w:bCs/>
                <w:sz w:val="20"/>
                <w:szCs w:val="20"/>
                <w:lang w:val="en-PH" w:eastAsia="en-PH"/>
              </w:rPr>
              <w:t>Measures</w:t>
            </w:r>
          </w:p>
        </w:tc>
      </w:tr>
      <w:tr w:rsidR="00F61F8E" w:rsidRPr="002B3F36" w14:paraId="7C11CC05" w14:textId="77777777" w:rsidTr="00F82096">
        <w:trPr>
          <w:trHeight w:val="656"/>
        </w:trPr>
        <w:tc>
          <w:tcPr>
            <w:tcW w:w="1174" w:type="dxa"/>
            <w:vAlign w:val="center"/>
            <w:hideMark/>
          </w:tcPr>
          <w:p w14:paraId="52EE3203" w14:textId="000DCF8B" w:rsidR="00F61F8E" w:rsidRPr="002B3F36" w:rsidRDefault="00BF2A26">
            <w:pPr>
              <w:jc w:val="center"/>
              <w:rPr>
                <w:rFonts w:ascii="Arial" w:hAnsi="Arial" w:cs="Arial"/>
                <w:sz w:val="20"/>
                <w:szCs w:val="20"/>
                <w:lang w:val="en-PH" w:eastAsia="en-PH"/>
              </w:rPr>
            </w:pPr>
            <w:r w:rsidRPr="002B3F36">
              <w:rPr>
                <w:rFonts w:ascii="Arial" w:hAnsi="Arial" w:cs="Arial"/>
                <w:sz w:val="20"/>
                <w:szCs w:val="20"/>
                <w:lang w:val="en-PH" w:eastAsia="en-PH"/>
              </w:rPr>
              <w:t>PS</w:t>
            </w:r>
            <w:r w:rsidR="000F264B" w:rsidRPr="002B3F36">
              <w:rPr>
                <w:rFonts w:ascii="Arial" w:hAnsi="Arial" w:cs="Arial"/>
                <w:sz w:val="20"/>
                <w:szCs w:val="20"/>
                <w:lang w:val="en-PH" w:eastAsia="en-PH"/>
              </w:rPr>
              <w:t>2</w:t>
            </w:r>
          </w:p>
        </w:tc>
        <w:tc>
          <w:tcPr>
            <w:tcW w:w="2024" w:type="dxa"/>
            <w:hideMark/>
          </w:tcPr>
          <w:p w14:paraId="1701700A"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Occupational Health and Safety Hazard</w:t>
            </w:r>
          </w:p>
        </w:tc>
        <w:tc>
          <w:tcPr>
            <w:tcW w:w="3017" w:type="dxa"/>
            <w:hideMark/>
          </w:tcPr>
          <w:p w14:paraId="2D33E608"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 xml:space="preserve">The maintenance work would employ use of materials and equipment which may be </w:t>
            </w:r>
            <w:r w:rsidRPr="002B3F36">
              <w:rPr>
                <w:rFonts w:ascii="Arial" w:hAnsi="Arial" w:cs="Arial"/>
                <w:sz w:val="20"/>
                <w:szCs w:val="20"/>
                <w:lang w:val="en-PH" w:eastAsia="en-PH"/>
              </w:rPr>
              <w:lastRenderedPageBreak/>
              <w:t>hazardous to workers</w:t>
            </w:r>
          </w:p>
        </w:tc>
        <w:tc>
          <w:tcPr>
            <w:tcW w:w="3425" w:type="dxa"/>
            <w:hideMark/>
          </w:tcPr>
          <w:p w14:paraId="3B0C95CD"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lastRenderedPageBreak/>
              <w:t xml:space="preserve">Mitigate impacts due to exposure of workers to occupational hazards and issues </w:t>
            </w:r>
          </w:p>
          <w:p w14:paraId="6CDBAB97"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lastRenderedPageBreak/>
              <w:t>Equip workers with sufficient PPE.</w:t>
            </w:r>
          </w:p>
          <w:p w14:paraId="4252C30E"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Provide Traffic Safety Management during operations</w:t>
            </w:r>
          </w:p>
        </w:tc>
      </w:tr>
      <w:tr w:rsidR="00A921FF" w:rsidRPr="002B3F36" w14:paraId="27FBE334" w14:textId="77777777" w:rsidTr="00704657">
        <w:trPr>
          <w:trHeight w:val="746"/>
        </w:trPr>
        <w:tc>
          <w:tcPr>
            <w:tcW w:w="1174" w:type="dxa"/>
            <w:vMerge w:val="restart"/>
            <w:vAlign w:val="center"/>
          </w:tcPr>
          <w:p w14:paraId="51CCD726" w14:textId="2CDFC0F8" w:rsidR="00F61F8E" w:rsidRPr="002B3F36" w:rsidRDefault="00BF2A26">
            <w:pPr>
              <w:jc w:val="center"/>
              <w:rPr>
                <w:rFonts w:ascii="Arial" w:hAnsi="Arial" w:cs="Arial"/>
                <w:sz w:val="20"/>
                <w:szCs w:val="20"/>
                <w:lang w:val="en-PH" w:eastAsia="en-PH"/>
              </w:rPr>
            </w:pPr>
            <w:r w:rsidRPr="002B3F36">
              <w:rPr>
                <w:rFonts w:ascii="Arial" w:hAnsi="Arial" w:cs="Arial"/>
                <w:sz w:val="20"/>
                <w:szCs w:val="20"/>
                <w:lang w:val="en-PH" w:eastAsia="en-PH"/>
              </w:rPr>
              <w:lastRenderedPageBreak/>
              <w:t>PS</w:t>
            </w:r>
            <w:r w:rsidR="000F264B" w:rsidRPr="002B3F36">
              <w:rPr>
                <w:rFonts w:ascii="Arial" w:hAnsi="Arial" w:cs="Arial"/>
                <w:sz w:val="20"/>
                <w:szCs w:val="20"/>
                <w:lang w:val="en-PH" w:eastAsia="en-PH"/>
              </w:rPr>
              <w:t>3</w:t>
            </w:r>
          </w:p>
        </w:tc>
        <w:tc>
          <w:tcPr>
            <w:tcW w:w="2024" w:type="dxa"/>
          </w:tcPr>
          <w:p w14:paraId="3A66A60C"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Erosion and sedimentation</w:t>
            </w:r>
          </w:p>
        </w:tc>
        <w:tc>
          <w:tcPr>
            <w:tcW w:w="3017" w:type="dxa"/>
          </w:tcPr>
          <w:p w14:paraId="0EFCDAA7"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Soil erosion from the embankment side without erosion protection and contaminating the nearby water body through runoff</w:t>
            </w:r>
          </w:p>
        </w:tc>
        <w:tc>
          <w:tcPr>
            <w:tcW w:w="3425" w:type="dxa"/>
          </w:tcPr>
          <w:p w14:paraId="155CE64D"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All embankments need to be revegetated to prevent erosion. Other erosion control or covers should be installed in lieu of vegetative covers.</w:t>
            </w:r>
          </w:p>
        </w:tc>
      </w:tr>
      <w:tr w:rsidR="00A921FF" w:rsidRPr="002B3F36" w14:paraId="6CAA9BCF" w14:textId="77777777" w:rsidTr="00704657">
        <w:trPr>
          <w:trHeight w:val="746"/>
        </w:trPr>
        <w:tc>
          <w:tcPr>
            <w:tcW w:w="1174" w:type="dxa"/>
            <w:vMerge/>
            <w:vAlign w:val="center"/>
          </w:tcPr>
          <w:p w14:paraId="05480375" w14:textId="77777777" w:rsidR="00F61F8E" w:rsidRPr="002B3F36" w:rsidRDefault="00F61F8E">
            <w:pPr>
              <w:jc w:val="center"/>
              <w:rPr>
                <w:rFonts w:ascii="Arial" w:hAnsi="Arial" w:cs="Arial"/>
                <w:sz w:val="20"/>
                <w:szCs w:val="20"/>
                <w:lang w:val="en-PH" w:eastAsia="en-PH"/>
              </w:rPr>
            </w:pPr>
          </w:p>
        </w:tc>
        <w:tc>
          <w:tcPr>
            <w:tcW w:w="2024" w:type="dxa"/>
          </w:tcPr>
          <w:p w14:paraId="36B95082"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Water Quality</w:t>
            </w:r>
          </w:p>
        </w:tc>
        <w:tc>
          <w:tcPr>
            <w:tcW w:w="3017" w:type="dxa"/>
          </w:tcPr>
          <w:p w14:paraId="7E525D1F" w14:textId="540C3E48" w:rsidR="00F61F8E" w:rsidRPr="002B3F36" w:rsidRDefault="00827137">
            <w:pPr>
              <w:rPr>
                <w:rFonts w:ascii="Arial" w:hAnsi="Arial" w:cs="Arial"/>
                <w:sz w:val="20"/>
                <w:szCs w:val="20"/>
                <w:lang w:val="en-PH" w:eastAsia="en-PH"/>
              </w:rPr>
            </w:pPr>
            <w:r w:rsidRPr="002B3F36">
              <w:rPr>
                <w:rFonts w:ascii="Arial" w:hAnsi="Arial" w:cs="Arial"/>
                <w:sz w:val="20"/>
                <w:szCs w:val="20"/>
                <w:lang w:val="en-PH" w:eastAsia="en-PH"/>
              </w:rPr>
              <w:t>T</w:t>
            </w:r>
            <w:r w:rsidR="001F09B4" w:rsidRPr="002B3F36">
              <w:rPr>
                <w:rFonts w:ascii="Arial" w:hAnsi="Arial" w:cs="Arial"/>
                <w:sz w:val="20"/>
                <w:szCs w:val="20"/>
                <w:lang w:val="en-PH" w:eastAsia="en-PH"/>
              </w:rPr>
              <w:t>r</w:t>
            </w:r>
            <w:r w:rsidRPr="002B3F36">
              <w:rPr>
                <w:rFonts w:ascii="Arial" w:hAnsi="Arial" w:cs="Arial"/>
                <w:sz w:val="20"/>
                <w:szCs w:val="20"/>
                <w:lang w:val="en-PH" w:eastAsia="en-PH"/>
              </w:rPr>
              <w:t xml:space="preserve">ain </w:t>
            </w:r>
            <w:r w:rsidR="00B021FE" w:rsidRPr="002B3F36">
              <w:rPr>
                <w:rFonts w:ascii="Arial" w:hAnsi="Arial" w:cs="Arial"/>
                <w:sz w:val="20"/>
                <w:szCs w:val="20"/>
                <w:lang w:val="en-PH" w:eastAsia="en-PH"/>
              </w:rPr>
              <w:t xml:space="preserve">crash </w:t>
            </w:r>
            <w:r w:rsidR="000F264B" w:rsidRPr="002B3F36">
              <w:rPr>
                <w:rFonts w:ascii="Arial" w:hAnsi="Arial" w:cs="Arial"/>
                <w:sz w:val="20"/>
                <w:szCs w:val="20"/>
                <w:lang w:val="en-PH" w:eastAsia="en-PH"/>
              </w:rPr>
              <w:t xml:space="preserve">accidents along </w:t>
            </w:r>
            <w:r w:rsidR="00FF3A40" w:rsidRPr="002B3F36">
              <w:rPr>
                <w:rFonts w:ascii="Arial" w:hAnsi="Arial" w:cs="Arial"/>
                <w:sz w:val="20"/>
                <w:szCs w:val="20"/>
                <w:lang w:val="en-PH" w:eastAsia="en-PH"/>
              </w:rPr>
              <w:t>railroad</w:t>
            </w:r>
            <w:r w:rsidR="000F264B" w:rsidRPr="002B3F36">
              <w:rPr>
                <w:rFonts w:ascii="Arial" w:hAnsi="Arial" w:cs="Arial"/>
                <w:sz w:val="20"/>
                <w:szCs w:val="20"/>
                <w:lang w:val="en-PH" w:eastAsia="en-PH"/>
              </w:rPr>
              <w:t xml:space="preserve"> may occur and result into spills of fuels on the </w:t>
            </w:r>
            <w:r w:rsidR="004758AA" w:rsidRPr="002B3F36">
              <w:rPr>
                <w:rFonts w:ascii="Arial" w:hAnsi="Arial" w:cs="Arial"/>
                <w:sz w:val="20"/>
                <w:szCs w:val="20"/>
                <w:lang w:val="en-PH"/>
              </w:rPr>
              <w:t>rail</w:t>
            </w:r>
            <w:r w:rsidR="000F264B" w:rsidRPr="002B3F36">
              <w:rPr>
                <w:rFonts w:ascii="Arial" w:hAnsi="Arial" w:cs="Arial"/>
                <w:sz w:val="20"/>
                <w:szCs w:val="20"/>
                <w:lang w:val="en-PH" w:eastAsia="en-PH"/>
              </w:rPr>
              <w:t>road and to adjacent vicinities</w:t>
            </w:r>
          </w:p>
        </w:tc>
        <w:tc>
          <w:tcPr>
            <w:tcW w:w="3425" w:type="dxa"/>
          </w:tcPr>
          <w:p w14:paraId="38CB5C8F"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In case of accidents with spills, concerned agencies should be equipped with clean-up equipment and materials to immediately remove petroleum product spill-age from the accident sites.</w:t>
            </w:r>
          </w:p>
        </w:tc>
      </w:tr>
      <w:tr w:rsidR="00A921FF" w:rsidRPr="002B3F36" w14:paraId="57837D19" w14:textId="77777777" w:rsidTr="00704657">
        <w:trPr>
          <w:trHeight w:val="746"/>
        </w:trPr>
        <w:tc>
          <w:tcPr>
            <w:tcW w:w="1174" w:type="dxa"/>
            <w:vMerge/>
            <w:hideMark/>
          </w:tcPr>
          <w:p w14:paraId="68284770" w14:textId="77777777" w:rsidR="00F61F8E" w:rsidRPr="002B3F36" w:rsidRDefault="00F61F8E">
            <w:pPr>
              <w:jc w:val="center"/>
              <w:rPr>
                <w:rFonts w:ascii="Arial" w:hAnsi="Arial" w:cs="Arial"/>
                <w:sz w:val="20"/>
                <w:szCs w:val="20"/>
                <w:lang w:val="en-PH" w:eastAsia="en-PH"/>
              </w:rPr>
            </w:pPr>
          </w:p>
        </w:tc>
        <w:tc>
          <w:tcPr>
            <w:tcW w:w="2024" w:type="dxa"/>
            <w:hideMark/>
          </w:tcPr>
          <w:p w14:paraId="6C497B9C"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Impact on Noise Quality</w:t>
            </w:r>
          </w:p>
        </w:tc>
        <w:tc>
          <w:tcPr>
            <w:tcW w:w="3017" w:type="dxa"/>
            <w:hideMark/>
          </w:tcPr>
          <w:p w14:paraId="5A180D66" w14:textId="708C05C8"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 xml:space="preserve">Noise from </w:t>
            </w:r>
            <w:r w:rsidR="00827137" w:rsidRPr="002B3F36">
              <w:rPr>
                <w:rFonts w:ascii="Arial" w:hAnsi="Arial" w:cs="Arial"/>
                <w:sz w:val="20"/>
                <w:szCs w:val="20"/>
                <w:lang w:val="en-PH" w:eastAsia="en-PH"/>
              </w:rPr>
              <w:t>train</w:t>
            </w:r>
            <w:r w:rsidRPr="002B3F36">
              <w:rPr>
                <w:rFonts w:ascii="Arial" w:hAnsi="Arial" w:cs="Arial"/>
                <w:sz w:val="20"/>
                <w:szCs w:val="20"/>
                <w:lang w:val="en-PH" w:eastAsia="en-PH"/>
              </w:rPr>
              <w:t>s will be elevated and can disturb wildlife;</w:t>
            </w:r>
            <w:r w:rsidRPr="002B3F36">
              <w:rPr>
                <w:rFonts w:ascii="Arial" w:hAnsi="Arial" w:cs="Arial"/>
                <w:sz w:val="20"/>
                <w:szCs w:val="20"/>
                <w:lang w:val="en-PH" w:eastAsia="en-PH"/>
              </w:rPr>
              <w:br/>
              <w:t xml:space="preserve">In certain seasons, the migration of Saiga </w:t>
            </w:r>
            <w:r w:rsidR="003B1B0F" w:rsidRPr="002B3F36">
              <w:rPr>
                <w:rFonts w:ascii="Arial" w:hAnsi="Arial" w:cs="Arial"/>
                <w:sz w:val="20"/>
                <w:szCs w:val="20"/>
                <w:lang w:val="en-PH" w:eastAsia="en-PH"/>
              </w:rPr>
              <w:t xml:space="preserve">may </w:t>
            </w:r>
            <w:r w:rsidRPr="002B3F36">
              <w:rPr>
                <w:rFonts w:ascii="Arial" w:hAnsi="Arial" w:cs="Arial"/>
                <w:sz w:val="20"/>
                <w:szCs w:val="20"/>
                <w:lang w:val="en-PH" w:eastAsia="en-PH"/>
              </w:rPr>
              <w:t>be disrupted</w:t>
            </w:r>
          </w:p>
        </w:tc>
        <w:tc>
          <w:tcPr>
            <w:tcW w:w="3425" w:type="dxa"/>
            <w:hideMark/>
          </w:tcPr>
          <w:p w14:paraId="67C6FA76" w14:textId="1FEF0AE3" w:rsidR="00F61F8E" w:rsidRPr="002B3F36" w:rsidRDefault="003B1B0F">
            <w:pPr>
              <w:rPr>
                <w:rFonts w:ascii="Arial" w:hAnsi="Arial" w:cs="Arial"/>
                <w:sz w:val="20"/>
                <w:szCs w:val="20"/>
                <w:lang w:val="en-PH" w:eastAsia="en-PH"/>
              </w:rPr>
            </w:pPr>
            <w:r w:rsidRPr="002B3F36">
              <w:rPr>
                <w:rFonts w:ascii="Arial" w:hAnsi="Arial" w:cs="Arial"/>
                <w:sz w:val="20"/>
                <w:szCs w:val="20"/>
                <w:lang w:val="en-PH" w:eastAsia="en-PH"/>
              </w:rPr>
              <w:t xml:space="preserve">Alert/ Train operators on not sounding Locomotive horn.  </w:t>
            </w:r>
            <w:r w:rsidR="000F264B" w:rsidRPr="002B3F36">
              <w:rPr>
                <w:rFonts w:ascii="Arial" w:hAnsi="Arial" w:cs="Arial"/>
                <w:sz w:val="20"/>
                <w:szCs w:val="20"/>
                <w:lang w:val="en-PH" w:eastAsia="en-PH"/>
              </w:rPr>
              <w:t>Put sufficient signages for control of noise</w:t>
            </w:r>
            <w:r w:rsidRPr="002B3F36">
              <w:rPr>
                <w:rFonts w:ascii="Arial" w:hAnsi="Arial" w:cs="Arial"/>
                <w:sz w:val="20"/>
                <w:szCs w:val="20"/>
                <w:lang w:val="en-PH" w:eastAsia="en-PH"/>
              </w:rPr>
              <w:t>.</w:t>
            </w:r>
          </w:p>
        </w:tc>
      </w:tr>
      <w:tr w:rsidR="00A921FF" w:rsidRPr="002B3F36" w14:paraId="43F6B080" w14:textId="77777777" w:rsidTr="00704657">
        <w:trPr>
          <w:trHeight w:val="818"/>
        </w:trPr>
        <w:tc>
          <w:tcPr>
            <w:tcW w:w="1174" w:type="dxa"/>
            <w:vMerge/>
            <w:vAlign w:val="center"/>
            <w:hideMark/>
          </w:tcPr>
          <w:p w14:paraId="6A630810" w14:textId="77777777" w:rsidR="00F61F8E" w:rsidRPr="002B3F36" w:rsidRDefault="00F61F8E">
            <w:pPr>
              <w:rPr>
                <w:rFonts w:ascii="Arial" w:hAnsi="Arial" w:cs="Arial"/>
                <w:sz w:val="20"/>
                <w:szCs w:val="20"/>
                <w:lang w:val="en-PH" w:eastAsia="en-PH"/>
              </w:rPr>
            </w:pPr>
          </w:p>
        </w:tc>
        <w:tc>
          <w:tcPr>
            <w:tcW w:w="2024" w:type="dxa"/>
            <w:hideMark/>
          </w:tcPr>
          <w:p w14:paraId="743941CC"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Waste Generation</w:t>
            </w:r>
          </w:p>
        </w:tc>
        <w:tc>
          <w:tcPr>
            <w:tcW w:w="3017" w:type="dxa"/>
            <w:hideMark/>
          </w:tcPr>
          <w:p w14:paraId="539E3634" w14:textId="782C80AE"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 xml:space="preserve">People </w:t>
            </w:r>
            <w:r w:rsidR="00B021FE" w:rsidRPr="002B3F36">
              <w:rPr>
                <w:rFonts w:ascii="Arial" w:hAnsi="Arial" w:cs="Arial"/>
                <w:sz w:val="20"/>
                <w:szCs w:val="20"/>
                <w:lang w:val="en-PH" w:eastAsia="en-PH"/>
              </w:rPr>
              <w:t xml:space="preserve">riding </w:t>
            </w:r>
            <w:r w:rsidRPr="002B3F36">
              <w:rPr>
                <w:rFonts w:ascii="Arial" w:hAnsi="Arial" w:cs="Arial"/>
                <w:sz w:val="20"/>
                <w:szCs w:val="20"/>
                <w:lang w:val="en-PH" w:eastAsia="en-PH"/>
              </w:rPr>
              <w:t xml:space="preserve">the </w:t>
            </w:r>
            <w:r w:rsidR="00B021FE" w:rsidRPr="002B3F36">
              <w:rPr>
                <w:rFonts w:ascii="Arial" w:hAnsi="Arial" w:cs="Arial"/>
                <w:sz w:val="20"/>
                <w:szCs w:val="20"/>
                <w:lang w:val="en-PH" w:eastAsia="en-PH"/>
              </w:rPr>
              <w:t>train</w:t>
            </w:r>
            <w:r w:rsidRPr="002B3F36">
              <w:rPr>
                <w:rFonts w:ascii="Arial" w:hAnsi="Arial" w:cs="Arial"/>
                <w:sz w:val="20"/>
                <w:szCs w:val="20"/>
                <w:lang w:val="en-PH" w:eastAsia="en-PH"/>
              </w:rPr>
              <w:t xml:space="preserve"> may resort to throwing away garbage along the </w:t>
            </w:r>
            <w:r w:rsidR="00B021FE" w:rsidRPr="002B3F36">
              <w:rPr>
                <w:rFonts w:ascii="Arial" w:hAnsi="Arial" w:cs="Arial"/>
                <w:sz w:val="20"/>
                <w:szCs w:val="20"/>
                <w:lang w:val="en-PH" w:eastAsia="en-PH"/>
              </w:rPr>
              <w:t>rail</w:t>
            </w:r>
            <w:r w:rsidRPr="002B3F36">
              <w:rPr>
                <w:rFonts w:ascii="Arial" w:hAnsi="Arial" w:cs="Arial"/>
                <w:sz w:val="20"/>
                <w:szCs w:val="20"/>
                <w:lang w:val="en-PH" w:eastAsia="en-PH"/>
              </w:rPr>
              <w:t>road corridor</w:t>
            </w:r>
          </w:p>
        </w:tc>
        <w:tc>
          <w:tcPr>
            <w:tcW w:w="3425" w:type="dxa"/>
            <w:hideMark/>
          </w:tcPr>
          <w:p w14:paraId="779255E9" w14:textId="29798BFC"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 xml:space="preserve">Put signages prohibiting littering </w:t>
            </w:r>
            <w:r w:rsidR="003B1B0F" w:rsidRPr="002B3F36">
              <w:rPr>
                <w:rFonts w:ascii="Arial" w:hAnsi="Arial" w:cs="Arial"/>
                <w:sz w:val="20"/>
                <w:szCs w:val="20"/>
                <w:lang w:val="en-PH" w:eastAsia="en-PH"/>
              </w:rPr>
              <w:t xml:space="preserve">along </w:t>
            </w:r>
            <w:r w:rsidRPr="002B3F36">
              <w:rPr>
                <w:rFonts w:ascii="Arial" w:hAnsi="Arial" w:cs="Arial"/>
                <w:sz w:val="20"/>
                <w:szCs w:val="20"/>
                <w:lang w:val="en-PH" w:eastAsia="en-PH"/>
              </w:rPr>
              <w:t xml:space="preserve">the </w:t>
            </w:r>
            <w:r w:rsidR="003B1B0F" w:rsidRPr="002B3F36">
              <w:rPr>
                <w:rFonts w:ascii="Arial" w:hAnsi="Arial" w:cs="Arial"/>
                <w:sz w:val="20"/>
                <w:szCs w:val="20"/>
                <w:lang w:val="en-PH" w:eastAsia="en-PH"/>
              </w:rPr>
              <w:t>railroad and on roads leading to stations or tracks</w:t>
            </w:r>
            <w:r w:rsidRPr="002B3F36">
              <w:rPr>
                <w:rFonts w:ascii="Arial" w:hAnsi="Arial" w:cs="Arial"/>
                <w:sz w:val="20"/>
                <w:szCs w:val="20"/>
                <w:lang w:val="en-PH" w:eastAsia="en-PH"/>
              </w:rPr>
              <w:br/>
              <w:t xml:space="preserve">Install garbage bins </w:t>
            </w:r>
            <w:r w:rsidR="003B1B0F" w:rsidRPr="002B3F36">
              <w:rPr>
                <w:rFonts w:ascii="Arial" w:hAnsi="Arial" w:cs="Arial"/>
                <w:sz w:val="20"/>
                <w:szCs w:val="20"/>
                <w:lang w:val="en-PH" w:eastAsia="en-PH"/>
              </w:rPr>
              <w:t>at strategic locations in train facilities</w:t>
            </w:r>
            <w:r w:rsidRPr="002B3F36">
              <w:rPr>
                <w:rFonts w:ascii="Arial" w:hAnsi="Arial" w:cs="Arial"/>
                <w:sz w:val="20"/>
                <w:szCs w:val="20"/>
                <w:lang w:val="en-PH" w:eastAsia="en-PH"/>
              </w:rPr>
              <w:t xml:space="preserve"> to be collected regularly by maintenance unit for </w:t>
            </w:r>
            <w:r w:rsidR="00FF3A40" w:rsidRPr="002B3F36">
              <w:rPr>
                <w:rFonts w:ascii="Arial" w:hAnsi="Arial" w:cs="Arial"/>
                <w:sz w:val="20"/>
                <w:szCs w:val="20"/>
                <w:lang w:val="en-PH" w:eastAsia="en-PH"/>
              </w:rPr>
              <w:t>railroad</w:t>
            </w:r>
          </w:p>
        </w:tc>
      </w:tr>
      <w:tr w:rsidR="00F61F8E" w:rsidRPr="002B3F36" w14:paraId="007C5E41" w14:textId="77777777" w:rsidTr="00F82096">
        <w:trPr>
          <w:trHeight w:val="206"/>
        </w:trPr>
        <w:tc>
          <w:tcPr>
            <w:tcW w:w="1174" w:type="dxa"/>
            <w:hideMark/>
          </w:tcPr>
          <w:p w14:paraId="69DDE4DB" w14:textId="51BDA326" w:rsidR="00F61F8E" w:rsidRPr="002B3F36" w:rsidRDefault="00BF2A26">
            <w:pPr>
              <w:jc w:val="center"/>
              <w:rPr>
                <w:rFonts w:ascii="Arial" w:hAnsi="Arial" w:cs="Arial"/>
                <w:sz w:val="20"/>
                <w:szCs w:val="20"/>
                <w:lang w:val="en-PH" w:eastAsia="en-PH"/>
              </w:rPr>
            </w:pPr>
            <w:r w:rsidRPr="002B3F36">
              <w:rPr>
                <w:rFonts w:ascii="Arial" w:hAnsi="Arial" w:cs="Arial"/>
                <w:sz w:val="20"/>
                <w:szCs w:val="20"/>
                <w:lang w:val="en-PH" w:eastAsia="en-PH"/>
              </w:rPr>
              <w:t>PS</w:t>
            </w:r>
            <w:r w:rsidR="000F264B" w:rsidRPr="002B3F36">
              <w:rPr>
                <w:rFonts w:ascii="Arial" w:hAnsi="Arial" w:cs="Arial"/>
                <w:sz w:val="20"/>
                <w:szCs w:val="20"/>
                <w:lang w:val="en-PH" w:eastAsia="en-PH"/>
              </w:rPr>
              <w:t>4</w:t>
            </w:r>
          </w:p>
        </w:tc>
        <w:tc>
          <w:tcPr>
            <w:tcW w:w="2024" w:type="dxa"/>
            <w:hideMark/>
          </w:tcPr>
          <w:p w14:paraId="00A194E8"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Community Health and Safety</w:t>
            </w:r>
          </w:p>
        </w:tc>
        <w:tc>
          <w:tcPr>
            <w:tcW w:w="3017" w:type="dxa"/>
            <w:hideMark/>
          </w:tcPr>
          <w:p w14:paraId="51DA389C" w14:textId="60E6F217" w:rsidR="00F61F8E" w:rsidRPr="002B3F36" w:rsidRDefault="00B021FE">
            <w:pPr>
              <w:rPr>
                <w:rFonts w:ascii="Arial" w:hAnsi="Arial" w:cs="Arial"/>
                <w:sz w:val="20"/>
                <w:szCs w:val="20"/>
                <w:lang w:val="en-PH" w:eastAsia="en-PH"/>
              </w:rPr>
            </w:pPr>
            <w:r w:rsidRPr="002B3F36">
              <w:rPr>
                <w:rFonts w:ascii="Arial" w:hAnsi="Arial" w:cs="Arial"/>
                <w:sz w:val="20"/>
                <w:szCs w:val="20"/>
                <w:lang w:val="en-PH" w:eastAsia="en-PH"/>
              </w:rPr>
              <w:t>Train</w:t>
            </w:r>
            <w:r w:rsidR="000F264B" w:rsidRPr="002B3F36">
              <w:rPr>
                <w:rFonts w:ascii="Arial" w:hAnsi="Arial" w:cs="Arial"/>
                <w:sz w:val="20"/>
                <w:szCs w:val="20"/>
                <w:lang w:val="en-PH" w:eastAsia="en-PH"/>
              </w:rPr>
              <w:t xml:space="preserve"> traffic will pose safety Risks to local population</w:t>
            </w:r>
          </w:p>
        </w:tc>
        <w:tc>
          <w:tcPr>
            <w:tcW w:w="3425" w:type="dxa"/>
            <w:hideMark/>
          </w:tcPr>
          <w:p w14:paraId="3BBA9895" w14:textId="0CFEC9EF"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Install sufficient safety signages along the</w:t>
            </w:r>
            <w:r w:rsidR="003B1B0F" w:rsidRPr="002B3F36">
              <w:rPr>
                <w:rFonts w:ascii="Arial" w:hAnsi="Arial" w:cs="Arial"/>
                <w:sz w:val="20"/>
                <w:szCs w:val="20"/>
                <w:lang w:val="en-PH" w:eastAsia="en-PH"/>
              </w:rPr>
              <w:t xml:space="preserve"> access </w:t>
            </w:r>
            <w:r w:rsidRPr="002B3F36">
              <w:rPr>
                <w:rFonts w:ascii="Arial" w:hAnsi="Arial" w:cs="Arial"/>
                <w:sz w:val="20"/>
                <w:szCs w:val="20"/>
                <w:lang w:val="en-PH" w:eastAsia="en-PH"/>
              </w:rPr>
              <w:t>road</w:t>
            </w:r>
            <w:r w:rsidR="003B1B0F" w:rsidRPr="002B3F36">
              <w:rPr>
                <w:rFonts w:ascii="Arial" w:hAnsi="Arial" w:cs="Arial"/>
                <w:sz w:val="20"/>
                <w:szCs w:val="20"/>
                <w:lang w:val="en-PH" w:eastAsia="en-PH"/>
              </w:rPr>
              <w:t xml:space="preserve">s leading to </w:t>
            </w:r>
            <w:r w:rsidR="001F09B4" w:rsidRPr="002B3F36">
              <w:rPr>
                <w:rFonts w:ascii="Arial" w:hAnsi="Arial" w:cs="Arial"/>
                <w:sz w:val="20"/>
                <w:szCs w:val="20"/>
                <w:lang w:val="en-PH" w:eastAsia="en-PH"/>
              </w:rPr>
              <w:t>facilities</w:t>
            </w:r>
            <w:r w:rsidR="003B1B0F" w:rsidRPr="002B3F36">
              <w:rPr>
                <w:rFonts w:ascii="Arial" w:hAnsi="Arial" w:cs="Arial"/>
                <w:sz w:val="20"/>
                <w:szCs w:val="20"/>
                <w:lang w:val="en-PH" w:eastAsia="en-PH"/>
              </w:rPr>
              <w:t xml:space="preserve"> of the railway</w:t>
            </w:r>
          </w:p>
        </w:tc>
      </w:tr>
      <w:tr w:rsidR="00A921FF" w:rsidRPr="002B3F36" w14:paraId="38E8D982" w14:textId="77777777" w:rsidTr="00704657">
        <w:trPr>
          <w:trHeight w:val="620"/>
        </w:trPr>
        <w:tc>
          <w:tcPr>
            <w:tcW w:w="1174" w:type="dxa"/>
            <w:vMerge w:val="restart"/>
            <w:hideMark/>
          </w:tcPr>
          <w:p w14:paraId="3E389A16" w14:textId="7328B89A" w:rsidR="00F61F8E" w:rsidRPr="002B3F36" w:rsidRDefault="00BF2A26">
            <w:pPr>
              <w:jc w:val="center"/>
              <w:rPr>
                <w:rFonts w:ascii="Arial" w:hAnsi="Arial" w:cs="Arial"/>
                <w:sz w:val="20"/>
                <w:szCs w:val="20"/>
                <w:lang w:val="en-PH" w:eastAsia="en-PH"/>
              </w:rPr>
            </w:pPr>
            <w:r w:rsidRPr="002B3F36">
              <w:rPr>
                <w:rFonts w:ascii="Arial" w:hAnsi="Arial" w:cs="Arial"/>
                <w:sz w:val="20"/>
                <w:szCs w:val="20"/>
                <w:lang w:val="en-PH" w:eastAsia="en-PH"/>
              </w:rPr>
              <w:t>PS</w:t>
            </w:r>
            <w:r w:rsidR="000F264B" w:rsidRPr="002B3F36">
              <w:rPr>
                <w:rFonts w:ascii="Arial" w:hAnsi="Arial" w:cs="Arial"/>
                <w:sz w:val="20"/>
                <w:szCs w:val="20"/>
                <w:lang w:val="en-PH" w:eastAsia="en-PH"/>
              </w:rPr>
              <w:t>6</w:t>
            </w:r>
          </w:p>
        </w:tc>
        <w:tc>
          <w:tcPr>
            <w:tcW w:w="2024" w:type="dxa"/>
            <w:hideMark/>
          </w:tcPr>
          <w:p w14:paraId="1C7C19DC"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Fauna</w:t>
            </w:r>
          </w:p>
        </w:tc>
        <w:tc>
          <w:tcPr>
            <w:tcW w:w="3017" w:type="dxa"/>
            <w:hideMark/>
          </w:tcPr>
          <w:p w14:paraId="5FF8C005" w14:textId="7E6EFBBE"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 xml:space="preserve">Noise and pollution to Fauna will be introduced by the </w:t>
            </w:r>
            <w:r w:rsidR="00B021FE" w:rsidRPr="002B3F36">
              <w:rPr>
                <w:rFonts w:ascii="Arial" w:hAnsi="Arial" w:cs="Arial"/>
                <w:sz w:val="20"/>
                <w:szCs w:val="20"/>
                <w:lang w:val="en-PH" w:eastAsia="en-PH"/>
              </w:rPr>
              <w:t xml:space="preserve">train </w:t>
            </w:r>
            <w:r w:rsidRPr="002B3F36">
              <w:rPr>
                <w:rFonts w:ascii="Arial" w:hAnsi="Arial" w:cs="Arial"/>
                <w:sz w:val="20"/>
                <w:szCs w:val="20"/>
                <w:lang w:val="en-PH" w:eastAsia="en-PH"/>
              </w:rPr>
              <w:t>traffic</w:t>
            </w:r>
          </w:p>
        </w:tc>
        <w:tc>
          <w:tcPr>
            <w:tcW w:w="3425" w:type="dxa"/>
            <w:hideMark/>
          </w:tcPr>
          <w:p w14:paraId="4585D39B" w14:textId="77777777" w:rsidR="00B021F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 xml:space="preserve">Put sufficient signages for control of noise </w:t>
            </w:r>
          </w:p>
          <w:p w14:paraId="64EB7B5F" w14:textId="3A13B0BC" w:rsidR="00F61F8E" w:rsidRPr="002B3F36" w:rsidRDefault="00F61F8E">
            <w:pPr>
              <w:rPr>
                <w:rFonts w:ascii="Arial" w:hAnsi="Arial" w:cs="Arial"/>
                <w:sz w:val="20"/>
                <w:szCs w:val="20"/>
                <w:lang w:val="en-PH" w:eastAsia="en-PH"/>
              </w:rPr>
            </w:pPr>
          </w:p>
        </w:tc>
      </w:tr>
      <w:tr w:rsidR="00A921FF" w:rsidRPr="002B3F36" w14:paraId="2920B3AF" w14:textId="77777777" w:rsidTr="00704657">
        <w:trPr>
          <w:trHeight w:val="620"/>
        </w:trPr>
        <w:tc>
          <w:tcPr>
            <w:tcW w:w="1174" w:type="dxa"/>
            <w:vMerge/>
          </w:tcPr>
          <w:p w14:paraId="57ED1C94" w14:textId="77777777" w:rsidR="00F61F8E" w:rsidRPr="002B3F36" w:rsidRDefault="00F61F8E">
            <w:pPr>
              <w:jc w:val="center"/>
              <w:rPr>
                <w:rFonts w:ascii="Arial" w:hAnsi="Arial" w:cs="Arial"/>
                <w:sz w:val="20"/>
                <w:szCs w:val="20"/>
                <w:lang w:val="en-PH" w:eastAsia="en-PH"/>
              </w:rPr>
            </w:pPr>
          </w:p>
        </w:tc>
        <w:tc>
          <w:tcPr>
            <w:tcW w:w="2024" w:type="dxa"/>
          </w:tcPr>
          <w:p w14:paraId="3E6E3720" w14:textId="77777777" w:rsidR="00F61F8E" w:rsidRPr="002B3F36" w:rsidRDefault="00F61F8E">
            <w:pPr>
              <w:rPr>
                <w:rFonts w:ascii="Arial" w:hAnsi="Arial" w:cs="Arial"/>
                <w:sz w:val="20"/>
                <w:szCs w:val="20"/>
                <w:lang w:val="en-PH" w:eastAsia="en-PH"/>
              </w:rPr>
            </w:pPr>
          </w:p>
        </w:tc>
        <w:tc>
          <w:tcPr>
            <w:tcW w:w="3017" w:type="dxa"/>
          </w:tcPr>
          <w:p w14:paraId="2545ACE7"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Migration of species (Saiga)</w:t>
            </w:r>
          </w:p>
        </w:tc>
        <w:tc>
          <w:tcPr>
            <w:tcW w:w="3425" w:type="dxa"/>
          </w:tcPr>
          <w:p w14:paraId="6BFB451D" w14:textId="6CEC3DFB" w:rsidR="00B021FE" w:rsidRPr="002B3F36" w:rsidRDefault="00B021FE" w:rsidP="00B021FE">
            <w:pPr>
              <w:rPr>
                <w:rFonts w:ascii="Arial" w:hAnsi="Arial" w:cs="Arial"/>
                <w:sz w:val="20"/>
                <w:szCs w:val="20"/>
                <w:lang w:val="en-PH" w:eastAsia="en-PH"/>
              </w:rPr>
            </w:pPr>
            <w:r w:rsidRPr="002B3F36">
              <w:rPr>
                <w:rFonts w:ascii="Arial" w:hAnsi="Arial" w:cs="Arial"/>
                <w:sz w:val="20"/>
                <w:szCs w:val="20"/>
                <w:lang w:val="en-PH" w:eastAsia="en-PH"/>
              </w:rPr>
              <w:t>-Flat/smoothed side slope of the embankment – The slope of the embankment will be changed to a flatter slope of approximately 1:6 to even 1:10 (compared to a normal 1:4 embankment) to facilitate the movement of wildlife</w:t>
            </w:r>
          </w:p>
          <w:p w14:paraId="219755E2" w14:textId="3E12C257" w:rsidR="00B021FE" w:rsidRPr="002B3F36" w:rsidRDefault="00B021FE" w:rsidP="00B021FE">
            <w:pPr>
              <w:rPr>
                <w:rFonts w:ascii="Arial" w:hAnsi="Arial" w:cs="Arial"/>
                <w:sz w:val="20"/>
                <w:szCs w:val="20"/>
                <w:lang w:val="en-PH" w:eastAsia="en-PH"/>
              </w:rPr>
            </w:pPr>
            <w:r w:rsidRPr="002B3F36">
              <w:rPr>
                <w:rFonts w:ascii="Arial" w:hAnsi="Arial" w:cs="Arial"/>
                <w:sz w:val="20"/>
                <w:szCs w:val="20"/>
                <w:lang w:val="en-PH" w:eastAsia="en-PH"/>
              </w:rPr>
              <w:t>-Mesh fencing – For most of the stretch of the sections of the railroad, mesh fencing will be installed on both sides, with the exception of animal crossings (saiga), the distance between which is approximately 2 km. Reinforced mesh barriers should be installed along the edges of passages.</w:t>
            </w:r>
          </w:p>
          <w:p w14:paraId="506AB7F9" w14:textId="70B65CB1" w:rsidR="00F61F8E" w:rsidRPr="002B3F36" w:rsidRDefault="00B021FE" w:rsidP="00B021FE">
            <w:pPr>
              <w:rPr>
                <w:rFonts w:ascii="Arial" w:hAnsi="Arial" w:cs="Arial"/>
                <w:sz w:val="20"/>
                <w:szCs w:val="20"/>
                <w:lang w:val="en-PH" w:eastAsia="en-PH"/>
              </w:rPr>
            </w:pPr>
            <w:r w:rsidRPr="002B3F36">
              <w:rPr>
                <w:rFonts w:ascii="Arial" w:hAnsi="Arial" w:cs="Arial"/>
                <w:sz w:val="20"/>
                <w:szCs w:val="20"/>
                <w:lang w:val="en-PH" w:eastAsia="en-PH"/>
              </w:rPr>
              <w:t xml:space="preserve">-Railroad signs – Signage, as part of management measures, should be installed at the start of animal crossings to alert train operators to crossing areas. Signage should consist of: (i) warning signs in Kazakh and Russian with the words “CAUTION! Possible crossing of wild animals! Be careful! (ii) Signs for crossing the saiga road, speed limit not exceeding 60 km/h and prohibition to the sound of </w:t>
            </w:r>
            <w:r w:rsidRPr="002B3F36">
              <w:rPr>
                <w:rFonts w:ascii="Arial" w:hAnsi="Arial" w:cs="Arial"/>
                <w:sz w:val="20"/>
                <w:szCs w:val="20"/>
                <w:lang w:val="en-PH" w:eastAsia="en-PH"/>
              </w:rPr>
              <w:lastRenderedPageBreak/>
              <w:t>locomotive horns, as this may shock the animals and cause panic and chaotic scattering</w:t>
            </w:r>
          </w:p>
        </w:tc>
      </w:tr>
      <w:tr w:rsidR="003230B9" w:rsidRPr="002B3F36" w14:paraId="5BCB9664" w14:textId="77777777" w:rsidTr="00704657">
        <w:trPr>
          <w:trHeight w:val="620"/>
        </w:trPr>
        <w:tc>
          <w:tcPr>
            <w:tcW w:w="1174" w:type="dxa"/>
            <w:vMerge/>
          </w:tcPr>
          <w:p w14:paraId="04552982" w14:textId="77777777" w:rsidR="003230B9" w:rsidRPr="002B3F36" w:rsidRDefault="003230B9">
            <w:pPr>
              <w:jc w:val="center"/>
              <w:rPr>
                <w:rFonts w:ascii="Arial" w:hAnsi="Arial" w:cs="Arial"/>
                <w:sz w:val="20"/>
                <w:szCs w:val="20"/>
                <w:lang w:val="en-PH" w:eastAsia="en-PH"/>
              </w:rPr>
            </w:pPr>
          </w:p>
        </w:tc>
        <w:tc>
          <w:tcPr>
            <w:tcW w:w="2024" w:type="dxa"/>
          </w:tcPr>
          <w:p w14:paraId="52260AEF" w14:textId="77777777" w:rsidR="003230B9" w:rsidRPr="002B3F36" w:rsidRDefault="003230B9">
            <w:pPr>
              <w:rPr>
                <w:rFonts w:ascii="Arial" w:hAnsi="Arial" w:cs="Arial"/>
                <w:sz w:val="20"/>
                <w:szCs w:val="20"/>
                <w:lang w:val="en-PH" w:eastAsia="en-PH"/>
              </w:rPr>
            </w:pPr>
          </w:p>
        </w:tc>
        <w:tc>
          <w:tcPr>
            <w:tcW w:w="3017" w:type="dxa"/>
          </w:tcPr>
          <w:p w14:paraId="187E6132" w14:textId="0722C33E" w:rsidR="003230B9" w:rsidRPr="00A846C7" w:rsidRDefault="003230B9">
            <w:pPr>
              <w:rPr>
                <w:rFonts w:ascii="Arial" w:hAnsi="Arial" w:cs="Arial"/>
                <w:sz w:val="20"/>
                <w:szCs w:val="20"/>
                <w:lang w:eastAsia="en-PH"/>
              </w:rPr>
            </w:pPr>
            <w:r>
              <w:rPr>
                <w:rFonts w:ascii="Arial" w:hAnsi="Arial" w:cs="Arial"/>
                <w:sz w:val="20"/>
                <w:szCs w:val="20"/>
                <w:lang w:eastAsia="en-PH"/>
              </w:rPr>
              <w:t>Collision risks for large birds and electocution risks on tarnsmission lines</w:t>
            </w:r>
          </w:p>
        </w:tc>
        <w:tc>
          <w:tcPr>
            <w:tcW w:w="3425" w:type="dxa"/>
          </w:tcPr>
          <w:p w14:paraId="436383FF" w14:textId="5DF46F99" w:rsidR="003230B9" w:rsidRPr="002B3F36" w:rsidRDefault="003230B9" w:rsidP="00B021FE">
            <w:pPr>
              <w:rPr>
                <w:rFonts w:ascii="Arial" w:hAnsi="Arial" w:cs="Arial"/>
                <w:sz w:val="20"/>
                <w:szCs w:val="20"/>
                <w:lang w:val="en-PH" w:eastAsia="en-PH"/>
              </w:rPr>
            </w:pPr>
            <w:r>
              <w:rPr>
                <w:rFonts w:ascii="Arial" w:hAnsi="Arial" w:cs="Arial"/>
                <w:sz w:val="20"/>
                <w:szCs w:val="20"/>
                <w:lang w:val="en-PH" w:eastAsia="en-PH"/>
              </w:rPr>
              <w:t>Use bird-safe constructions for transmission lines and increse visibility for birs</w:t>
            </w:r>
          </w:p>
        </w:tc>
      </w:tr>
      <w:tr w:rsidR="00A921FF" w:rsidRPr="002B3F36" w14:paraId="765FEA31" w14:textId="77777777" w:rsidTr="00704657">
        <w:trPr>
          <w:trHeight w:val="40"/>
        </w:trPr>
        <w:tc>
          <w:tcPr>
            <w:tcW w:w="1174" w:type="dxa"/>
            <w:vMerge/>
            <w:vAlign w:val="center"/>
            <w:hideMark/>
          </w:tcPr>
          <w:p w14:paraId="669A0D73" w14:textId="77777777" w:rsidR="00F61F8E" w:rsidRPr="002B3F36" w:rsidRDefault="00F61F8E">
            <w:pPr>
              <w:rPr>
                <w:rFonts w:ascii="Arial" w:hAnsi="Arial" w:cs="Arial"/>
                <w:sz w:val="20"/>
                <w:szCs w:val="20"/>
                <w:lang w:val="en-PH" w:eastAsia="en-PH"/>
              </w:rPr>
            </w:pPr>
          </w:p>
        </w:tc>
        <w:tc>
          <w:tcPr>
            <w:tcW w:w="2024" w:type="dxa"/>
            <w:hideMark/>
          </w:tcPr>
          <w:p w14:paraId="3F02DC8E"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Protected Areas &amp; Biodiversity</w:t>
            </w:r>
          </w:p>
        </w:tc>
        <w:tc>
          <w:tcPr>
            <w:tcW w:w="3017" w:type="dxa"/>
            <w:hideMark/>
          </w:tcPr>
          <w:p w14:paraId="6BD3FD03" w14:textId="77777777"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Noise and pollution to protected areas will be introduced by the traffic</w:t>
            </w:r>
          </w:p>
        </w:tc>
        <w:tc>
          <w:tcPr>
            <w:tcW w:w="3425" w:type="dxa"/>
            <w:hideMark/>
          </w:tcPr>
          <w:p w14:paraId="59546ED6" w14:textId="51C783A3" w:rsidR="00A62571" w:rsidRPr="002B3F36" w:rsidRDefault="00A62571">
            <w:pPr>
              <w:rPr>
                <w:rFonts w:ascii="Arial" w:hAnsi="Arial" w:cs="Arial"/>
                <w:sz w:val="20"/>
                <w:szCs w:val="20"/>
                <w:lang w:val="en-PH" w:eastAsia="en-PH"/>
              </w:rPr>
            </w:pPr>
            <w:r w:rsidRPr="002B3F36">
              <w:rPr>
                <w:rFonts w:ascii="Arial" w:hAnsi="Arial" w:cs="Arial"/>
                <w:sz w:val="20"/>
                <w:szCs w:val="20"/>
                <w:lang w:val="en-PH" w:eastAsia="en-PH"/>
              </w:rPr>
              <w:t>Alert/ Train operators on not sounding Locomotive horn</w:t>
            </w:r>
          </w:p>
          <w:p w14:paraId="5C52FA79" w14:textId="2D095025" w:rsidR="00F61F8E" w:rsidRPr="002B3F36" w:rsidRDefault="000F264B">
            <w:pPr>
              <w:rPr>
                <w:rFonts w:ascii="Arial" w:hAnsi="Arial" w:cs="Arial"/>
                <w:sz w:val="20"/>
                <w:szCs w:val="20"/>
                <w:lang w:val="en-PH" w:eastAsia="en-PH"/>
              </w:rPr>
            </w:pPr>
            <w:r w:rsidRPr="002B3F36">
              <w:rPr>
                <w:rFonts w:ascii="Arial" w:hAnsi="Arial" w:cs="Arial"/>
                <w:sz w:val="20"/>
                <w:szCs w:val="20"/>
                <w:lang w:val="en-PH" w:eastAsia="en-PH"/>
              </w:rPr>
              <w:t>During operations, obligations and prohibitions for Andasai Sanctuaries should be observed</w:t>
            </w:r>
          </w:p>
        </w:tc>
      </w:tr>
    </w:tbl>
    <w:p w14:paraId="3AA11C4F" w14:textId="77777777" w:rsidR="00A707C4" w:rsidRDefault="00A707C4" w:rsidP="00A707C4">
      <w:pPr>
        <w:pStyle w:val="ReportBodyPar"/>
      </w:pPr>
      <w:bookmarkStart w:id="2560" w:name="_Toc169094804"/>
      <w:bookmarkStart w:id="2561" w:name="_Toc208973883"/>
      <w:bookmarkStart w:id="2562" w:name="_Toc208974083"/>
      <w:bookmarkStart w:id="2563" w:name="_Toc208974283"/>
      <w:bookmarkStart w:id="2564" w:name="_Toc208974486"/>
      <w:bookmarkStart w:id="2565" w:name="_Toc208974688"/>
      <w:bookmarkStart w:id="2566" w:name="_Toc210589528"/>
    </w:p>
    <w:p w14:paraId="7C3C021A" w14:textId="77777777" w:rsidR="00A707C4" w:rsidRDefault="00A707C4">
      <w:pPr>
        <w:rPr>
          <w:rFonts w:ascii="Arial" w:hAnsi="Arial" w:cs="Arial"/>
          <w:b/>
          <w:sz w:val="32"/>
          <w:szCs w:val="28"/>
        </w:rPr>
      </w:pPr>
      <w:r>
        <w:rPr>
          <w:rFonts w:cs="Arial"/>
        </w:rPr>
        <w:br w:type="page"/>
      </w:r>
    </w:p>
    <w:p w14:paraId="4E3DA8FC" w14:textId="51C7E228" w:rsidR="00F61F8E" w:rsidRPr="002B3F36" w:rsidRDefault="000F264B">
      <w:pPr>
        <w:pStyle w:val="1"/>
        <w:numPr>
          <w:ilvl w:val="0"/>
          <w:numId w:val="1"/>
        </w:numPr>
        <w:autoSpaceDE/>
        <w:autoSpaceDN/>
        <w:spacing w:line="253" w:lineRule="auto"/>
        <w:ind w:right="72"/>
        <w:jc w:val="both"/>
        <w:rPr>
          <w:rFonts w:cs="Arial"/>
        </w:rPr>
      </w:pPr>
      <w:r w:rsidRPr="002B3F36">
        <w:rPr>
          <w:rFonts w:cs="Arial"/>
        </w:rPr>
        <w:lastRenderedPageBreak/>
        <w:t>ENVIRONMENTAL AND SOCIAL MANAGEMENT</w:t>
      </w:r>
      <w:bookmarkEnd w:id="2560"/>
      <w:bookmarkEnd w:id="2561"/>
      <w:bookmarkEnd w:id="2562"/>
      <w:bookmarkEnd w:id="2563"/>
      <w:bookmarkEnd w:id="2564"/>
      <w:bookmarkEnd w:id="2565"/>
      <w:r w:rsidR="002B71CE" w:rsidRPr="002B3F36">
        <w:rPr>
          <w:rFonts w:cs="Arial"/>
        </w:rPr>
        <w:t xml:space="preserve"> APPROACH</w:t>
      </w:r>
      <w:bookmarkEnd w:id="2566"/>
    </w:p>
    <w:p w14:paraId="18FC16D1" w14:textId="77777777" w:rsidR="009547AD" w:rsidRPr="002B3F36" w:rsidRDefault="009547AD" w:rsidP="0057027A">
      <w:pPr>
        <w:pStyle w:val="ReportBodyTextNogap"/>
      </w:pPr>
    </w:p>
    <w:p w14:paraId="3A9F0472" w14:textId="3B9AAFA3" w:rsidR="000E5CD6" w:rsidRPr="002B3F36" w:rsidRDefault="000E5CD6" w:rsidP="000E5CD6">
      <w:pPr>
        <w:pStyle w:val="ReportBodyTextNogap"/>
      </w:pPr>
      <w:r w:rsidRPr="002B3F36">
        <w:t xml:space="preserve">The Environmental and Social Management Plan (ESMP) serves as the central instrument for ensuring that all environmental and social (E&amp;S) risks and impacts of the </w:t>
      </w:r>
      <w:r w:rsidR="003650DB" w:rsidRPr="002B3F36">
        <w:t xml:space="preserve">Mointy – Kyzylzhar </w:t>
      </w:r>
      <w:r w:rsidRPr="002B3F36">
        <w:t xml:space="preserve">Railway Project are effectively managed in accordance with </w:t>
      </w:r>
      <w:r w:rsidR="00AA6587" w:rsidRPr="002B3F36">
        <w:t xml:space="preserve">WB </w:t>
      </w:r>
      <w:r w:rsidRPr="002B3F36">
        <w:t>Performance Standard 1 (PS1) on Assessment and Management of Environmental and Social Risks and Impacts, the WBG General EHS Guidelines (2007), and relevant Kazakhstan legislation, including the Environmental Code (2021), Land Code (2003), and Law on Sanitary and Epidemiological Welfare of the Population (2020). As a comprehensive framework, the ESMP translates the findings of the Environmental and Social Impact Assessment (ESIA) into a set of actionable, measurable, and enforceable measures aimed at preventing, minimizing, mitigating, or offsetting adverse impacts throughout project design, construction, and operation while enhancing positive outcomes.</w:t>
      </w:r>
    </w:p>
    <w:p w14:paraId="017A6A60" w14:textId="77777777" w:rsidR="000E5CD6" w:rsidRPr="002B3F36" w:rsidRDefault="000E5CD6" w:rsidP="000E5CD6">
      <w:pPr>
        <w:pStyle w:val="ReportBodyTextNogap"/>
      </w:pPr>
    </w:p>
    <w:p w14:paraId="504F9A00" w14:textId="77777777" w:rsidR="000E5CD6" w:rsidRPr="002B3F36" w:rsidRDefault="000E5CD6" w:rsidP="000E5CD6">
      <w:pPr>
        <w:pStyle w:val="ReportBodyTextNogap"/>
      </w:pPr>
      <w:r w:rsidRPr="002B3F36">
        <w:t>Specifically, the ESMP will define mitigation measures, institutional responsibilities, capacity-building requirements, schedules, performance indicators, and monitoring mechanisms for all key risk areas, including labor and working conditions (PS2), resource efficiency and pollution prevention (PS3), community health and safety (PS4), land acquisition and resettlement (PS5), biodiversity and protected areas (PS6), and cultural heritage (PS8). Where applicable, provisions for Indigenous Peoples (PS7) and vulnerable groups will also be incorporated to ensure inclusivity and compliance with international safeguards and Kazakhstan’s Environmental and Social Impact Assessment (OVOS) regulations.</w:t>
      </w:r>
    </w:p>
    <w:p w14:paraId="18D3C387" w14:textId="77777777" w:rsidR="000E5CD6" w:rsidRPr="002B3F36" w:rsidRDefault="000E5CD6" w:rsidP="000E5CD6">
      <w:pPr>
        <w:pStyle w:val="ReportBodyTextNogap"/>
      </w:pPr>
    </w:p>
    <w:p w14:paraId="341AB6A2" w14:textId="4A13DB7F" w:rsidR="00A66DE7" w:rsidRPr="002B3F36" w:rsidRDefault="000E5CD6" w:rsidP="000E5CD6">
      <w:pPr>
        <w:pStyle w:val="ReportBodyTextNogap"/>
      </w:pPr>
      <w:r w:rsidRPr="002B3F36">
        <w:t xml:space="preserve">As a contractual requirement, the ESMP will be embedded into the Bidding Documents and form part of the Construction Civil Works Contract, becoming a binding obligation on the Contractor and all subcontractors. KTZ will retain overall accountability for ESMP implementation, while the </w:t>
      </w:r>
      <w:r w:rsidR="00BD3FAA" w:rsidRPr="002B3F36">
        <w:t>Client</w:t>
      </w:r>
      <w:r w:rsidRPr="002B3F36">
        <w:t>’s Engineer/Construction Supervision Consultant (CSC) will provide day-to-day oversight, compliance monitoring, and independent verification through regular inspections, audits, and performance reporting. This structured approach ensures that the mitigation hierarchy</w:t>
      </w:r>
      <w:r w:rsidR="000F6D38" w:rsidRPr="002B3F36">
        <w:t xml:space="preserve"> (</w:t>
      </w:r>
      <w:r w:rsidRPr="002B3F36">
        <w:t>avoid, minimize, restore, offset</w:t>
      </w:r>
      <w:r w:rsidR="000F6D38" w:rsidRPr="002B3F36">
        <w:t>) i</w:t>
      </w:r>
      <w:r w:rsidRPr="002B3F36">
        <w:t>s systematically applied, that non-compliance risks are addressed proactively, and that the Project’s Environmental and Social Management System (ESMS) remains robust, transparent, and aligned with both national requirements and WBG standards.</w:t>
      </w:r>
    </w:p>
    <w:p w14:paraId="2BE8EFE7" w14:textId="77777777" w:rsidR="00F61F8E" w:rsidRPr="002B3F36" w:rsidRDefault="00F61F8E">
      <w:pPr>
        <w:spacing w:before="240" w:after="240"/>
        <w:rPr>
          <w:rFonts w:ascii="Arial" w:eastAsia="SimSun" w:hAnsi="Arial" w:cs="Arial"/>
          <w:lang w:val="en-GB" w:eastAsia="en-GB"/>
        </w:rPr>
        <w:sectPr w:rsidR="00F61F8E" w:rsidRPr="002B3F36">
          <w:pgSz w:w="11909" w:h="16834" w:code="9"/>
          <w:pgMar w:top="1134" w:right="1109" w:bottom="1260" w:left="1080" w:header="720" w:footer="720" w:gutter="0"/>
          <w:cols w:space="720"/>
          <w:docGrid w:linePitch="360"/>
        </w:sectPr>
      </w:pPr>
    </w:p>
    <w:p w14:paraId="22482D3D" w14:textId="77777777" w:rsidR="00F61F8E" w:rsidRPr="002B3F36" w:rsidRDefault="000F264B" w:rsidP="009C738F">
      <w:pPr>
        <w:pStyle w:val="20"/>
      </w:pPr>
      <w:bookmarkStart w:id="2567" w:name="_Toc169094805"/>
      <w:bookmarkStart w:id="2568" w:name="_Toc208973884"/>
      <w:bookmarkStart w:id="2569" w:name="_Toc208974084"/>
      <w:bookmarkStart w:id="2570" w:name="_Toc208974284"/>
      <w:bookmarkStart w:id="2571" w:name="_Toc208974487"/>
      <w:bookmarkStart w:id="2572" w:name="_Toc208974689"/>
      <w:bookmarkStart w:id="2573" w:name="_Toc210589529"/>
      <w:r w:rsidRPr="002B3F36">
        <w:lastRenderedPageBreak/>
        <w:t>Environmental and Social Management Plan</w:t>
      </w:r>
      <w:bookmarkEnd w:id="2567"/>
      <w:bookmarkEnd w:id="2568"/>
      <w:bookmarkEnd w:id="2569"/>
      <w:bookmarkEnd w:id="2570"/>
      <w:bookmarkEnd w:id="2571"/>
      <w:bookmarkEnd w:id="2572"/>
      <w:bookmarkEnd w:id="2573"/>
    </w:p>
    <w:p w14:paraId="787AC830" w14:textId="77777777" w:rsidR="000F6D38" w:rsidRPr="002B3F36" w:rsidRDefault="000F6D38" w:rsidP="000F6D38">
      <w:pPr>
        <w:pStyle w:val="ReportParagraph"/>
      </w:pPr>
    </w:p>
    <w:p w14:paraId="5462430A" w14:textId="76D88068" w:rsidR="000F6D38" w:rsidRPr="002B3F36" w:rsidRDefault="000F6D38" w:rsidP="000F6D38">
      <w:pPr>
        <w:pStyle w:val="ReportParagraph"/>
      </w:pPr>
      <w:r w:rsidRPr="002B3F36">
        <w:t xml:space="preserve">The Environmental and Social Management Plan (ESMP) for the </w:t>
      </w:r>
      <w:r w:rsidR="003650DB" w:rsidRPr="002B3F36">
        <w:t xml:space="preserve">Mointy – Kyzylzhar </w:t>
      </w:r>
      <w:r w:rsidRPr="002B3F36">
        <w:t xml:space="preserve">Railway Project provides the overarching framework for addressing environmental and social (E&amp;S) risks and impacts throughout all phases of the project—pre-construction, construction, and operation. Developed in accordance with </w:t>
      </w:r>
      <w:r w:rsidR="00F95BD8" w:rsidRPr="002B3F36">
        <w:t>WB</w:t>
      </w:r>
      <w:r w:rsidRPr="002B3F36">
        <w:t xml:space="preserve"> Performance Standard 1 (PS1) on Assessment and Management of Environmental and Social Risks and Impacts, the WBG General EHS Guidelines (2007), and applicable Kazakhstan legislation including the Environmental Code (2021) and Land Code (2003), the ESMP applies the mitigation hierarchy</w:t>
      </w:r>
      <w:r w:rsidR="00470332" w:rsidRPr="002B3F36">
        <w:t xml:space="preserve"> - </w:t>
      </w:r>
      <w:r w:rsidRPr="002B3F36">
        <w:t>avoid, minimize, restore, and offset</w:t>
      </w:r>
      <w:r w:rsidR="00470332" w:rsidRPr="002B3F36">
        <w:t xml:space="preserve"> - </w:t>
      </w:r>
      <w:r w:rsidRPr="002B3F36">
        <w:t>to ensure compliance, sustainability, and risk reduction across the project lifecycle.</w:t>
      </w:r>
    </w:p>
    <w:p w14:paraId="58B2AC20" w14:textId="77777777" w:rsidR="000F6D38" w:rsidRPr="002B3F36" w:rsidRDefault="000F6D38" w:rsidP="000F6D38">
      <w:pPr>
        <w:pStyle w:val="ReportParagraph"/>
      </w:pPr>
    </w:p>
    <w:p w14:paraId="59822B21" w14:textId="04A60FF0" w:rsidR="000F6D38" w:rsidRPr="002B3F36" w:rsidRDefault="000F6D38" w:rsidP="000F6D38">
      <w:pPr>
        <w:pStyle w:val="ReportParagraph"/>
      </w:pPr>
      <w:r w:rsidRPr="002B3F36">
        <w:t xml:space="preserve">Central to the ESMP is the Environmental and Social Management Table, which translates the findings of the Environmental and Social Impact Assessment (ESIA) into a comprehensive matrix of risks, mitigation measures, monitoring indicators, implementation methods, and institutional responsibilities. The table is structured to ensure clarity, accountability, and enforceability, covering all key areas under </w:t>
      </w:r>
      <w:r w:rsidR="00163238" w:rsidRPr="002B3F36">
        <w:t>WB PS</w:t>
      </w:r>
      <w:r w:rsidRPr="002B3F36">
        <w:t>2 (Labor and Working Conditions), PS3 (Resource Efficiency and Pollution Prevention), PS4 (Community Health, Safety, and Security), PS5 (Land Acquisition and Involuntary Resettlement), PS6 (Biodiversity Conservation), and PS8 (Cultural Heritage).</w:t>
      </w:r>
    </w:p>
    <w:p w14:paraId="71BD7337" w14:textId="77777777" w:rsidR="000F6D38" w:rsidRPr="002B3F36" w:rsidRDefault="000F6D38" w:rsidP="000F6D38">
      <w:pPr>
        <w:pStyle w:val="ReportParagraph"/>
      </w:pPr>
    </w:p>
    <w:p w14:paraId="11E5833E" w14:textId="2622ED52" w:rsidR="000F6D38" w:rsidRPr="002B3F36" w:rsidRDefault="000F6D38" w:rsidP="000F6D38">
      <w:pPr>
        <w:pStyle w:val="ReportParagraph"/>
      </w:pPr>
      <w:r w:rsidRPr="002B3F36">
        <w:t>By assigning clear responsibilities to the Contractor, KTZ, and the Construction Supervision Consultant (CSC) for each mitigation and monitoring activity, the ESMP Table ensures that every identified risk is matched with specific, time-bound mitigation actions. This structured approach enables consistent monitoring, transparent reporting, and effective stakeholder engagement, ensuring full compliance with both national legislation and international safeguard standards.</w:t>
      </w:r>
    </w:p>
    <w:p w14:paraId="5387CB64" w14:textId="77777777" w:rsidR="008A534A" w:rsidRPr="002B3F36" w:rsidRDefault="008A534A" w:rsidP="000F6D38">
      <w:pPr>
        <w:pStyle w:val="ReportParagraph"/>
      </w:pPr>
    </w:p>
    <w:p w14:paraId="0A9CC8C3" w14:textId="24F7196A" w:rsidR="008A534A" w:rsidRPr="002B3F36" w:rsidRDefault="00843C01" w:rsidP="000F6D38">
      <w:pPr>
        <w:pStyle w:val="ReportParagraph"/>
      </w:pPr>
      <w:r w:rsidRPr="002B3F36">
        <w:t xml:space="preserve">The following </w:t>
      </w:r>
      <w:r w:rsidR="00275CF4" w:rsidRPr="002B3F36">
        <w:t>T</w:t>
      </w:r>
      <w:r w:rsidRPr="002B3F36">
        <w:t>able presents the mitigation measures that are currently under consideration for implementation</w:t>
      </w:r>
      <w:r w:rsidR="00275CF4" w:rsidRPr="002B3F36">
        <w:t xml:space="preserve"> in an ESMP Matrix</w:t>
      </w:r>
      <w:r w:rsidRPr="002B3F36">
        <w:t>.</w:t>
      </w:r>
    </w:p>
    <w:p w14:paraId="78278045" w14:textId="77777777" w:rsidR="00F61F8E" w:rsidRPr="002B3F36" w:rsidRDefault="00F61F8E">
      <w:pPr>
        <w:pStyle w:val="ReportBodyTextNogap"/>
      </w:pPr>
    </w:p>
    <w:p w14:paraId="1E70D180" w14:textId="3A566C10" w:rsidR="00F61F8E" w:rsidRPr="002B3F36" w:rsidRDefault="00DE0226" w:rsidP="000E123E">
      <w:pPr>
        <w:pStyle w:val="CaptionTable"/>
      </w:pPr>
      <w:bookmarkStart w:id="2574" w:name="_Toc169094912"/>
      <w:bookmarkStart w:id="2575" w:name="_Toc210589585"/>
      <w:r w:rsidRPr="002B3F36">
        <w:t xml:space="preserve">Table </w:t>
      </w:r>
      <w:r w:rsidRPr="002B3F36">
        <w:rPr>
          <w:noProof/>
        </w:rPr>
        <w:fldChar w:fldCharType="begin"/>
      </w:r>
      <w:r w:rsidRPr="002B3F36">
        <w:rPr>
          <w:noProof/>
        </w:rPr>
        <w:instrText xml:space="preserve"> SEQ Table \* ARABIC </w:instrText>
      </w:r>
      <w:r w:rsidRPr="002B3F36">
        <w:rPr>
          <w:noProof/>
        </w:rPr>
        <w:fldChar w:fldCharType="separate"/>
      </w:r>
      <w:r w:rsidR="00A023DA">
        <w:rPr>
          <w:noProof/>
        </w:rPr>
        <w:t>41</w:t>
      </w:r>
      <w:r w:rsidRPr="002B3F36">
        <w:rPr>
          <w:noProof/>
        </w:rPr>
        <w:fldChar w:fldCharType="end"/>
      </w:r>
      <w:r w:rsidRPr="002B3F36">
        <w:t xml:space="preserve">: Environment and Social </w:t>
      </w:r>
      <w:r w:rsidR="00275CF4" w:rsidRPr="002B3F36">
        <w:t>Managemement Plan Matrix</w:t>
      </w:r>
      <w:bookmarkEnd w:id="2574"/>
      <w:bookmarkEnd w:id="2575"/>
    </w:p>
    <w:tbl>
      <w:tblPr>
        <w:tblW w:w="14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0"/>
        <w:gridCol w:w="1180"/>
        <w:gridCol w:w="3225"/>
        <w:gridCol w:w="5822"/>
        <w:gridCol w:w="1751"/>
        <w:gridCol w:w="1332"/>
      </w:tblGrid>
      <w:tr w:rsidR="00F61F8E" w:rsidRPr="002B3F36" w14:paraId="3D957E2B" w14:textId="77777777" w:rsidTr="0089733D">
        <w:trPr>
          <w:tblHeader/>
        </w:trPr>
        <w:tc>
          <w:tcPr>
            <w:tcW w:w="1180" w:type="dxa"/>
            <w:shd w:val="clear" w:color="auto" w:fill="F2F2F2" w:themeFill="background1" w:themeFillShade="F2"/>
            <w:vAlign w:val="center"/>
          </w:tcPr>
          <w:p w14:paraId="6921EDD8" w14:textId="77777777" w:rsidR="00F61F8E" w:rsidRPr="002B3F36" w:rsidRDefault="000F264B">
            <w:pPr>
              <w:suppressAutoHyphens/>
              <w:jc w:val="center"/>
              <w:rPr>
                <w:rFonts w:ascii="Arial" w:eastAsia="SimSun" w:hAnsi="Arial" w:cs="Arial"/>
                <w:b/>
                <w:bCs/>
                <w:sz w:val="20"/>
                <w:szCs w:val="20"/>
                <w:lang w:val="en-AU"/>
              </w:rPr>
            </w:pPr>
            <w:r w:rsidRPr="002B3F36">
              <w:rPr>
                <w:rFonts w:ascii="Arial" w:eastAsia="SimSun" w:hAnsi="Arial" w:cs="Arial"/>
                <w:b/>
                <w:bCs/>
                <w:sz w:val="20"/>
                <w:szCs w:val="20"/>
                <w:lang w:val="en-AU"/>
              </w:rPr>
              <w:t>Issues</w:t>
            </w:r>
          </w:p>
        </w:tc>
        <w:tc>
          <w:tcPr>
            <w:tcW w:w="1180" w:type="dxa"/>
            <w:shd w:val="clear" w:color="auto" w:fill="F2F2F2" w:themeFill="background1" w:themeFillShade="F2"/>
            <w:vAlign w:val="center"/>
          </w:tcPr>
          <w:p w14:paraId="55AE6935" w14:textId="77777777" w:rsidR="00F61F8E" w:rsidRPr="002B3F36" w:rsidRDefault="000F264B">
            <w:pPr>
              <w:suppressAutoHyphens/>
              <w:jc w:val="center"/>
              <w:rPr>
                <w:rFonts w:ascii="Arial" w:eastAsia="SimSun" w:hAnsi="Arial" w:cs="Arial"/>
                <w:b/>
                <w:bCs/>
                <w:sz w:val="20"/>
                <w:szCs w:val="20"/>
                <w:lang w:val="en-AU"/>
              </w:rPr>
            </w:pPr>
            <w:r w:rsidRPr="002B3F36">
              <w:rPr>
                <w:rFonts w:ascii="Arial" w:eastAsia="SimSun" w:hAnsi="Arial" w:cs="Arial"/>
                <w:b/>
                <w:bCs/>
                <w:sz w:val="20"/>
                <w:szCs w:val="20"/>
                <w:lang w:val="en-AU"/>
              </w:rPr>
              <w:t>Activity</w:t>
            </w:r>
          </w:p>
        </w:tc>
        <w:tc>
          <w:tcPr>
            <w:tcW w:w="3225" w:type="dxa"/>
            <w:shd w:val="clear" w:color="auto" w:fill="F2F2F2" w:themeFill="background1" w:themeFillShade="F2"/>
            <w:vAlign w:val="center"/>
          </w:tcPr>
          <w:p w14:paraId="1F070C1E" w14:textId="77777777" w:rsidR="00F61F8E" w:rsidRPr="002B3F36" w:rsidRDefault="000F264B">
            <w:pPr>
              <w:spacing w:line="259" w:lineRule="auto"/>
              <w:ind w:right="34"/>
              <w:jc w:val="center"/>
              <w:rPr>
                <w:rFonts w:ascii="Arial" w:hAnsi="Arial" w:cs="Arial"/>
                <w:sz w:val="20"/>
                <w:szCs w:val="20"/>
              </w:rPr>
            </w:pPr>
            <w:r w:rsidRPr="002B3F36">
              <w:rPr>
                <w:rFonts w:ascii="Arial" w:eastAsia="SimSun" w:hAnsi="Arial" w:cs="Arial"/>
                <w:b/>
                <w:bCs/>
                <w:sz w:val="20"/>
                <w:szCs w:val="20"/>
                <w:lang w:val="en-AU"/>
              </w:rPr>
              <w:t>Expected Impact</w:t>
            </w:r>
          </w:p>
        </w:tc>
        <w:tc>
          <w:tcPr>
            <w:tcW w:w="5822" w:type="dxa"/>
            <w:shd w:val="clear" w:color="auto" w:fill="F2F2F2" w:themeFill="background1" w:themeFillShade="F2"/>
            <w:vAlign w:val="center"/>
          </w:tcPr>
          <w:p w14:paraId="6C68AA05" w14:textId="77777777" w:rsidR="00F61F8E" w:rsidRPr="002B3F36" w:rsidRDefault="000F264B">
            <w:pPr>
              <w:suppressAutoHyphens/>
              <w:jc w:val="center"/>
              <w:rPr>
                <w:rFonts w:ascii="Arial" w:eastAsia="SimSun" w:hAnsi="Arial" w:cs="Arial"/>
                <w:b/>
                <w:bCs/>
                <w:sz w:val="20"/>
                <w:szCs w:val="20"/>
                <w:lang w:val="en-AU"/>
              </w:rPr>
            </w:pPr>
            <w:r w:rsidRPr="002B3F36">
              <w:rPr>
                <w:rFonts w:ascii="Arial" w:eastAsia="SimSun" w:hAnsi="Arial" w:cs="Arial"/>
                <w:b/>
                <w:bCs/>
                <w:sz w:val="20"/>
                <w:szCs w:val="20"/>
                <w:lang w:val="en-AU"/>
              </w:rPr>
              <w:t>Proposed Measure for Mitigation</w:t>
            </w:r>
          </w:p>
        </w:tc>
        <w:tc>
          <w:tcPr>
            <w:tcW w:w="1751" w:type="dxa"/>
            <w:shd w:val="clear" w:color="auto" w:fill="F2F2F2" w:themeFill="background1" w:themeFillShade="F2"/>
            <w:vAlign w:val="center"/>
          </w:tcPr>
          <w:p w14:paraId="064F7AD4" w14:textId="77777777" w:rsidR="00F61F8E" w:rsidRPr="002B3F36" w:rsidRDefault="000F264B">
            <w:pPr>
              <w:suppressAutoHyphens/>
              <w:jc w:val="center"/>
              <w:rPr>
                <w:rFonts w:ascii="Arial" w:eastAsia="SimSun" w:hAnsi="Arial" w:cs="Arial"/>
                <w:b/>
                <w:bCs/>
                <w:sz w:val="20"/>
                <w:szCs w:val="20"/>
                <w:u w:val="single"/>
                <w:lang w:val="en-AU"/>
              </w:rPr>
            </w:pPr>
            <w:r w:rsidRPr="002B3F36">
              <w:rPr>
                <w:rFonts w:ascii="Arial" w:eastAsia="SimSun" w:hAnsi="Arial" w:cs="Arial"/>
                <w:b/>
                <w:bCs/>
                <w:sz w:val="20"/>
                <w:szCs w:val="20"/>
                <w:u w:val="single"/>
                <w:lang w:val="en-AU"/>
              </w:rPr>
              <w:t>Responsibility</w:t>
            </w:r>
          </w:p>
        </w:tc>
        <w:tc>
          <w:tcPr>
            <w:tcW w:w="1332" w:type="dxa"/>
            <w:shd w:val="clear" w:color="auto" w:fill="F2F2F2" w:themeFill="background1" w:themeFillShade="F2"/>
            <w:vAlign w:val="center"/>
          </w:tcPr>
          <w:p w14:paraId="3227D7FB" w14:textId="77777777" w:rsidR="00F61F8E" w:rsidRPr="002B3F36" w:rsidRDefault="000F264B">
            <w:pPr>
              <w:suppressAutoHyphens/>
              <w:jc w:val="center"/>
              <w:rPr>
                <w:rFonts w:ascii="Arial" w:eastAsia="SimSun" w:hAnsi="Arial" w:cs="Arial"/>
                <w:b/>
                <w:bCs/>
                <w:sz w:val="20"/>
                <w:szCs w:val="20"/>
                <w:lang w:val="en-AU"/>
              </w:rPr>
            </w:pPr>
            <w:r w:rsidRPr="002B3F36">
              <w:rPr>
                <w:rFonts w:ascii="Arial" w:eastAsia="SimSun" w:hAnsi="Arial" w:cs="Arial"/>
                <w:b/>
                <w:bCs/>
                <w:sz w:val="20"/>
                <w:szCs w:val="20"/>
                <w:lang w:val="en-AU"/>
              </w:rPr>
              <w:t xml:space="preserve"> Cost estimate</w:t>
            </w:r>
          </w:p>
        </w:tc>
      </w:tr>
      <w:tr w:rsidR="00F61F8E" w:rsidRPr="002B3F36" w14:paraId="72B641E6" w14:textId="77777777" w:rsidTr="0089733D">
        <w:tc>
          <w:tcPr>
            <w:tcW w:w="1180" w:type="dxa"/>
            <w:shd w:val="clear" w:color="auto" w:fill="F2F2F2" w:themeFill="background1" w:themeFillShade="F2"/>
          </w:tcPr>
          <w:p w14:paraId="2B160420" w14:textId="77777777" w:rsidR="00F61F8E" w:rsidRPr="002B3F36" w:rsidRDefault="00F61F8E">
            <w:pPr>
              <w:rPr>
                <w:rFonts w:ascii="Arial" w:hAnsi="Arial" w:cs="Arial"/>
                <w:b/>
                <w:sz w:val="20"/>
                <w:szCs w:val="20"/>
              </w:rPr>
            </w:pPr>
          </w:p>
        </w:tc>
        <w:tc>
          <w:tcPr>
            <w:tcW w:w="1180" w:type="dxa"/>
            <w:shd w:val="clear" w:color="auto" w:fill="F2F2F2" w:themeFill="background1" w:themeFillShade="F2"/>
          </w:tcPr>
          <w:p w14:paraId="06A90490" w14:textId="77777777" w:rsidR="00F61F8E" w:rsidRPr="002B3F36" w:rsidRDefault="00F61F8E">
            <w:pPr>
              <w:rPr>
                <w:rFonts w:ascii="Arial" w:hAnsi="Arial" w:cs="Arial"/>
                <w:b/>
                <w:bCs/>
                <w:sz w:val="20"/>
                <w:szCs w:val="20"/>
              </w:rPr>
            </w:pPr>
          </w:p>
        </w:tc>
        <w:tc>
          <w:tcPr>
            <w:tcW w:w="9047" w:type="dxa"/>
            <w:gridSpan w:val="2"/>
            <w:shd w:val="clear" w:color="auto" w:fill="F2F2F2" w:themeFill="background1" w:themeFillShade="F2"/>
          </w:tcPr>
          <w:p w14:paraId="1D20BFFD" w14:textId="45ECD0F1" w:rsidR="00F61F8E" w:rsidRPr="002B3F36" w:rsidRDefault="000F264B">
            <w:pPr>
              <w:rPr>
                <w:rFonts w:ascii="Arial" w:hAnsi="Arial" w:cs="Arial"/>
                <w:b/>
                <w:bCs/>
                <w:sz w:val="20"/>
                <w:szCs w:val="20"/>
              </w:rPr>
            </w:pPr>
            <w:r w:rsidRPr="002B3F36">
              <w:rPr>
                <w:rFonts w:ascii="Arial" w:hAnsi="Arial" w:cs="Arial"/>
                <w:b/>
                <w:bCs/>
                <w:sz w:val="20"/>
                <w:szCs w:val="20"/>
              </w:rPr>
              <w:t>During Pre-Construction and Construction Phase (</w:t>
            </w:r>
            <w:r w:rsidR="000C7CC2" w:rsidRPr="002B3F36">
              <w:rPr>
                <w:rFonts w:ascii="Arial" w:hAnsi="Arial" w:cs="Arial"/>
                <w:b/>
                <w:bCs/>
                <w:sz w:val="20"/>
                <w:szCs w:val="20"/>
              </w:rPr>
              <w:t>PS</w:t>
            </w:r>
            <w:r w:rsidRPr="002B3F36">
              <w:rPr>
                <w:rFonts w:ascii="Arial" w:hAnsi="Arial" w:cs="Arial"/>
                <w:b/>
                <w:bCs/>
                <w:sz w:val="20"/>
                <w:szCs w:val="20"/>
              </w:rPr>
              <w:t xml:space="preserve"> 1)</w:t>
            </w:r>
          </w:p>
        </w:tc>
        <w:tc>
          <w:tcPr>
            <w:tcW w:w="1751" w:type="dxa"/>
            <w:shd w:val="clear" w:color="auto" w:fill="F2F2F2" w:themeFill="background1" w:themeFillShade="F2"/>
          </w:tcPr>
          <w:p w14:paraId="0C71FED1" w14:textId="77777777" w:rsidR="00F61F8E" w:rsidRPr="002B3F36" w:rsidRDefault="00F61F8E">
            <w:pPr>
              <w:rPr>
                <w:rFonts w:ascii="Arial" w:hAnsi="Arial" w:cs="Arial"/>
                <w:b/>
                <w:sz w:val="20"/>
                <w:szCs w:val="20"/>
              </w:rPr>
            </w:pPr>
          </w:p>
        </w:tc>
        <w:tc>
          <w:tcPr>
            <w:tcW w:w="1332" w:type="dxa"/>
            <w:shd w:val="clear" w:color="auto" w:fill="F2F2F2" w:themeFill="background1" w:themeFillShade="F2"/>
          </w:tcPr>
          <w:p w14:paraId="0C494A5B" w14:textId="77777777" w:rsidR="00F61F8E" w:rsidRPr="002B3F36" w:rsidRDefault="00F61F8E">
            <w:pPr>
              <w:rPr>
                <w:rFonts w:ascii="Arial" w:hAnsi="Arial" w:cs="Arial"/>
                <w:b/>
                <w:sz w:val="20"/>
                <w:szCs w:val="20"/>
              </w:rPr>
            </w:pPr>
          </w:p>
        </w:tc>
      </w:tr>
      <w:tr w:rsidR="00F61F8E" w:rsidRPr="002B3F36" w14:paraId="5291503E" w14:textId="77777777" w:rsidTr="0089733D">
        <w:tc>
          <w:tcPr>
            <w:tcW w:w="1180" w:type="dxa"/>
          </w:tcPr>
          <w:p w14:paraId="550B0146"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Introduction of Impacts and Risk to ES Environment</w:t>
            </w:r>
          </w:p>
        </w:tc>
        <w:tc>
          <w:tcPr>
            <w:tcW w:w="1180" w:type="dxa"/>
          </w:tcPr>
          <w:p w14:paraId="223CC9DA"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Identification and Assessment of ES Impacts &amp; Risks</w:t>
            </w:r>
          </w:p>
        </w:tc>
        <w:tc>
          <w:tcPr>
            <w:tcW w:w="3225" w:type="dxa"/>
          </w:tcPr>
          <w:p w14:paraId="1118677F" w14:textId="77777777" w:rsidR="00F61F8E" w:rsidRPr="002B3F36" w:rsidRDefault="000F264B">
            <w:pPr>
              <w:pStyle w:val="BulletTable"/>
              <w:numPr>
                <w:ilvl w:val="0"/>
                <w:numId w:val="0"/>
              </w:numPr>
              <w:rPr>
                <w:color w:val="auto"/>
                <w:sz w:val="20"/>
                <w:szCs w:val="20"/>
              </w:rPr>
            </w:pPr>
            <w:r w:rsidRPr="002B3F36">
              <w:rPr>
                <w:color w:val="auto"/>
                <w:sz w:val="20"/>
                <w:szCs w:val="20"/>
              </w:rPr>
              <w:t>The Environmental risks and impacts, include:</w:t>
            </w:r>
          </w:p>
          <w:p w14:paraId="7047288F"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EHSGs provisions; </w:t>
            </w:r>
          </w:p>
          <w:p w14:paraId="74EBE357"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Community safety; </w:t>
            </w:r>
          </w:p>
          <w:p w14:paraId="187D884E" w14:textId="5B49E6BA" w:rsidR="00F61F8E" w:rsidRPr="002B3F36" w:rsidRDefault="000337A3">
            <w:pPr>
              <w:pStyle w:val="BulletTable"/>
              <w:tabs>
                <w:tab w:val="clear" w:pos="540"/>
                <w:tab w:val="clear" w:pos="542"/>
              </w:tabs>
              <w:rPr>
                <w:color w:val="auto"/>
                <w:sz w:val="20"/>
                <w:szCs w:val="20"/>
              </w:rPr>
            </w:pPr>
            <w:r w:rsidRPr="002B3F36">
              <w:rPr>
                <w:color w:val="auto"/>
                <w:sz w:val="20"/>
                <w:szCs w:val="20"/>
              </w:rPr>
              <w:t>Climate-related hazards</w:t>
            </w:r>
            <w:r w:rsidR="000F264B" w:rsidRPr="002B3F36">
              <w:rPr>
                <w:color w:val="auto"/>
                <w:sz w:val="20"/>
                <w:szCs w:val="20"/>
              </w:rPr>
              <w:t xml:space="preserve">; </w:t>
            </w:r>
          </w:p>
          <w:p w14:paraId="33C34B11" w14:textId="77777777" w:rsidR="000337A3" w:rsidRPr="002B3F36" w:rsidRDefault="000337A3" w:rsidP="000337A3">
            <w:pPr>
              <w:pStyle w:val="BulletTable"/>
              <w:rPr>
                <w:color w:val="auto"/>
                <w:sz w:val="20"/>
                <w:szCs w:val="20"/>
              </w:rPr>
            </w:pPr>
            <w:r w:rsidRPr="002B3F36">
              <w:rPr>
                <w:color w:val="auto"/>
                <w:sz w:val="20"/>
                <w:szCs w:val="20"/>
              </w:rPr>
              <w:t>Potential impacts on steppe habitats, wildlife migratory corridors, and biodiversity.</w:t>
            </w:r>
          </w:p>
          <w:p w14:paraId="6623A5FD" w14:textId="77777777" w:rsidR="000337A3" w:rsidRPr="002B3F36" w:rsidRDefault="000337A3" w:rsidP="000337A3">
            <w:pPr>
              <w:pStyle w:val="BulletTable"/>
              <w:rPr>
                <w:color w:val="auto"/>
                <w:sz w:val="20"/>
                <w:szCs w:val="20"/>
              </w:rPr>
            </w:pPr>
            <w:r w:rsidRPr="002B3F36">
              <w:rPr>
                <w:color w:val="auto"/>
                <w:sz w:val="20"/>
                <w:szCs w:val="20"/>
              </w:rPr>
              <w:t xml:space="preserve">Potential effects on ecosystem services, including </w:t>
            </w:r>
            <w:r w:rsidRPr="002B3F36">
              <w:rPr>
                <w:color w:val="auto"/>
                <w:sz w:val="20"/>
                <w:szCs w:val="20"/>
              </w:rPr>
              <w:lastRenderedPageBreak/>
              <w:t>grazing land and watercourses.</w:t>
            </w:r>
          </w:p>
          <w:p w14:paraId="00A3BA73" w14:textId="77777777" w:rsidR="000337A3" w:rsidRPr="002B3F36" w:rsidRDefault="000337A3" w:rsidP="000337A3">
            <w:pPr>
              <w:pStyle w:val="BulletTable"/>
              <w:rPr>
                <w:color w:val="auto"/>
                <w:sz w:val="20"/>
                <w:szCs w:val="20"/>
              </w:rPr>
            </w:pPr>
            <w:r w:rsidRPr="002B3F36">
              <w:rPr>
                <w:color w:val="auto"/>
                <w:sz w:val="20"/>
                <w:szCs w:val="20"/>
              </w:rPr>
              <w:t>Disturbance of cultural heritage resources due to ground works in areas with archaeological potential.</w:t>
            </w:r>
          </w:p>
          <w:p w14:paraId="22E2CA04" w14:textId="3A504066" w:rsidR="00F61F8E" w:rsidRPr="002B3F36" w:rsidRDefault="000F264B" w:rsidP="000337A3">
            <w:pPr>
              <w:pStyle w:val="BulletTable"/>
              <w:numPr>
                <w:ilvl w:val="0"/>
                <w:numId w:val="0"/>
              </w:numPr>
              <w:tabs>
                <w:tab w:val="clear" w:pos="540"/>
                <w:tab w:val="clear" w:pos="542"/>
              </w:tabs>
              <w:ind w:left="317"/>
              <w:rPr>
                <w:color w:val="auto"/>
                <w:sz w:val="20"/>
                <w:szCs w:val="20"/>
              </w:rPr>
            </w:pPr>
            <w:r w:rsidRPr="002B3F36">
              <w:rPr>
                <w:color w:val="auto"/>
                <w:sz w:val="20"/>
                <w:szCs w:val="20"/>
              </w:rPr>
              <w:t>.</w:t>
            </w:r>
          </w:p>
          <w:p w14:paraId="716CBF56" w14:textId="77777777" w:rsidR="00F61F8E" w:rsidRPr="002B3F36" w:rsidRDefault="000F264B">
            <w:pPr>
              <w:pStyle w:val="BulletTable"/>
              <w:numPr>
                <w:ilvl w:val="0"/>
                <w:numId w:val="0"/>
              </w:numPr>
              <w:rPr>
                <w:color w:val="auto"/>
                <w:sz w:val="20"/>
                <w:szCs w:val="20"/>
              </w:rPr>
            </w:pPr>
            <w:r w:rsidRPr="002B3F36">
              <w:rPr>
                <w:color w:val="auto"/>
                <w:sz w:val="20"/>
                <w:szCs w:val="20"/>
              </w:rPr>
              <w:t>The social Risks and impacts covers:</w:t>
            </w:r>
          </w:p>
          <w:p w14:paraId="7018A6B6" w14:textId="2F3B237E" w:rsidR="000337A3" w:rsidRPr="002B3F36" w:rsidRDefault="000337A3" w:rsidP="000337A3">
            <w:pPr>
              <w:pStyle w:val="BulletTable"/>
              <w:rPr>
                <w:color w:val="auto"/>
                <w:sz w:val="20"/>
                <w:szCs w:val="20"/>
              </w:rPr>
            </w:pPr>
            <w:r w:rsidRPr="002B3F36">
              <w:rPr>
                <w:color w:val="auto"/>
                <w:sz w:val="20"/>
                <w:szCs w:val="20"/>
              </w:rPr>
              <w:t>Disproportionate impacts on vulnerable groups.</w:t>
            </w:r>
          </w:p>
          <w:p w14:paraId="7CC084BB" w14:textId="77777777" w:rsidR="000337A3" w:rsidRPr="002B3F36" w:rsidRDefault="000337A3" w:rsidP="000337A3">
            <w:pPr>
              <w:pStyle w:val="BulletTable"/>
              <w:rPr>
                <w:color w:val="auto"/>
                <w:sz w:val="20"/>
                <w:szCs w:val="20"/>
              </w:rPr>
            </w:pPr>
            <w:r w:rsidRPr="002B3F36">
              <w:rPr>
                <w:color w:val="auto"/>
                <w:sz w:val="20"/>
                <w:szCs w:val="20"/>
              </w:rPr>
              <w:t>Risks of gender-based violence (GBV) and harassment at construction sites and in worker–community interactions.</w:t>
            </w:r>
          </w:p>
          <w:p w14:paraId="00B0FA71" w14:textId="7636CFD4" w:rsidR="000337A3" w:rsidRPr="002B3F36" w:rsidRDefault="000337A3" w:rsidP="000337A3">
            <w:pPr>
              <w:pStyle w:val="BulletTable"/>
              <w:rPr>
                <w:color w:val="auto"/>
                <w:sz w:val="20"/>
                <w:szCs w:val="20"/>
              </w:rPr>
            </w:pPr>
            <w:r w:rsidRPr="002B3F36">
              <w:rPr>
                <w:color w:val="auto"/>
                <w:sz w:val="20"/>
                <w:szCs w:val="20"/>
              </w:rPr>
              <w:t xml:space="preserve">Land acquisition and resettlement </w:t>
            </w:r>
            <w:r w:rsidR="001F09B4" w:rsidRPr="002B3F36">
              <w:rPr>
                <w:color w:val="auto"/>
                <w:sz w:val="20"/>
                <w:szCs w:val="20"/>
              </w:rPr>
              <w:t>impacts.</w:t>
            </w:r>
          </w:p>
          <w:p w14:paraId="208461F2" w14:textId="73F9BDB1" w:rsidR="000337A3" w:rsidRPr="002B3F36" w:rsidRDefault="000337A3" w:rsidP="000337A3">
            <w:pPr>
              <w:pStyle w:val="BulletTable"/>
              <w:rPr>
                <w:color w:val="auto"/>
                <w:sz w:val="20"/>
                <w:szCs w:val="20"/>
              </w:rPr>
            </w:pPr>
            <w:r w:rsidRPr="002B3F36">
              <w:rPr>
                <w:color w:val="auto"/>
                <w:sz w:val="20"/>
                <w:szCs w:val="20"/>
              </w:rPr>
              <w:t>Disruption to local land-use patterns, food security, and land values.</w:t>
            </w:r>
          </w:p>
          <w:p w14:paraId="6BE506E2" w14:textId="26AB1E16" w:rsidR="00F61F8E" w:rsidRPr="002B3F36" w:rsidRDefault="000337A3" w:rsidP="000337A3">
            <w:pPr>
              <w:pStyle w:val="BulletTable"/>
              <w:rPr>
                <w:color w:val="auto"/>
                <w:sz w:val="20"/>
                <w:szCs w:val="20"/>
              </w:rPr>
            </w:pPr>
            <w:r w:rsidRPr="002B3F36">
              <w:rPr>
                <w:color w:val="auto"/>
                <w:sz w:val="20"/>
                <w:szCs w:val="20"/>
              </w:rPr>
              <w:t>Community health and safety impacts</w:t>
            </w:r>
          </w:p>
        </w:tc>
        <w:tc>
          <w:tcPr>
            <w:tcW w:w="5822" w:type="dxa"/>
          </w:tcPr>
          <w:p w14:paraId="129E4C1F" w14:textId="77777777" w:rsidR="000337A3" w:rsidRPr="002B3F36" w:rsidRDefault="000337A3" w:rsidP="000337A3">
            <w:pPr>
              <w:pStyle w:val="TextinTable"/>
              <w:ind w:left="346" w:hanging="274"/>
              <w:rPr>
                <w:color w:val="auto"/>
                <w:sz w:val="20"/>
                <w:szCs w:val="20"/>
              </w:rPr>
            </w:pPr>
            <w:r w:rsidRPr="002B3F36">
              <w:rPr>
                <w:color w:val="auto"/>
                <w:sz w:val="20"/>
                <w:szCs w:val="20"/>
              </w:rPr>
              <w:lastRenderedPageBreak/>
              <w:t>•</w:t>
            </w:r>
            <w:r w:rsidRPr="002B3F36">
              <w:rPr>
                <w:color w:val="auto"/>
                <w:sz w:val="20"/>
                <w:szCs w:val="20"/>
              </w:rPr>
              <w:tab/>
              <w:t>Disproportionate impacts on vulnerable groups, including small farmers, herders, and women-headed households.</w:t>
            </w:r>
          </w:p>
          <w:p w14:paraId="5DDAF017" w14:textId="77777777" w:rsidR="000337A3" w:rsidRPr="002B3F36" w:rsidRDefault="000337A3" w:rsidP="000337A3">
            <w:pPr>
              <w:pStyle w:val="TextinTable"/>
              <w:ind w:left="346" w:hanging="274"/>
              <w:rPr>
                <w:color w:val="auto"/>
                <w:sz w:val="20"/>
                <w:szCs w:val="20"/>
              </w:rPr>
            </w:pPr>
            <w:r w:rsidRPr="002B3F36">
              <w:rPr>
                <w:color w:val="auto"/>
                <w:sz w:val="20"/>
                <w:szCs w:val="20"/>
              </w:rPr>
              <w:t>•</w:t>
            </w:r>
            <w:r w:rsidRPr="002B3F36">
              <w:rPr>
                <w:color w:val="auto"/>
                <w:sz w:val="20"/>
                <w:szCs w:val="20"/>
              </w:rPr>
              <w:tab/>
              <w:t>Risks of gender-based violence (GBV) and harassment at construction sites and in worker–community interactions.</w:t>
            </w:r>
          </w:p>
          <w:p w14:paraId="3339905A" w14:textId="77777777" w:rsidR="000337A3" w:rsidRPr="002B3F36" w:rsidRDefault="000337A3" w:rsidP="000337A3">
            <w:pPr>
              <w:pStyle w:val="TextinTable"/>
              <w:ind w:left="346" w:hanging="274"/>
              <w:rPr>
                <w:color w:val="auto"/>
                <w:sz w:val="20"/>
                <w:szCs w:val="20"/>
              </w:rPr>
            </w:pPr>
            <w:r w:rsidRPr="002B3F36">
              <w:rPr>
                <w:color w:val="auto"/>
                <w:sz w:val="20"/>
                <w:szCs w:val="20"/>
              </w:rPr>
              <w:t>•</w:t>
            </w:r>
            <w:r w:rsidRPr="002B3F36">
              <w:rPr>
                <w:color w:val="auto"/>
                <w:sz w:val="20"/>
                <w:szCs w:val="20"/>
              </w:rPr>
              <w:tab/>
              <w:t>Land acquisition and resettlement impacts, including loss of pastureland and restricted access to seasonal grazing routes.</w:t>
            </w:r>
          </w:p>
          <w:p w14:paraId="4263990C" w14:textId="77777777" w:rsidR="000337A3" w:rsidRPr="002B3F36" w:rsidRDefault="000337A3" w:rsidP="000337A3">
            <w:pPr>
              <w:pStyle w:val="TextinTable"/>
              <w:ind w:left="346" w:hanging="274"/>
              <w:rPr>
                <w:color w:val="auto"/>
                <w:sz w:val="20"/>
                <w:szCs w:val="20"/>
              </w:rPr>
            </w:pPr>
            <w:r w:rsidRPr="002B3F36">
              <w:rPr>
                <w:color w:val="auto"/>
                <w:sz w:val="20"/>
                <w:szCs w:val="20"/>
              </w:rPr>
              <w:lastRenderedPageBreak/>
              <w:t>•</w:t>
            </w:r>
            <w:r w:rsidRPr="002B3F36">
              <w:rPr>
                <w:color w:val="auto"/>
                <w:sz w:val="20"/>
                <w:szCs w:val="20"/>
              </w:rPr>
              <w:tab/>
              <w:t>Disruption to local land-use patterns, food security, and land values, with potential escalation into land-related disputes.</w:t>
            </w:r>
          </w:p>
          <w:p w14:paraId="3FF647F3" w14:textId="5F779F66" w:rsidR="00F61F8E" w:rsidRPr="002B3F36" w:rsidRDefault="000337A3" w:rsidP="000337A3">
            <w:pPr>
              <w:pStyle w:val="TextinTable"/>
              <w:ind w:left="346" w:hanging="274"/>
              <w:rPr>
                <w:iCs/>
                <w:sz w:val="20"/>
                <w:szCs w:val="20"/>
              </w:rPr>
            </w:pPr>
            <w:r w:rsidRPr="002B3F36">
              <w:rPr>
                <w:color w:val="auto"/>
                <w:sz w:val="20"/>
                <w:szCs w:val="20"/>
              </w:rPr>
              <w:t xml:space="preserve">Community health and safety impacts, including exposure to noise, dust, vibration, and </w:t>
            </w:r>
            <w:r w:rsidR="001F09B4" w:rsidRPr="002B3F36">
              <w:rPr>
                <w:color w:val="auto"/>
                <w:sz w:val="20"/>
                <w:szCs w:val="20"/>
              </w:rPr>
              <w:t>access</w:t>
            </w:r>
            <w:r w:rsidRPr="002B3F36">
              <w:rPr>
                <w:color w:val="auto"/>
                <w:sz w:val="20"/>
                <w:szCs w:val="20"/>
              </w:rPr>
              <w:t xml:space="preserve"> road accidents</w:t>
            </w:r>
          </w:p>
        </w:tc>
        <w:tc>
          <w:tcPr>
            <w:tcW w:w="1751" w:type="dxa"/>
          </w:tcPr>
          <w:p w14:paraId="66331569" w14:textId="0480609D" w:rsidR="00F61F8E" w:rsidRPr="002B3F36" w:rsidRDefault="00A77298">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w:t>
            </w:r>
            <w:r w:rsidR="000F264B" w:rsidRPr="002B3F36">
              <w:rPr>
                <w:rFonts w:ascii="Arial" w:eastAsia="Arial" w:hAnsi="Arial" w:cs="Arial"/>
                <w:sz w:val="20"/>
                <w:szCs w:val="20"/>
                <w:u w:val="single"/>
                <w:lang w:val="en-AU"/>
              </w:rPr>
              <w:t xml:space="preserve"> and Design Consultants</w:t>
            </w:r>
            <w:r w:rsidR="000F264B" w:rsidRPr="002B3F36">
              <w:rPr>
                <w:rFonts w:ascii="Arial" w:eastAsia="Arial" w:hAnsi="Arial" w:cs="Arial"/>
                <w:sz w:val="20"/>
                <w:szCs w:val="20"/>
                <w:lang w:val="en-AU"/>
              </w:rPr>
              <w:t xml:space="preserve"> </w:t>
            </w:r>
          </w:p>
        </w:tc>
        <w:tc>
          <w:tcPr>
            <w:tcW w:w="1332" w:type="dxa"/>
          </w:tcPr>
          <w:p w14:paraId="50C938B5"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Design Stage (prior to construction</w:t>
            </w:r>
            <w:r w:rsidRPr="002B3F36">
              <w:rPr>
                <w:rFonts w:ascii="Arial" w:eastAsia="Calibri" w:hAnsi="Arial" w:cs="Arial"/>
                <w:sz w:val="20"/>
                <w:szCs w:val="20"/>
              </w:rPr>
              <w:t xml:space="preserve"> /Budget in Consultancy</w:t>
            </w:r>
          </w:p>
        </w:tc>
      </w:tr>
      <w:tr w:rsidR="00F61F8E" w:rsidRPr="002B3F36" w14:paraId="2AD1FD50" w14:textId="77777777" w:rsidTr="0089733D">
        <w:tc>
          <w:tcPr>
            <w:tcW w:w="1180" w:type="dxa"/>
          </w:tcPr>
          <w:p w14:paraId="2BC04838"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180" w:type="dxa"/>
          </w:tcPr>
          <w:p w14:paraId="0A9F6330"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9047" w:type="dxa"/>
            <w:gridSpan w:val="2"/>
          </w:tcPr>
          <w:p w14:paraId="1FACEFEC" w14:textId="1432A5AD" w:rsidR="00F61F8E" w:rsidRPr="002B3F36" w:rsidRDefault="000F264B">
            <w:pPr>
              <w:shd w:val="clear" w:color="auto" w:fill="FFFFFF"/>
              <w:suppressAutoHyphens/>
              <w:ind w:right="34"/>
              <w:jc w:val="both"/>
              <w:rPr>
                <w:rFonts w:ascii="Arial" w:eastAsia="Calibri" w:hAnsi="Arial" w:cs="Arial"/>
                <w:b/>
                <w:sz w:val="20"/>
                <w:szCs w:val="20"/>
              </w:rPr>
            </w:pPr>
            <w:r w:rsidRPr="002B3F36">
              <w:rPr>
                <w:rFonts w:ascii="Arial" w:hAnsi="Arial" w:cs="Arial"/>
                <w:b/>
                <w:bCs/>
                <w:sz w:val="20"/>
                <w:szCs w:val="20"/>
              </w:rPr>
              <w:t>During Construction Phase (</w:t>
            </w:r>
            <w:r w:rsidR="000C7CC2" w:rsidRPr="002B3F36">
              <w:rPr>
                <w:rFonts w:ascii="Arial" w:hAnsi="Arial" w:cs="Arial"/>
                <w:b/>
                <w:bCs/>
                <w:sz w:val="20"/>
                <w:szCs w:val="20"/>
              </w:rPr>
              <w:t>PS</w:t>
            </w:r>
            <w:r w:rsidRPr="002B3F36">
              <w:rPr>
                <w:rFonts w:ascii="Arial" w:hAnsi="Arial" w:cs="Arial"/>
                <w:b/>
                <w:bCs/>
                <w:sz w:val="20"/>
                <w:szCs w:val="20"/>
              </w:rPr>
              <w:t xml:space="preserve"> 2)</w:t>
            </w:r>
          </w:p>
        </w:tc>
        <w:tc>
          <w:tcPr>
            <w:tcW w:w="1751" w:type="dxa"/>
          </w:tcPr>
          <w:p w14:paraId="487CEF26"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332" w:type="dxa"/>
          </w:tcPr>
          <w:p w14:paraId="7BEF6A67"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r>
      <w:tr w:rsidR="00F61F8E" w:rsidRPr="002B3F36" w14:paraId="65EB4751" w14:textId="77777777" w:rsidTr="0089733D">
        <w:tc>
          <w:tcPr>
            <w:tcW w:w="1180" w:type="dxa"/>
          </w:tcPr>
          <w:p w14:paraId="54EF9E55"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Labor Influx</w:t>
            </w:r>
          </w:p>
        </w:tc>
        <w:tc>
          <w:tcPr>
            <w:tcW w:w="1180" w:type="dxa"/>
          </w:tcPr>
          <w:p w14:paraId="079A0C88"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Labor Influx and Labor Conditions</w:t>
            </w:r>
          </w:p>
        </w:tc>
        <w:tc>
          <w:tcPr>
            <w:tcW w:w="3225" w:type="dxa"/>
          </w:tcPr>
          <w:p w14:paraId="3BDF753A" w14:textId="77777777" w:rsidR="00F61F8E" w:rsidRPr="002B3F36" w:rsidRDefault="000F264B">
            <w:pPr>
              <w:pStyle w:val="BulletTable"/>
              <w:numPr>
                <w:ilvl w:val="0"/>
                <w:numId w:val="0"/>
              </w:numPr>
              <w:rPr>
                <w:color w:val="auto"/>
                <w:sz w:val="20"/>
                <w:szCs w:val="20"/>
              </w:rPr>
            </w:pPr>
            <w:r w:rsidRPr="002B3F36">
              <w:rPr>
                <w:color w:val="auto"/>
                <w:sz w:val="20"/>
                <w:szCs w:val="20"/>
              </w:rPr>
              <w:t>(For details, refer to LMP)</w:t>
            </w:r>
          </w:p>
          <w:p w14:paraId="06A11847" w14:textId="77777777" w:rsidR="00F61F8E" w:rsidRPr="002B3F36" w:rsidRDefault="000F264B">
            <w:pPr>
              <w:pStyle w:val="BulletTable"/>
              <w:numPr>
                <w:ilvl w:val="0"/>
                <w:numId w:val="0"/>
              </w:numPr>
              <w:rPr>
                <w:color w:val="auto"/>
                <w:sz w:val="20"/>
                <w:szCs w:val="20"/>
              </w:rPr>
            </w:pPr>
            <w:r w:rsidRPr="002B3F36">
              <w:rPr>
                <w:color w:val="auto"/>
                <w:sz w:val="20"/>
                <w:szCs w:val="20"/>
              </w:rPr>
              <w:t>Labor Risks</w:t>
            </w:r>
          </w:p>
          <w:p w14:paraId="6D2D05FA"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Recruitment and selection</w:t>
            </w:r>
          </w:p>
          <w:p w14:paraId="734B2BC6" w14:textId="77777777" w:rsidR="00F61F8E" w:rsidRPr="002B3F36" w:rsidRDefault="000F264B" w:rsidP="009B4CDB">
            <w:pPr>
              <w:pStyle w:val="DashinTable"/>
              <w:framePr w:wrap="around"/>
              <w:numPr>
                <w:ilvl w:val="0"/>
                <w:numId w:val="5"/>
              </w:numPr>
              <w:tabs>
                <w:tab w:val="clear" w:pos="540"/>
                <w:tab w:val="clear" w:pos="542"/>
              </w:tabs>
              <w:rPr>
                <w:color w:val="auto"/>
              </w:rPr>
            </w:pPr>
            <w:r w:rsidRPr="002B3F36">
              <w:rPr>
                <w:color w:val="auto"/>
              </w:rPr>
              <w:t>Perception of un-fair recruitment</w:t>
            </w:r>
          </w:p>
          <w:p w14:paraId="25DB30C2" w14:textId="77777777" w:rsidR="00F61F8E" w:rsidRPr="002B3F36" w:rsidRDefault="000F264B" w:rsidP="009B4CDB">
            <w:pPr>
              <w:pStyle w:val="DashinTable"/>
              <w:framePr w:wrap="around"/>
              <w:numPr>
                <w:ilvl w:val="0"/>
                <w:numId w:val="5"/>
              </w:numPr>
              <w:tabs>
                <w:tab w:val="clear" w:pos="540"/>
                <w:tab w:val="clear" w:pos="542"/>
              </w:tabs>
              <w:rPr>
                <w:color w:val="auto"/>
              </w:rPr>
            </w:pPr>
            <w:r w:rsidRPr="002B3F36">
              <w:rPr>
                <w:color w:val="auto"/>
              </w:rPr>
              <w:t>Community tensions – stop work</w:t>
            </w:r>
          </w:p>
          <w:p w14:paraId="64EA569E"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Conditions of employment, what people earn\benefits.</w:t>
            </w:r>
          </w:p>
          <w:p w14:paraId="0D09EAEE" w14:textId="5A68AEBE" w:rsidR="00F61F8E" w:rsidRPr="002B3F36" w:rsidRDefault="000F264B">
            <w:pPr>
              <w:pStyle w:val="BulletTable"/>
              <w:tabs>
                <w:tab w:val="clear" w:pos="540"/>
                <w:tab w:val="clear" w:pos="542"/>
              </w:tabs>
              <w:rPr>
                <w:color w:val="auto"/>
                <w:sz w:val="20"/>
                <w:szCs w:val="20"/>
              </w:rPr>
            </w:pPr>
            <w:r w:rsidRPr="002B3F36">
              <w:rPr>
                <w:color w:val="auto"/>
                <w:sz w:val="20"/>
                <w:szCs w:val="20"/>
              </w:rPr>
              <w:t>Labor relations</w:t>
            </w:r>
            <w:r w:rsidR="00CD5B2B" w:rsidRPr="002B3F36">
              <w:rPr>
                <w:color w:val="auto"/>
                <w:sz w:val="20"/>
                <w:szCs w:val="20"/>
              </w:rPr>
              <w:t xml:space="preserve"> </w:t>
            </w:r>
            <w:r w:rsidRPr="002B3F36">
              <w:rPr>
                <w:color w:val="auto"/>
                <w:sz w:val="20"/>
                <w:szCs w:val="20"/>
              </w:rPr>
              <w:t>– cultural diversity</w:t>
            </w:r>
          </w:p>
          <w:p w14:paraId="508665C8" w14:textId="7D049107" w:rsidR="00F61F8E" w:rsidRPr="002B3F36" w:rsidRDefault="000F264B">
            <w:pPr>
              <w:pStyle w:val="BulletTable"/>
              <w:tabs>
                <w:tab w:val="clear" w:pos="540"/>
                <w:tab w:val="clear" w:pos="542"/>
              </w:tabs>
              <w:rPr>
                <w:color w:val="auto"/>
                <w:sz w:val="20"/>
                <w:szCs w:val="20"/>
              </w:rPr>
            </w:pPr>
            <w:r w:rsidRPr="002B3F36">
              <w:rPr>
                <w:color w:val="auto"/>
                <w:sz w:val="20"/>
                <w:szCs w:val="20"/>
              </w:rPr>
              <w:t>Labor relations</w:t>
            </w:r>
            <w:r w:rsidR="00CD5B2B" w:rsidRPr="002B3F36">
              <w:rPr>
                <w:color w:val="auto"/>
                <w:sz w:val="20"/>
                <w:szCs w:val="20"/>
              </w:rPr>
              <w:t xml:space="preserve"> </w:t>
            </w:r>
            <w:r w:rsidRPr="002B3F36">
              <w:rPr>
                <w:color w:val="auto"/>
                <w:sz w:val="20"/>
                <w:szCs w:val="20"/>
              </w:rPr>
              <w:t xml:space="preserve">– conflict handling </w:t>
            </w:r>
          </w:p>
          <w:p w14:paraId="4EFB81C5" w14:textId="333CA9DD" w:rsidR="00F61F8E" w:rsidRPr="002B3F36" w:rsidRDefault="000F264B">
            <w:pPr>
              <w:pStyle w:val="BulletTable"/>
              <w:tabs>
                <w:tab w:val="clear" w:pos="540"/>
                <w:tab w:val="clear" w:pos="542"/>
              </w:tabs>
              <w:rPr>
                <w:color w:val="auto"/>
                <w:sz w:val="20"/>
                <w:szCs w:val="20"/>
              </w:rPr>
            </w:pPr>
            <w:r w:rsidRPr="002B3F36">
              <w:rPr>
                <w:color w:val="auto"/>
                <w:sz w:val="20"/>
                <w:szCs w:val="20"/>
              </w:rPr>
              <w:lastRenderedPageBreak/>
              <w:t>Labor relations</w:t>
            </w:r>
            <w:r w:rsidR="00CD5B2B" w:rsidRPr="002B3F36">
              <w:rPr>
                <w:color w:val="auto"/>
                <w:sz w:val="20"/>
                <w:szCs w:val="20"/>
              </w:rPr>
              <w:t xml:space="preserve"> </w:t>
            </w:r>
            <w:r w:rsidRPr="002B3F36">
              <w:rPr>
                <w:color w:val="auto"/>
                <w:sz w:val="20"/>
                <w:szCs w:val="20"/>
              </w:rPr>
              <w:t>– worker engagement mechanisms</w:t>
            </w:r>
          </w:p>
          <w:p w14:paraId="21AE53C9"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Project retrenchment effects on production activities</w:t>
            </w:r>
          </w:p>
          <w:p w14:paraId="37D10B1B" w14:textId="1BA641F5"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Currently employed workers for </w:t>
            </w:r>
            <w:r w:rsidR="004758AA" w:rsidRPr="002B3F36">
              <w:rPr>
                <w:color w:val="auto"/>
                <w:sz w:val="20"/>
                <w:szCs w:val="20"/>
              </w:rPr>
              <w:t>rail</w:t>
            </w:r>
            <w:r w:rsidRPr="002B3F36">
              <w:rPr>
                <w:color w:val="auto"/>
                <w:sz w:val="20"/>
                <w:szCs w:val="20"/>
              </w:rPr>
              <w:t>road maintenance in RMD</w:t>
            </w:r>
          </w:p>
          <w:p w14:paraId="69A3D06A" w14:textId="394D418D" w:rsidR="00F61F8E" w:rsidRPr="002B3F36" w:rsidRDefault="000F264B">
            <w:pPr>
              <w:pStyle w:val="BulletTable"/>
              <w:tabs>
                <w:tab w:val="clear" w:pos="540"/>
                <w:tab w:val="clear" w:pos="542"/>
              </w:tabs>
              <w:rPr>
                <w:color w:val="auto"/>
                <w:sz w:val="20"/>
                <w:szCs w:val="20"/>
              </w:rPr>
            </w:pPr>
            <w:r w:rsidRPr="002B3F36">
              <w:rPr>
                <w:color w:val="auto"/>
                <w:sz w:val="20"/>
                <w:szCs w:val="20"/>
              </w:rPr>
              <w:t>Labor and working conditions</w:t>
            </w:r>
            <w:r w:rsidR="00CD5B2B" w:rsidRPr="002B3F36">
              <w:rPr>
                <w:color w:val="auto"/>
                <w:sz w:val="20"/>
                <w:szCs w:val="20"/>
              </w:rPr>
              <w:t xml:space="preserve"> </w:t>
            </w:r>
            <w:r w:rsidRPr="002B3F36">
              <w:rPr>
                <w:color w:val="auto"/>
                <w:sz w:val="20"/>
                <w:szCs w:val="20"/>
              </w:rPr>
              <w:t>– contract workers.</w:t>
            </w:r>
          </w:p>
          <w:p w14:paraId="4C7F68E5"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Foreign and national workers</w:t>
            </w:r>
          </w:p>
          <w:p w14:paraId="4EE7F2BB"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Cultural Differences and Work Practices</w:t>
            </w:r>
          </w:p>
          <w:p w14:paraId="3357CC19"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Legal and Regula-tory Compliance</w:t>
            </w:r>
          </w:p>
          <w:p w14:paraId="4A3D9E98"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Issues on Worker accommodation building specifications (camps)</w:t>
            </w:r>
          </w:p>
          <w:p w14:paraId="38F9F9F2"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Issues on Camp management practices, etc.</w:t>
            </w:r>
          </w:p>
        </w:tc>
        <w:tc>
          <w:tcPr>
            <w:tcW w:w="5822" w:type="dxa"/>
          </w:tcPr>
          <w:p w14:paraId="68F692C0"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lastRenderedPageBreak/>
              <w:t xml:space="preserve">Project Human Resources policy and/or procedure. </w:t>
            </w:r>
          </w:p>
          <w:p w14:paraId="5668C7C9"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National employment strategy that is transparent, well communicated and implemented. </w:t>
            </w:r>
          </w:p>
          <w:p w14:paraId="0CC5436A" w14:textId="63D895E3" w:rsidR="00F61F8E" w:rsidRPr="002B3F36" w:rsidRDefault="000F264B">
            <w:pPr>
              <w:pStyle w:val="BulletTable"/>
              <w:tabs>
                <w:tab w:val="clear" w:pos="540"/>
                <w:tab w:val="clear" w:pos="542"/>
              </w:tabs>
              <w:rPr>
                <w:color w:val="auto"/>
                <w:sz w:val="20"/>
                <w:szCs w:val="20"/>
              </w:rPr>
            </w:pPr>
            <w:r w:rsidRPr="002B3F36">
              <w:rPr>
                <w:color w:val="auto"/>
                <w:sz w:val="20"/>
                <w:szCs w:val="20"/>
              </w:rPr>
              <w:t>Cultural awareness programs</w:t>
            </w:r>
          </w:p>
          <w:p w14:paraId="06B7E160"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Grievance procedure</w:t>
            </w:r>
          </w:p>
          <w:p w14:paraId="574DC543"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Effective communication and engagement mechanisms</w:t>
            </w:r>
          </w:p>
          <w:p w14:paraId="5D958DAE"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Comprehensive retrenchment procedure and strategy</w:t>
            </w:r>
          </w:p>
          <w:p w14:paraId="56F3C63D"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Contractor to use reputable and legitimate agencies to recruit foreign\local workers</w:t>
            </w:r>
          </w:p>
          <w:p w14:paraId="6108E7CD" w14:textId="17B48661" w:rsidR="00F61F8E" w:rsidRPr="002B3F36" w:rsidRDefault="007A7EB9">
            <w:pPr>
              <w:pStyle w:val="BulletTable"/>
              <w:tabs>
                <w:tab w:val="clear" w:pos="540"/>
                <w:tab w:val="clear" w:pos="542"/>
              </w:tabs>
              <w:rPr>
                <w:color w:val="auto"/>
                <w:sz w:val="20"/>
                <w:szCs w:val="20"/>
              </w:rPr>
            </w:pPr>
            <w:r w:rsidRPr="002B3F36">
              <w:rPr>
                <w:color w:val="auto"/>
                <w:sz w:val="20"/>
                <w:szCs w:val="20"/>
              </w:rPr>
              <w:t>C</w:t>
            </w:r>
            <w:r w:rsidR="000F264B" w:rsidRPr="002B3F36">
              <w:rPr>
                <w:color w:val="auto"/>
                <w:sz w:val="20"/>
                <w:szCs w:val="20"/>
              </w:rPr>
              <w:t>ontractor is to provide Contracts of Employment with:</w:t>
            </w:r>
          </w:p>
          <w:p w14:paraId="2DB194EA"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Provide language training or interpreters.</w:t>
            </w:r>
          </w:p>
          <w:p w14:paraId="10AAAF00" w14:textId="4754CEA5" w:rsidR="00F61F8E" w:rsidRPr="002B3F36" w:rsidRDefault="000F264B">
            <w:pPr>
              <w:pStyle w:val="BulletTable"/>
              <w:tabs>
                <w:tab w:val="clear" w:pos="540"/>
                <w:tab w:val="clear" w:pos="542"/>
              </w:tabs>
              <w:rPr>
                <w:color w:val="auto"/>
                <w:sz w:val="20"/>
                <w:szCs w:val="20"/>
              </w:rPr>
            </w:pPr>
            <w:r w:rsidRPr="002B3F36">
              <w:rPr>
                <w:color w:val="auto"/>
                <w:sz w:val="20"/>
                <w:szCs w:val="20"/>
              </w:rPr>
              <w:t>Use visual aids, symbols, and standardized safety.</w:t>
            </w:r>
          </w:p>
          <w:p w14:paraId="7F084C3E" w14:textId="1B886FA1" w:rsidR="00F61F8E" w:rsidRPr="002B3F36" w:rsidRDefault="000F264B">
            <w:pPr>
              <w:pStyle w:val="BulletTable"/>
              <w:tabs>
                <w:tab w:val="clear" w:pos="540"/>
                <w:tab w:val="clear" w:pos="542"/>
              </w:tabs>
              <w:rPr>
                <w:color w:val="auto"/>
                <w:sz w:val="20"/>
                <w:szCs w:val="20"/>
              </w:rPr>
            </w:pPr>
            <w:r w:rsidRPr="002B3F36">
              <w:rPr>
                <w:color w:val="auto"/>
                <w:sz w:val="20"/>
                <w:szCs w:val="20"/>
              </w:rPr>
              <w:t>Encourage open communication</w:t>
            </w:r>
          </w:p>
          <w:p w14:paraId="7C61DE08"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Conduct cultural sensitivity training to raise awareness</w:t>
            </w:r>
          </w:p>
          <w:p w14:paraId="518FCE51"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lastRenderedPageBreak/>
              <w:t>Provide comprehensive training programs</w:t>
            </w:r>
          </w:p>
          <w:p w14:paraId="14EAEB8B" w14:textId="0BD2E50D"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Build camps to specifications for </w:t>
            </w:r>
            <w:r w:rsidR="001F09B4" w:rsidRPr="002B3F36">
              <w:rPr>
                <w:color w:val="auto"/>
                <w:sz w:val="20"/>
                <w:szCs w:val="20"/>
              </w:rPr>
              <w:t>workers</w:t>
            </w:r>
            <w:r w:rsidR="007A7EB9" w:rsidRPr="002B3F36">
              <w:rPr>
                <w:color w:val="auto"/>
                <w:sz w:val="20"/>
                <w:szCs w:val="20"/>
              </w:rPr>
              <w:t xml:space="preserve">’ </w:t>
            </w:r>
            <w:r w:rsidRPr="002B3F36">
              <w:rPr>
                <w:color w:val="auto"/>
                <w:sz w:val="20"/>
                <w:szCs w:val="20"/>
              </w:rPr>
              <w:t>accommodation</w:t>
            </w:r>
          </w:p>
          <w:p w14:paraId="135AFF7A" w14:textId="02C60582" w:rsidR="00F61F8E" w:rsidRPr="002B3F36" w:rsidRDefault="000F264B">
            <w:pPr>
              <w:pStyle w:val="BulletTable"/>
              <w:tabs>
                <w:tab w:val="clear" w:pos="540"/>
                <w:tab w:val="clear" w:pos="542"/>
              </w:tabs>
              <w:rPr>
                <w:color w:val="auto"/>
                <w:sz w:val="20"/>
                <w:szCs w:val="20"/>
              </w:rPr>
            </w:pPr>
            <w:r w:rsidRPr="002B3F36">
              <w:rPr>
                <w:color w:val="auto"/>
                <w:sz w:val="20"/>
                <w:szCs w:val="20"/>
              </w:rPr>
              <w:t>Implement an induction program to be attended by all residents that covering relevant topics on camp management</w:t>
            </w:r>
            <w:r w:rsidR="007A7EB9" w:rsidRPr="002B3F36">
              <w:rPr>
                <w:color w:val="auto"/>
                <w:sz w:val="20"/>
                <w:szCs w:val="20"/>
              </w:rPr>
              <w:t>.</w:t>
            </w:r>
          </w:p>
          <w:p w14:paraId="2507A5D7" w14:textId="1514684F" w:rsidR="00F61F8E" w:rsidRPr="002B3F36" w:rsidRDefault="000F264B">
            <w:pPr>
              <w:pStyle w:val="BulletTable"/>
              <w:tabs>
                <w:tab w:val="clear" w:pos="540"/>
                <w:tab w:val="clear" w:pos="542"/>
              </w:tabs>
              <w:rPr>
                <w:color w:val="auto"/>
                <w:sz w:val="20"/>
                <w:szCs w:val="20"/>
              </w:rPr>
            </w:pPr>
            <w:r w:rsidRPr="002B3F36">
              <w:rPr>
                <w:color w:val="auto"/>
                <w:sz w:val="20"/>
                <w:szCs w:val="20"/>
              </w:rPr>
              <w:t>All the project workers to be hired, whether direct, contracted or sub-contracted, will be employed based on the principles of nondiscrimination and equal opportunity</w:t>
            </w:r>
            <w:r w:rsidR="00933AB6" w:rsidRPr="002B3F36">
              <w:rPr>
                <w:color w:val="auto"/>
                <w:sz w:val="20"/>
                <w:szCs w:val="20"/>
              </w:rPr>
              <w:t>.</w:t>
            </w:r>
          </w:p>
          <w:p w14:paraId="3171FDA0" w14:textId="4173D796"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The KTZ (and the CS Consultant) will assess the contractor’s internal HR procedures to ensure consistency with </w:t>
            </w:r>
            <w:r w:rsidR="000C7CC2" w:rsidRPr="002B3F36">
              <w:rPr>
                <w:color w:val="auto"/>
                <w:sz w:val="20"/>
                <w:szCs w:val="20"/>
              </w:rPr>
              <w:t>PS</w:t>
            </w:r>
            <w:r w:rsidRPr="002B3F36">
              <w:rPr>
                <w:color w:val="auto"/>
                <w:sz w:val="20"/>
                <w:szCs w:val="20"/>
              </w:rPr>
              <w:t>2.</w:t>
            </w:r>
          </w:p>
          <w:p w14:paraId="7D1BB8C4" w14:textId="579DC524" w:rsidR="00F61F8E" w:rsidRPr="002B3F36" w:rsidRDefault="000F264B">
            <w:pPr>
              <w:pStyle w:val="BulletTable"/>
              <w:tabs>
                <w:tab w:val="clear" w:pos="540"/>
                <w:tab w:val="clear" w:pos="542"/>
              </w:tabs>
              <w:rPr>
                <w:color w:val="auto"/>
                <w:sz w:val="20"/>
                <w:szCs w:val="20"/>
              </w:rPr>
            </w:pPr>
            <w:r w:rsidRPr="002B3F36">
              <w:rPr>
                <w:color w:val="auto"/>
                <w:sz w:val="20"/>
                <w:szCs w:val="20"/>
              </w:rPr>
              <w:t>For Overtime work &amp; non-payment of salary risks: (1) making sure that all direct workers, part-time, assignment-based construction workers have written con-tracts with overtime work accounting provisions construction; (2) establishing a Grievance Redress Mechanisms (GRM) for direct workers and contracted workers</w:t>
            </w:r>
            <w:r w:rsidR="007A7EB9" w:rsidRPr="002B3F36">
              <w:rPr>
                <w:color w:val="auto"/>
                <w:sz w:val="20"/>
                <w:szCs w:val="20"/>
              </w:rPr>
              <w:t>.</w:t>
            </w:r>
          </w:p>
          <w:p w14:paraId="2B8C28A5" w14:textId="77777777" w:rsidR="00F61F8E" w:rsidRPr="002B3F36" w:rsidRDefault="00F61F8E">
            <w:pPr>
              <w:pStyle w:val="BulletTable"/>
              <w:numPr>
                <w:ilvl w:val="0"/>
                <w:numId w:val="0"/>
              </w:numPr>
              <w:ind w:left="356"/>
              <w:rPr>
                <w:color w:val="auto"/>
                <w:sz w:val="20"/>
                <w:szCs w:val="20"/>
              </w:rPr>
            </w:pPr>
          </w:p>
          <w:p w14:paraId="3B001C15" w14:textId="77777777" w:rsidR="00F61F8E" w:rsidRPr="002B3F36" w:rsidRDefault="000F264B">
            <w:pPr>
              <w:pStyle w:val="BulletTable"/>
              <w:numPr>
                <w:ilvl w:val="0"/>
                <w:numId w:val="0"/>
              </w:numPr>
              <w:ind w:left="356"/>
              <w:rPr>
                <w:color w:val="auto"/>
                <w:sz w:val="20"/>
                <w:szCs w:val="20"/>
              </w:rPr>
            </w:pPr>
            <w:r w:rsidRPr="002B3F36">
              <w:rPr>
                <w:color w:val="auto"/>
                <w:sz w:val="20"/>
                <w:szCs w:val="20"/>
              </w:rPr>
              <w:t>(Refer to LMP for details)</w:t>
            </w:r>
          </w:p>
        </w:tc>
        <w:tc>
          <w:tcPr>
            <w:tcW w:w="1751" w:type="dxa"/>
          </w:tcPr>
          <w:p w14:paraId="0E4218D0"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18BEAC78"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5CCB236F" w14:textId="77777777" w:rsidTr="0089733D">
        <w:tc>
          <w:tcPr>
            <w:tcW w:w="1180" w:type="dxa"/>
          </w:tcPr>
          <w:p w14:paraId="0E1BD275"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Occupational Health &amp; safety</w:t>
            </w:r>
          </w:p>
        </w:tc>
        <w:tc>
          <w:tcPr>
            <w:tcW w:w="1180" w:type="dxa"/>
          </w:tcPr>
          <w:p w14:paraId="5C6598C9"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Occupational Health &amp; safety during construction</w:t>
            </w:r>
          </w:p>
        </w:tc>
        <w:tc>
          <w:tcPr>
            <w:tcW w:w="3225" w:type="dxa"/>
          </w:tcPr>
          <w:p w14:paraId="40A33F65" w14:textId="77777777" w:rsidR="00F61F8E" w:rsidRPr="002B3F36" w:rsidRDefault="000F264B">
            <w:pPr>
              <w:pStyle w:val="BulletTable"/>
              <w:numPr>
                <w:ilvl w:val="0"/>
                <w:numId w:val="0"/>
              </w:numPr>
              <w:rPr>
                <w:color w:val="auto"/>
                <w:sz w:val="20"/>
                <w:szCs w:val="20"/>
              </w:rPr>
            </w:pPr>
            <w:r w:rsidRPr="002B3F36">
              <w:rPr>
                <w:color w:val="auto"/>
                <w:sz w:val="20"/>
                <w:szCs w:val="20"/>
              </w:rPr>
              <w:t>(For details, refer to LMP)</w:t>
            </w:r>
          </w:p>
          <w:p w14:paraId="51C3E081"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OHS Impacts and risks presented in LMP</w:t>
            </w:r>
          </w:p>
          <w:p w14:paraId="62889465" w14:textId="77777777" w:rsidR="00F61F8E" w:rsidRPr="002B3F36" w:rsidRDefault="00F61F8E">
            <w:pPr>
              <w:rPr>
                <w:rFonts w:ascii="Arial" w:hAnsi="Arial" w:cs="Arial"/>
                <w:sz w:val="20"/>
                <w:szCs w:val="20"/>
              </w:rPr>
            </w:pPr>
          </w:p>
        </w:tc>
        <w:tc>
          <w:tcPr>
            <w:tcW w:w="5822" w:type="dxa"/>
          </w:tcPr>
          <w:p w14:paraId="2CB1D73C"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Measures provided in the LMP for OHS</w:t>
            </w:r>
          </w:p>
        </w:tc>
        <w:tc>
          <w:tcPr>
            <w:tcW w:w="1751" w:type="dxa"/>
          </w:tcPr>
          <w:p w14:paraId="3D9AEBE5"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t>KTZ and Supervision Consultants</w:t>
            </w:r>
            <w:r w:rsidRPr="002B3F36">
              <w:rPr>
                <w:rFonts w:ascii="Arial" w:eastAsia="Arial" w:hAnsi="Arial" w:cs="Arial"/>
                <w:sz w:val="20"/>
                <w:szCs w:val="20"/>
                <w:lang w:val="en-AU"/>
              </w:rPr>
              <w:t xml:space="preserve"> to oversee;</w:t>
            </w:r>
          </w:p>
          <w:p w14:paraId="7B587486" w14:textId="77777777" w:rsidR="00F61F8E" w:rsidRPr="002B3F36" w:rsidRDefault="00F61F8E">
            <w:pPr>
              <w:suppressAutoHyphens/>
              <w:jc w:val="center"/>
              <w:rPr>
                <w:rFonts w:ascii="Arial" w:eastAsia="Arial" w:hAnsi="Arial" w:cs="Arial"/>
                <w:sz w:val="20"/>
                <w:szCs w:val="20"/>
                <w:lang w:val="en-AU"/>
              </w:rPr>
            </w:pPr>
          </w:p>
          <w:p w14:paraId="0B7B2BB3"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Contractor’s to implement </w:t>
            </w:r>
          </w:p>
        </w:tc>
        <w:tc>
          <w:tcPr>
            <w:tcW w:w="1332" w:type="dxa"/>
          </w:tcPr>
          <w:p w14:paraId="0F481E9D"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78D12A7C" w14:textId="77777777" w:rsidTr="0089733D">
        <w:tc>
          <w:tcPr>
            <w:tcW w:w="1180" w:type="dxa"/>
          </w:tcPr>
          <w:p w14:paraId="781B2E37" w14:textId="77777777" w:rsidR="00F61F8E" w:rsidRPr="002B3F36" w:rsidRDefault="000F264B">
            <w:pPr>
              <w:shd w:val="clear" w:color="auto" w:fill="FFFFFF"/>
              <w:suppressAutoHyphens/>
              <w:rPr>
                <w:rFonts w:ascii="Arial" w:hAnsi="Arial" w:cs="Arial"/>
                <w:sz w:val="20"/>
                <w:szCs w:val="20"/>
              </w:rPr>
            </w:pPr>
            <w:r w:rsidRPr="002B3F36">
              <w:rPr>
                <w:rFonts w:ascii="Arial" w:hAnsi="Arial" w:cs="Arial"/>
                <w:sz w:val="20"/>
                <w:szCs w:val="20"/>
              </w:rPr>
              <w:t>Gender Based Violence</w:t>
            </w:r>
          </w:p>
        </w:tc>
        <w:tc>
          <w:tcPr>
            <w:tcW w:w="1180" w:type="dxa"/>
          </w:tcPr>
          <w:p w14:paraId="45C8EC77"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Gender Based Violence during construction</w:t>
            </w:r>
          </w:p>
        </w:tc>
        <w:tc>
          <w:tcPr>
            <w:tcW w:w="3225" w:type="dxa"/>
          </w:tcPr>
          <w:p w14:paraId="48246E11"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Wage discrimination between men &amp; women</w:t>
            </w:r>
          </w:p>
          <w:p w14:paraId="389F5E0A"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Women friendly sitting arrangement and drinking water, sanitary facilities, etc. may not be provided</w:t>
            </w:r>
          </w:p>
          <w:p w14:paraId="54E773A2"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“Eve-teasing” and sexual abuse</w:t>
            </w:r>
          </w:p>
          <w:p w14:paraId="4E4BEB10"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lastRenderedPageBreak/>
              <w:t>Women, particularly of weaker sections may be discouraged to speak and demand equitable benefits due to cultural reasons.</w:t>
            </w:r>
          </w:p>
          <w:p w14:paraId="51859D27" w14:textId="77777777" w:rsidR="00F61F8E" w:rsidRPr="002B3F36" w:rsidRDefault="00F61F8E">
            <w:pPr>
              <w:pStyle w:val="BulletTable"/>
              <w:numPr>
                <w:ilvl w:val="0"/>
                <w:numId w:val="0"/>
              </w:numPr>
              <w:ind w:left="320"/>
              <w:rPr>
                <w:color w:val="auto"/>
                <w:sz w:val="20"/>
                <w:szCs w:val="20"/>
              </w:rPr>
            </w:pPr>
          </w:p>
        </w:tc>
        <w:tc>
          <w:tcPr>
            <w:tcW w:w="5822" w:type="dxa"/>
          </w:tcPr>
          <w:p w14:paraId="0DEAC0EE" w14:textId="28693040" w:rsidR="00F61F8E" w:rsidRPr="002B3F36" w:rsidRDefault="000F264B">
            <w:pPr>
              <w:pStyle w:val="BulletTable"/>
              <w:tabs>
                <w:tab w:val="clear" w:pos="540"/>
                <w:tab w:val="clear" w:pos="542"/>
              </w:tabs>
              <w:rPr>
                <w:color w:val="auto"/>
                <w:sz w:val="20"/>
                <w:szCs w:val="20"/>
              </w:rPr>
            </w:pPr>
            <w:r w:rsidRPr="002B3F36">
              <w:rPr>
                <w:color w:val="auto"/>
                <w:sz w:val="20"/>
                <w:szCs w:val="20"/>
              </w:rPr>
              <w:lastRenderedPageBreak/>
              <w:t xml:space="preserve">Establishing equal pay between male and female workers on the same job description </w:t>
            </w:r>
          </w:p>
          <w:p w14:paraId="01F82330"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In bidding documents and contracts, the Contractor to implement the Labor Management Plan and Codes of Conduct and Action Plan to Prevent Gender Based Violence. </w:t>
            </w:r>
          </w:p>
          <w:p w14:paraId="276A88CF"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The Contractor must arrange for trainings on GBV/IEC campaign to be provided by a recognized agency or NGO</w:t>
            </w:r>
          </w:p>
          <w:p w14:paraId="3D0F32A9" w14:textId="77777777" w:rsidR="00F61F8E" w:rsidRPr="002B3F36" w:rsidRDefault="000F264B">
            <w:pPr>
              <w:pStyle w:val="BulletTable"/>
              <w:tabs>
                <w:tab w:val="clear" w:pos="540"/>
                <w:tab w:val="clear" w:pos="542"/>
              </w:tabs>
              <w:rPr>
                <w:color w:val="auto"/>
                <w:sz w:val="20"/>
                <w:szCs w:val="20"/>
              </w:rPr>
            </w:pPr>
            <w:bookmarkStart w:id="2576" w:name="_Hlk164764604"/>
            <w:r w:rsidRPr="002B3F36">
              <w:rPr>
                <w:color w:val="auto"/>
                <w:sz w:val="20"/>
                <w:szCs w:val="20"/>
              </w:rPr>
              <w:lastRenderedPageBreak/>
              <w:t>The contractor to ensure that at least one refresher for workers on GBV</w:t>
            </w:r>
            <w:bookmarkEnd w:id="2576"/>
            <w:r w:rsidRPr="002B3F36">
              <w:rPr>
                <w:color w:val="auto"/>
                <w:sz w:val="20"/>
                <w:szCs w:val="20"/>
              </w:rPr>
              <w:t xml:space="preserve">. </w:t>
            </w:r>
          </w:p>
          <w:p w14:paraId="0B17567D"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KTZ, with contractors and other stakeholders such as local government and SEA/SH service providers, will ensure that the project GRM and workers’ GRMs include protocols, training, and accountability mechanisms such that grievances related to SEA/SH can be accepted and handled adequate with due confidentiality and ethical standards.</w:t>
            </w:r>
          </w:p>
          <w:p w14:paraId="195DABC4" w14:textId="77777777" w:rsidR="00F61F8E" w:rsidRPr="002B3F36" w:rsidRDefault="00F61F8E">
            <w:pPr>
              <w:pStyle w:val="BulletTable"/>
              <w:numPr>
                <w:ilvl w:val="0"/>
                <w:numId w:val="0"/>
              </w:numPr>
              <w:ind w:left="340"/>
              <w:rPr>
                <w:color w:val="auto"/>
                <w:sz w:val="20"/>
                <w:szCs w:val="20"/>
              </w:rPr>
            </w:pPr>
          </w:p>
          <w:p w14:paraId="39933414" w14:textId="666CDACB" w:rsidR="00F61F8E" w:rsidRPr="002B3F36" w:rsidRDefault="000F264B">
            <w:pPr>
              <w:pStyle w:val="BulletTable"/>
              <w:numPr>
                <w:ilvl w:val="0"/>
                <w:numId w:val="0"/>
              </w:numPr>
              <w:ind w:left="340"/>
              <w:rPr>
                <w:color w:val="auto"/>
                <w:sz w:val="20"/>
                <w:szCs w:val="20"/>
              </w:rPr>
            </w:pPr>
            <w:r w:rsidRPr="002B3F36">
              <w:rPr>
                <w:color w:val="auto"/>
                <w:sz w:val="20"/>
                <w:szCs w:val="20"/>
              </w:rPr>
              <w:t>(Refer to LMP for details)</w:t>
            </w:r>
          </w:p>
        </w:tc>
        <w:tc>
          <w:tcPr>
            <w:tcW w:w="1751" w:type="dxa"/>
          </w:tcPr>
          <w:p w14:paraId="5F41ADBE" w14:textId="77777777" w:rsidR="00F61F8E" w:rsidRPr="002B3F36" w:rsidRDefault="000F264B">
            <w:pPr>
              <w:spacing w:line="259" w:lineRule="auto"/>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75B340FD"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 xml:space="preserve">Budget part of supervision contract; part of </w:t>
            </w:r>
            <w:r w:rsidRPr="002B3F36">
              <w:rPr>
                <w:rFonts w:ascii="Arial" w:eastAsia="Calibri" w:hAnsi="Arial" w:cs="Arial"/>
                <w:sz w:val="20"/>
                <w:szCs w:val="20"/>
              </w:rPr>
              <w:lastRenderedPageBreak/>
              <w:t>operational cost of Contractor)</w:t>
            </w:r>
          </w:p>
        </w:tc>
      </w:tr>
      <w:tr w:rsidR="00F61F8E" w:rsidRPr="002B3F36" w14:paraId="665D2671" w14:textId="77777777" w:rsidTr="0089733D">
        <w:tc>
          <w:tcPr>
            <w:tcW w:w="1180" w:type="dxa"/>
          </w:tcPr>
          <w:p w14:paraId="0B57CB90" w14:textId="77777777" w:rsidR="00F61F8E" w:rsidRPr="002B3F36" w:rsidRDefault="000F264B">
            <w:pPr>
              <w:shd w:val="clear" w:color="auto" w:fill="FFFFFF"/>
              <w:suppressAutoHyphens/>
              <w:jc w:val="center"/>
              <w:rPr>
                <w:rFonts w:ascii="Arial" w:hAnsi="Arial" w:cs="Arial"/>
                <w:sz w:val="20"/>
                <w:szCs w:val="20"/>
              </w:rPr>
            </w:pPr>
            <w:bookmarkStart w:id="2577" w:name="_Hlk164765391"/>
            <w:r w:rsidRPr="002B3F36">
              <w:rPr>
                <w:rFonts w:ascii="Arial" w:hAnsi="Arial" w:cs="Arial"/>
                <w:sz w:val="20"/>
                <w:szCs w:val="20"/>
              </w:rPr>
              <w:t>Social Conflict</w:t>
            </w:r>
          </w:p>
        </w:tc>
        <w:tc>
          <w:tcPr>
            <w:tcW w:w="1180" w:type="dxa"/>
          </w:tcPr>
          <w:p w14:paraId="4229182C"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Social Conflict during construction</w:t>
            </w:r>
          </w:p>
        </w:tc>
        <w:tc>
          <w:tcPr>
            <w:tcW w:w="3225" w:type="dxa"/>
          </w:tcPr>
          <w:p w14:paraId="3D91270D"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This influx of labour may put burden on food supplies and increase commodity prices, public services, utilities, etc.</w:t>
            </w:r>
          </w:p>
          <w:p w14:paraId="0493FA1D"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Community health and safety issues, especially an increase in prevalence of diseases. </w:t>
            </w:r>
          </w:p>
          <w:p w14:paraId="3BEEDC96"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Impacts on local communities’ usual affairs such as garbage, construction/ demolition waste and waste water discharges. </w:t>
            </w:r>
          </w:p>
          <w:p w14:paraId="2164C623"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Possibility of increase/ emergence sexually transmitted diseases such as HIV/AIDS or STI normally associated by of influx of the workers.</w:t>
            </w:r>
          </w:p>
          <w:p w14:paraId="55914D38" w14:textId="75E22280" w:rsidR="00E14E7B" w:rsidRPr="002B3F36" w:rsidRDefault="00E14E7B">
            <w:pPr>
              <w:pStyle w:val="BulletTable"/>
              <w:tabs>
                <w:tab w:val="clear" w:pos="540"/>
                <w:tab w:val="clear" w:pos="542"/>
              </w:tabs>
              <w:rPr>
                <w:color w:val="auto"/>
                <w:sz w:val="20"/>
                <w:szCs w:val="20"/>
              </w:rPr>
            </w:pPr>
            <w:r w:rsidRPr="002B3F36">
              <w:rPr>
                <w:color w:val="auto"/>
                <w:sz w:val="20"/>
                <w:szCs w:val="20"/>
              </w:rPr>
              <w:t xml:space="preserve">Potential emergence of pandemic </w:t>
            </w:r>
            <w:r w:rsidR="00660F8A" w:rsidRPr="002B3F36">
              <w:rPr>
                <w:color w:val="auto"/>
                <w:sz w:val="20"/>
                <w:szCs w:val="20"/>
              </w:rPr>
              <w:t>outbreak</w:t>
            </w:r>
          </w:p>
        </w:tc>
        <w:tc>
          <w:tcPr>
            <w:tcW w:w="5822" w:type="dxa"/>
          </w:tcPr>
          <w:p w14:paraId="424C384F"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Workers from the local communities will be offered preferential employment as unskilled labor. </w:t>
            </w:r>
          </w:p>
          <w:p w14:paraId="0118F5CF" w14:textId="544F983D" w:rsidR="00F61F8E" w:rsidRPr="002B3F36" w:rsidRDefault="000F264B">
            <w:pPr>
              <w:pStyle w:val="BulletTable"/>
              <w:tabs>
                <w:tab w:val="clear" w:pos="540"/>
                <w:tab w:val="clear" w:pos="542"/>
              </w:tabs>
              <w:rPr>
                <w:color w:val="auto"/>
                <w:sz w:val="20"/>
                <w:szCs w:val="20"/>
              </w:rPr>
            </w:pPr>
            <w:r w:rsidRPr="002B3F36">
              <w:rPr>
                <w:color w:val="auto"/>
                <w:sz w:val="20"/>
                <w:szCs w:val="20"/>
              </w:rPr>
              <w:t>Workers will also be required to undergo regular check-up</w:t>
            </w:r>
            <w:r w:rsidR="00E14E7B" w:rsidRPr="002B3F36">
              <w:rPr>
                <w:color w:val="auto"/>
                <w:sz w:val="20"/>
                <w:szCs w:val="20"/>
              </w:rPr>
              <w:t xml:space="preserve"> </w:t>
            </w:r>
            <w:r w:rsidRPr="002B3F36">
              <w:rPr>
                <w:color w:val="auto"/>
                <w:sz w:val="20"/>
                <w:szCs w:val="20"/>
              </w:rPr>
              <w:t xml:space="preserve">(with informed consent) to minimize the risk of contracting and spreading of HIV/AIDS and STI’s. </w:t>
            </w:r>
          </w:p>
          <w:p w14:paraId="359AC823"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The Contractor shall produce and conduct an HIV-AIDS Information, Education and Consultation/Communication (IEC) campaign undertaken by a recognized service provider. </w:t>
            </w:r>
          </w:p>
          <w:p w14:paraId="0DFCBA90" w14:textId="77777777" w:rsidR="00F61F8E" w:rsidRPr="002B3F36" w:rsidRDefault="000F264B">
            <w:pPr>
              <w:pStyle w:val="BulletTable"/>
              <w:tabs>
                <w:tab w:val="clear" w:pos="540"/>
                <w:tab w:val="clear" w:pos="542"/>
              </w:tabs>
              <w:rPr>
                <w:color w:val="auto"/>
                <w:sz w:val="20"/>
                <w:szCs w:val="20"/>
              </w:rPr>
            </w:pPr>
            <w:r w:rsidRPr="002B3F36">
              <w:rPr>
                <w:color w:val="auto"/>
                <w:sz w:val="20"/>
                <w:szCs w:val="20"/>
              </w:rPr>
              <w:t>If ever, camps will be sited a good distance away from nearby settlement areas to avoid social conflicts.</w:t>
            </w:r>
          </w:p>
          <w:p w14:paraId="338DEF12" w14:textId="0C904271" w:rsidR="00F61F8E" w:rsidRPr="002B3F36" w:rsidRDefault="000F264B">
            <w:pPr>
              <w:pStyle w:val="BulletTable"/>
              <w:tabs>
                <w:tab w:val="clear" w:pos="540"/>
                <w:tab w:val="clear" w:pos="542"/>
              </w:tabs>
              <w:rPr>
                <w:color w:val="auto"/>
                <w:sz w:val="20"/>
                <w:szCs w:val="20"/>
              </w:rPr>
            </w:pPr>
            <w:r w:rsidRPr="002B3F36">
              <w:rPr>
                <w:color w:val="auto"/>
                <w:sz w:val="20"/>
                <w:szCs w:val="20"/>
              </w:rPr>
              <w:t>Workers to be provided with cultural awareness training if they are from outside region.</w:t>
            </w:r>
          </w:p>
          <w:p w14:paraId="15519A35" w14:textId="0769AD3C" w:rsidR="00E14E7B" w:rsidRPr="002B3F36" w:rsidRDefault="00E14E7B">
            <w:pPr>
              <w:pStyle w:val="BulletTable"/>
              <w:tabs>
                <w:tab w:val="clear" w:pos="540"/>
                <w:tab w:val="clear" w:pos="542"/>
              </w:tabs>
              <w:rPr>
                <w:color w:val="auto"/>
                <w:sz w:val="20"/>
                <w:szCs w:val="20"/>
              </w:rPr>
            </w:pPr>
            <w:r w:rsidRPr="002B3F36">
              <w:rPr>
                <w:color w:val="auto"/>
                <w:sz w:val="20"/>
                <w:szCs w:val="20"/>
              </w:rPr>
              <w:t xml:space="preserve">Workers to adhere to any pandemic protection </w:t>
            </w:r>
            <w:r w:rsidR="00660F8A" w:rsidRPr="002B3F36">
              <w:rPr>
                <w:color w:val="auto"/>
                <w:sz w:val="20"/>
                <w:szCs w:val="20"/>
              </w:rPr>
              <w:t xml:space="preserve">and </w:t>
            </w:r>
            <w:r w:rsidR="001F09B4" w:rsidRPr="002B3F36">
              <w:rPr>
                <w:color w:val="auto"/>
                <w:sz w:val="20"/>
                <w:szCs w:val="20"/>
              </w:rPr>
              <w:t>safety</w:t>
            </w:r>
            <w:r w:rsidR="00660F8A" w:rsidRPr="002B3F36">
              <w:rPr>
                <w:color w:val="auto"/>
                <w:sz w:val="20"/>
                <w:szCs w:val="20"/>
              </w:rPr>
              <w:t xml:space="preserve"> </w:t>
            </w:r>
            <w:r w:rsidRPr="002B3F36">
              <w:rPr>
                <w:color w:val="auto"/>
                <w:sz w:val="20"/>
                <w:szCs w:val="20"/>
              </w:rPr>
              <w:t>protocols</w:t>
            </w:r>
          </w:p>
          <w:p w14:paraId="67194753" w14:textId="77777777" w:rsidR="00F61F8E" w:rsidRPr="002B3F36" w:rsidRDefault="00F61F8E">
            <w:pPr>
              <w:pStyle w:val="BulletTable"/>
              <w:numPr>
                <w:ilvl w:val="0"/>
                <w:numId w:val="0"/>
              </w:numPr>
              <w:ind w:left="340"/>
              <w:rPr>
                <w:color w:val="auto"/>
                <w:sz w:val="20"/>
                <w:szCs w:val="20"/>
              </w:rPr>
            </w:pPr>
          </w:p>
          <w:p w14:paraId="4FD2276C" w14:textId="77777777" w:rsidR="00F61F8E" w:rsidRPr="002B3F36" w:rsidRDefault="000F264B">
            <w:pPr>
              <w:pStyle w:val="BulletTable"/>
              <w:numPr>
                <w:ilvl w:val="0"/>
                <w:numId w:val="0"/>
              </w:numPr>
              <w:ind w:left="340"/>
              <w:rPr>
                <w:color w:val="auto"/>
                <w:sz w:val="20"/>
                <w:szCs w:val="20"/>
              </w:rPr>
            </w:pPr>
            <w:r w:rsidRPr="002B3F36">
              <w:rPr>
                <w:color w:val="auto"/>
                <w:sz w:val="20"/>
                <w:szCs w:val="20"/>
              </w:rPr>
              <w:t>(Refer to LMP for details)</w:t>
            </w:r>
          </w:p>
        </w:tc>
        <w:tc>
          <w:tcPr>
            <w:tcW w:w="1751" w:type="dxa"/>
          </w:tcPr>
          <w:p w14:paraId="4C3F4621"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32724F68"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bookmarkEnd w:id="2577"/>
      <w:tr w:rsidR="00F61F8E" w:rsidRPr="002B3F36" w14:paraId="0CC9E1A7" w14:textId="77777777" w:rsidTr="0089733D">
        <w:tc>
          <w:tcPr>
            <w:tcW w:w="1180" w:type="dxa"/>
          </w:tcPr>
          <w:p w14:paraId="1E9898D7"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180" w:type="dxa"/>
          </w:tcPr>
          <w:p w14:paraId="5F2C3723"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9047" w:type="dxa"/>
            <w:gridSpan w:val="2"/>
          </w:tcPr>
          <w:p w14:paraId="3E4C1B0C" w14:textId="2C5983A0" w:rsidR="00F61F8E" w:rsidRPr="002B3F36" w:rsidRDefault="000F264B">
            <w:pPr>
              <w:shd w:val="clear" w:color="auto" w:fill="FFFFFF"/>
              <w:suppressAutoHyphens/>
              <w:ind w:right="34"/>
              <w:jc w:val="both"/>
              <w:rPr>
                <w:rFonts w:ascii="Arial" w:hAnsi="Arial" w:cs="Arial"/>
                <w:b/>
                <w:bCs/>
                <w:sz w:val="20"/>
                <w:szCs w:val="20"/>
              </w:rPr>
            </w:pPr>
            <w:r w:rsidRPr="002B3F36">
              <w:rPr>
                <w:rFonts w:ascii="Arial" w:hAnsi="Arial" w:cs="Arial"/>
                <w:b/>
                <w:bCs/>
                <w:sz w:val="20"/>
                <w:szCs w:val="20"/>
              </w:rPr>
              <w:t>During Construction Phase (</w:t>
            </w:r>
            <w:r w:rsidR="000C7CC2" w:rsidRPr="002B3F36">
              <w:rPr>
                <w:rFonts w:ascii="Arial" w:hAnsi="Arial" w:cs="Arial"/>
                <w:b/>
                <w:bCs/>
                <w:sz w:val="20"/>
                <w:szCs w:val="20"/>
              </w:rPr>
              <w:t>PS</w:t>
            </w:r>
            <w:r w:rsidRPr="002B3F36">
              <w:rPr>
                <w:rFonts w:ascii="Arial" w:hAnsi="Arial" w:cs="Arial"/>
                <w:b/>
                <w:bCs/>
                <w:sz w:val="20"/>
                <w:szCs w:val="20"/>
              </w:rPr>
              <w:t xml:space="preserve"> 3)</w:t>
            </w:r>
          </w:p>
        </w:tc>
        <w:tc>
          <w:tcPr>
            <w:tcW w:w="1751" w:type="dxa"/>
          </w:tcPr>
          <w:p w14:paraId="08B67354"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332" w:type="dxa"/>
          </w:tcPr>
          <w:p w14:paraId="5A731A6E"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r>
      <w:tr w:rsidR="00F61F8E" w:rsidRPr="002B3F36" w14:paraId="22819F4E" w14:textId="77777777" w:rsidTr="0089733D">
        <w:trPr>
          <w:trHeight w:val="3212"/>
        </w:trPr>
        <w:tc>
          <w:tcPr>
            <w:tcW w:w="1180" w:type="dxa"/>
          </w:tcPr>
          <w:p w14:paraId="37E28887"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lastRenderedPageBreak/>
              <w:t>Soil Quality</w:t>
            </w:r>
          </w:p>
        </w:tc>
        <w:tc>
          <w:tcPr>
            <w:tcW w:w="1180" w:type="dxa"/>
          </w:tcPr>
          <w:p w14:paraId="089C7A1D"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Soil Quality (Land Resources) during construction</w:t>
            </w:r>
          </w:p>
          <w:p w14:paraId="7605608E" w14:textId="77777777" w:rsidR="00F61F8E" w:rsidRPr="002B3F36" w:rsidRDefault="00F61F8E">
            <w:pPr>
              <w:shd w:val="clear" w:color="auto" w:fill="FFFFFF"/>
              <w:suppressAutoHyphens/>
              <w:jc w:val="center"/>
              <w:rPr>
                <w:rFonts w:ascii="Arial" w:hAnsi="Arial" w:cs="Arial"/>
                <w:sz w:val="20"/>
                <w:szCs w:val="20"/>
              </w:rPr>
            </w:pPr>
          </w:p>
        </w:tc>
        <w:tc>
          <w:tcPr>
            <w:tcW w:w="3225" w:type="dxa"/>
          </w:tcPr>
          <w:p w14:paraId="4A0CDEB4" w14:textId="77777777" w:rsidR="002B774D" w:rsidRPr="002B3F36" w:rsidRDefault="002B774D" w:rsidP="002B774D">
            <w:pPr>
              <w:pStyle w:val="BulletTable"/>
              <w:rPr>
                <w:color w:val="auto"/>
                <w:sz w:val="20"/>
                <w:szCs w:val="20"/>
              </w:rPr>
            </w:pPr>
            <w:r w:rsidRPr="002B3F36">
              <w:rPr>
                <w:color w:val="auto"/>
                <w:sz w:val="20"/>
                <w:szCs w:val="20"/>
              </w:rPr>
              <w:t>Mechanical disturbance: Compaction, mixing of fertile and sterile soil layers, and topsoil stripping without proper stockpiling could significantly reduce soil fertility and hinder restoration potential.</w:t>
            </w:r>
          </w:p>
          <w:p w14:paraId="6AC87149" w14:textId="77777777" w:rsidR="002B774D" w:rsidRPr="002B3F36" w:rsidRDefault="002B774D" w:rsidP="002B774D">
            <w:pPr>
              <w:pStyle w:val="BulletTable"/>
              <w:rPr>
                <w:color w:val="auto"/>
                <w:sz w:val="20"/>
                <w:szCs w:val="20"/>
              </w:rPr>
            </w:pPr>
            <w:r w:rsidRPr="002B3F36">
              <w:rPr>
                <w:color w:val="auto"/>
                <w:sz w:val="20"/>
                <w:szCs w:val="20"/>
              </w:rPr>
              <w:t>Chemical disturbance: Hydrocarbon leaks, cement deposition, and improper handling of hazardous materials may reduce infiltration capacity and soil function, with indirect pathways to affect vegetation, livestock, and human health.</w:t>
            </w:r>
          </w:p>
          <w:p w14:paraId="57FD149A" w14:textId="26AEEBD1" w:rsidR="00F61F8E" w:rsidRPr="002B3F36" w:rsidRDefault="002B774D" w:rsidP="002B774D">
            <w:pPr>
              <w:pStyle w:val="BulletTable"/>
              <w:rPr>
                <w:color w:val="auto"/>
                <w:sz w:val="20"/>
                <w:szCs w:val="20"/>
              </w:rPr>
            </w:pPr>
            <w:r w:rsidRPr="002B3F36">
              <w:rPr>
                <w:color w:val="auto"/>
                <w:sz w:val="20"/>
                <w:szCs w:val="20"/>
              </w:rPr>
              <w:t>Waste mismanagement: Improper disposal of solid and liquid waste may degrade soil quality, increase salinity, and result in long-term leaching of contaminants</w:t>
            </w:r>
          </w:p>
        </w:tc>
        <w:tc>
          <w:tcPr>
            <w:tcW w:w="5822" w:type="dxa"/>
          </w:tcPr>
          <w:p w14:paraId="4FDD3D38" w14:textId="77777777" w:rsidR="002B774D" w:rsidRPr="002B3F36" w:rsidRDefault="002B774D" w:rsidP="002B774D">
            <w:pPr>
              <w:pStyle w:val="aff9"/>
              <w:spacing w:before="0" w:beforeAutospacing="0" w:after="0" w:afterAutospacing="0"/>
              <w:rPr>
                <w:rFonts w:ascii="Arial" w:hAnsi="Arial" w:cs="Arial"/>
                <w:sz w:val="20"/>
                <w:szCs w:val="20"/>
              </w:rPr>
            </w:pPr>
            <w:r w:rsidRPr="002B3F36">
              <w:rPr>
                <w:rStyle w:val="affffb"/>
                <w:sz w:val="20"/>
                <w:szCs w:val="20"/>
              </w:rPr>
              <w:t>Planning and Management</w:t>
            </w:r>
          </w:p>
          <w:p w14:paraId="7582721F" w14:textId="14226AD7" w:rsidR="002B774D" w:rsidRPr="002B3F36" w:rsidRDefault="002B774D" w:rsidP="009B4CDB">
            <w:pPr>
              <w:pStyle w:val="aff9"/>
              <w:numPr>
                <w:ilvl w:val="0"/>
                <w:numId w:val="138"/>
              </w:numPr>
              <w:spacing w:before="0" w:beforeAutospacing="0"/>
              <w:rPr>
                <w:rFonts w:ascii="Arial" w:hAnsi="Arial" w:cs="Arial"/>
                <w:sz w:val="20"/>
                <w:szCs w:val="20"/>
              </w:rPr>
            </w:pPr>
            <w:r w:rsidRPr="002B3F36">
              <w:rPr>
                <w:rFonts w:ascii="Arial" w:hAnsi="Arial" w:cs="Arial"/>
                <w:sz w:val="20"/>
                <w:szCs w:val="20"/>
              </w:rPr>
              <w:t xml:space="preserve">Contractors will prepare a </w:t>
            </w:r>
            <w:r w:rsidRPr="002B3F36">
              <w:rPr>
                <w:rStyle w:val="affffb"/>
                <w:sz w:val="20"/>
                <w:szCs w:val="20"/>
              </w:rPr>
              <w:t>Soil Management Plan</w:t>
            </w:r>
            <w:r w:rsidRPr="002B3F36">
              <w:rPr>
                <w:rFonts w:ascii="Arial" w:hAnsi="Arial" w:cs="Arial"/>
                <w:sz w:val="20"/>
                <w:szCs w:val="20"/>
              </w:rPr>
              <w:t xml:space="preserve">, </w:t>
            </w:r>
            <w:r w:rsidRPr="002B3F36">
              <w:rPr>
                <w:rStyle w:val="affffb"/>
                <w:sz w:val="20"/>
                <w:szCs w:val="20"/>
              </w:rPr>
              <w:t>Borrow Pit/Quarry Management Plan</w:t>
            </w:r>
            <w:r w:rsidRPr="002B3F36">
              <w:rPr>
                <w:rFonts w:ascii="Arial" w:hAnsi="Arial" w:cs="Arial"/>
                <w:sz w:val="20"/>
                <w:szCs w:val="20"/>
              </w:rPr>
              <w:t xml:space="preserve">, and </w:t>
            </w:r>
            <w:r w:rsidRPr="002B3F36">
              <w:rPr>
                <w:rStyle w:val="affffb"/>
                <w:sz w:val="20"/>
                <w:szCs w:val="20"/>
              </w:rPr>
              <w:t>Site Restoration Plan</w:t>
            </w:r>
            <w:r w:rsidRPr="002B3F36">
              <w:rPr>
                <w:rFonts w:ascii="Arial" w:hAnsi="Arial" w:cs="Arial"/>
                <w:sz w:val="20"/>
                <w:szCs w:val="20"/>
              </w:rPr>
              <w:t xml:space="preserve"> prior to the commencement of works. All plans will be reviewed and approved by the Engineer and the </w:t>
            </w:r>
            <w:r w:rsidR="00464922" w:rsidRPr="002B3F36">
              <w:rPr>
                <w:rFonts w:ascii="Arial" w:hAnsi="Arial" w:cs="Arial"/>
                <w:sz w:val="20"/>
                <w:szCs w:val="20"/>
              </w:rPr>
              <w:t>KTZ</w:t>
            </w:r>
            <w:r w:rsidRPr="002B3F36">
              <w:rPr>
                <w:rFonts w:ascii="Arial" w:hAnsi="Arial" w:cs="Arial"/>
                <w:sz w:val="20"/>
                <w:szCs w:val="20"/>
              </w:rPr>
              <w:t>’s E&amp;S staff.</w:t>
            </w:r>
          </w:p>
          <w:p w14:paraId="2860F4DE" w14:textId="77777777" w:rsidR="002B774D" w:rsidRPr="002B3F36" w:rsidRDefault="002B774D" w:rsidP="009B4CDB">
            <w:pPr>
              <w:pStyle w:val="aff9"/>
              <w:numPr>
                <w:ilvl w:val="0"/>
                <w:numId w:val="138"/>
              </w:numPr>
              <w:rPr>
                <w:rFonts w:ascii="Arial" w:hAnsi="Arial" w:cs="Arial"/>
                <w:sz w:val="20"/>
                <w:szCs w:val="20"/>
              </w:rPr>
            </w:pPr>
            <w:r w:rsidRPr="002B3F36">
              <w:rPr>
                <w:rFonts w:ascii="Arial" w:hAnsi="Arial" w:cs="Arial"/>
                <w:sz w:val="20"/>
                <w:szCs w:val="20"/>
              </w:rPr>
              <w:t xml:space="preserve">Sensitive soils, agricultural land, and drainage areas will be </w:t>
            </w:r>
            <w:r w:rsidRPr="002B3F36">
              <w:rPr>
                <w:rStyle w:val="affffb"/>
                <w:sz w:val="20"/>
                <w:szCs w:val="20"/>
              </w:rPr>
              <w:t>mapped and demarcated</w:t>
            </w:r>
            <w:r w:rsidRPr="002B3F36">
              <w:rPr>
                <w:rFonts w:ascii="Arial" w:hAnsi="Arial" w:cs="Arial"/>
                <w:sz w:val="20"/>
                <w:szCs w:val="20"/>
              </w:rPr>
              <w:t>, with restrictions on heavy equipment access to reduce unnecessary disturbance.</w:t>
            </w:r>
          </w:p>
          <w:p w14:paraId="2A9EA7D1" w14:textId="77777777" w:rsidR="002B774D" w:rsidRPr="002B3F36" w:rsidRDefault="002B774D" w:rsidP="002B774D">
            <w:pPr>
              <w:pStyle w:val="aff9"/>
              <w:spacing w:after="0" w:afterAutospacing="0"/>
              <w:rPr>
                <w:rFonts w:ascii="Arial" w:hAnsi="Arial" w:cs="Arial"/>
                <w:sz w:val="20"/>
                <w:szCs w:val="20"/>
              </w:rPr>
            </w:pPr>
            <w:r w:rsidRPr="002B3F36">
              <w:rPr>
                <w:rStyle w:val="affffb"/>
                <w:sz w:val="20"/>
                <w:szCs w:val="20"/>
              </w:rPr>
              <w:t>Operational Controls</w:t>
            </w:r>
            <w:r w:rsidRPr="002B3F36">
              <w:rPr>
                <w:rFonts w:ascii="Arial" w:hAnsi="Arial" w:cs="Arial"/>
                <w:sz w:val="20"/>
                <w:szCs w:val="20"/>
              </w:rPr>
              <w:t xml:space="preserve"> (to be further detailed in site-specific plans):</w:t>
            </w:r>
          </w:p>
          <w:p w14:paraId="2398B520" w14:textId="77777777" w:rsidR="002B774D" w:rsidRPr="002B3F36" w:rsidRDefault="002B774D" w:rsidP="009B4CDB">
            <w:pPr>
              <w:pStyle w:val="aff9"/>
              <w:numPr>
                <w:ilvl w:val="0"/>
                <w:numId w:val="139"/>
              </w:numPr>
              <w:spacing w:before="0" w:beforeAutospacing="0"/>
              <w:rPr>
                <w:rFonts w:ascii="Arial" w:hAnsi="Arial" w:cs="Arial"/>
                <w:sz w:val="20"/>
                <w:szCs w:val="20"/>
              </w:rPr>
            </w:pPr>
            <w:r w:rsidRPr="002B3F36">
              <w:rPr>
                <w:rFonts w:ascii="Arial" w:hAnsi="Arial" w:cs="Arial"/>
                <w:sz w:val="20"/>
                <w:szCs w:val="20"/>
              </w:rPr>
              <w:t>Topsoil will be stripped, stockpiled separately, and reused for rehabilitation.</w:t>
            </w:r>
          </w:p>
          <w:p w14:paraId="346948F1" w14:textId="77777777" w:rsidR="002B774D" w:rsidRPr="002B3F36" w:rsidRDefault="002B774D" w:rsidP="009B4CDB">
            <w:pPr>
              <w:pStyle w:val="aff9"/>
              <w:numPr>
                <w:ilvl w:val="0"/>
                <w:numId w:val="139"/>
              </w:numPr>
              <w:rPr>
                <w:rFonts w:ascii="Arial" w:hAnsi="Arial" w:cs="Arial"/>
                <w:sz w:val="20"/>
                <w:szCs w:val="20"/>
              </w:rPr>
            </w:pPr>
            <w:r w:rsidRPr="002B3F36">
              <w:rPr>
                <w:rFonts w:ascii="Arial" w:hAnsi="Arial" w:cs="Arial"/>
                <w:sz w:val="20"/>
                <w:szCs w:val="20"/>
              </w:rPr>
              <w:t>Spill prevention and response systems will be installed at fuel storage and handling areas.</w:t>
            </w:r>
          </w:p>
          <w:p w14:paraId="462027DB" w14:textId="77777777" w:rsidR="002B774D" w:rsidRPr="002B3F36" w:rsidRDefault="002B774D" w:rsidP="009B4CDB">
            <w:pPr>
              <w:pStyle w:val="aff9"/>
              <w:numPr>
                <w:ilvl w:val="0"/>
                <w:numId w:val="139"/>
              </w:numPr>
              <w:rPr>
                <w:rFonts w:ascii="Arial" w:hAnsi="Arial" w:cs="Arial"/>
                <w:sz w:val="20"/>
                <w:szCs w:val="20"/>
              </w:rPr>
            </w:pPr>
            <w:r w:rsidRPr="002B3F36">
              <w:rPr>
                <w:rFonts w:ascii="Arial" w:hAnsi="Arial" w:cs="Arial"/>
                <w:sz w:val="20"/>
                <w:szCs w:val="20"/>
              </w:rPr>
              <w:t>Cement and hazardous materials will be stored on impermeable, bunded surfaces to prevent leaching.</w:t>
            </w:r>
          </w:p>
          <w:p w14:paraId="4F7C3CB2" w14:textId="1AF674E3" w:rsidR="00F61F8E" w:rsidRPr="002B3F36" w:rsidRDefault="002B774D" w:rsidP="00605704">
            <w:pPr>
              <w:pStyle w:val="aff9"/>
              <w:numPr>
                <w:ilvl w:val="0"/>
                <w:numId w:val="139"/>
              </w:numPr>
              <w:rPr>
                <w:rFonts w:ascii="Arial" w:hAnsi="Arial" w:cs="Arial"/>
                <w:sz w:val="20"/>
                <w:szCs w:val="20"/>
              </w:rPr>
            </w:pPr>
            <w:r w:rsidRPr="002B3F36">
              <w:rPr>
                <w:rFonts w:ascii="Arial" w:hAnsi="Arial" w:cs="Arial"/>
                <w:sz w:val="20"/>
                <w:szCs w:val="20"/>
              </w:rPr>
              <w:t>Waste management procedures will ensure proper segregation, collection, and disposal of solid and liquid waste.</w:t>
            </w:r>
          </w:p>
        </w:tc>
        <w:tc>
          <w:tcPr>
            <w:tcW w:w="1751" w:type="dxa"/>
          </w:tcPr>
          <w:p w14:paraId="6C3148E9"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39C70117"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4CA13AFF" w14:textId="77777777" w:rsidTr="0089733D">
        <w:tc>
          <w:tcPr>
            <w:tcW w:w="1180" w:type="dxa"/>
          </w:tcPr>
          <w:p w14:paraId="30412629" w14:textId="77777777" w:rsidR="002B774D" w:rsidRPr="002B3F36" w:rsidRDefault="002B774D" w:rsidP="002B774D">
            <w:pPr>
              <w:rPr>
                <w:rFonts w:ascii="Arial" w:hAnsi="Arial" w:cs="Arial"/>
                <w:sz w:val="20"/>
                <w:szCs w:val="20"/>
              </w:rPr>
            </w:pPr>
            <w:r w:rsidRPr="002B3F36">
              <w:rPr>
                <w:rFonts w:ascii="Arial" w:hAnsi="Arial" w:cs="Arial"/>
                <w:sz w:val="20"/>
                <w:szCs w:val="20"/>
              </w:rPr>
              <w:t>Hazardous Substances &amp; Spill Prevention</w:t>
            </w:r>
          </w:p>
          <w:p w14:paraId="61C945E8" w14:textId="2EE55D83" w:rsidR="00F61F8E" w:rsidRPr="002B3F36" w:rsidRDefault="00F61F8E">
            <w:pPr>
              <w:shd w:val="clear" w:color="auto" w:fill="FFFFFF"/>
              <w:suppressAutoHyphens/>
              <w:jc w:val="center"/>
              <w:rPr>
                <w:rFonts w:ascii="Arial" w:hAnsi="Arial" w:cs="Arial"/>
                <w:sz w:val="20"/>
                <w:szCs w:val="20"/>
              </w:rPr>
            </w:pPr>
          </w:p>
        </w:tc>
        <w:tc>
          <w:tcPr>
            <w:tcW w:w="1180" w:type="dxa"/>
          </w:tcPr>
          <w:p w14:paraId="018BB591" w14:textId="1E707C94" w:rsidR="00F61F8E" w:rsidRPr="002B3F36" w:rsidRDefault="00376A8C">
            <w:pPr>
              <w:shd w:val="clear" w:color="auto" w:fill="FFFFFF"/>
              <w:suppressAutoHyphens/>
              <w:jc w:val="center"/>
              <w:rPr>
                <w:rFonts w:ascii="Arial" w:hAnsi="Arial" w:cs="Arial"/>
                <w:sz w:val="20"/>
                <w:szCs w:val="20"/>
              </w:rPr>
            </w:pPr>
            <w:r w:rsidRPr="002B3F36">
              <w:rPr>
                <w:rFonts w:ascii="Arial" w:hAnsi="Arial" w:cs="Arial"/>
                <w:sz w:val="20"/>
                <w:szCs w:val="20"/>
              </w:rPr>
              <w:t>handling of fuels, oils, chemicals, and hazardous wastes during construction</w:t>
            </w:r>
          </w:p>
        </w:tc>
        <w:tc>
          <w:tcPr>
            <w:tcW w:w="3225" w:type="dxa"/>
          </w:tcPr>
          <w:p w14:paraId="01A284D2" w14:textId="07696950" w:rsidR="004A5448" w:rsidRPr="002B3F36" w:rsidRDefault="004A5448" w:rsidP="009B4CDB">
            <w:pPr>
              <w:pStyle w:val="aff9"/>
              <w:numPr>
                <w:ilvl w:val="0"/>
                <w:numId w:val="139"/>
              </w:numPr>
              <w:tabs>
                <w:tab w:val="clear" w:pos="720"/>
              </w:tabs>
              <w:spacing w:before="0" w:beforeAutospacing="0" w:after="0" w:afterAutospacing="0"/>
              <w:ind w:left="230" w:hanging="180"/>
              <w:rPr>
                <w:rFonts w:ascii="Arial" w:hAnsi="Arial" w:cs="Arial"/>
                <w:sz w:val="20"/>
                <w:szCs w:val="20"/>
              </w:rPr>
            </w:pPr>
            <w:r w:rsidRPr="002B3F36">
              <w:rPr>
                <w:rFonts w:ascii="Arial" w:hAnsi="Arial" w:cs="Arial"/>
                <w:b/>
                <w:sz w:val="20"/>
                <w:szCs w:val="20"/>
              </w:rPr>
              <w:t>Soil &amp; Water Contamination</w:t>
            </w:r>
            <w:r w:rsidRPr="002B3F36">
              <w:rPr>
                <w:rFonts w:ascii="Arial" w:hAnsi="Arial" w:cs="Arial"/>
                <w:sz w:val="20"/>
                <w:szCs w:val="20"/>
              </w:rPr>
              <w:t xml:space="preserve">: </w:t>
            </w:r>
            <w:r w:rsidRPr="002B3F36">
              <w:rPr>
                <w:rFonts w:ascii="Arial" w:hAnsi="Arial" w:cs="Arial"/>
                <w:i/>
                <w:iCs/>
                <w:sz w:val="20"/>
                <w:szCs w:val="20"/>
              </w:rPr>
              <w:t>Low to Moderate</w:t>
            </w:r>
            <w:r w:rsidRPr="002B3F36">
              <w:rPr>
                <w:rFonts w:ascii="Arial" w:hAnsi="Arial" w:cs="Arial"/>
                <w:sz w:val="20"/>
                <w:szCs w:val="20"/>
              </w:rPr>
              <w:t xml:space="preserve"> with bunded storage, spill prevention, and wastewater treatment per </w:t>
            </w:r>
            <w:r w:rsidR="00163238" w:rsidRPr="002B3F36">
              <w:rPr>
                <w:rFonts w:ascii="Arial" w:hAnsi="Arial" w:cs="Arial"/>
                <w:sz w:val="20"/>
                <w:szCs w:val="20"/>
              </w:rPr>
              <w:t>WB PS</w:t>
            </w:r>
            <w:r w:rsidRPr="002B3F36">
              <w:rPr>
                <w:rFonts w:ascii="Arial" w:hAnsi="Arial" w:cs="Arial"/>
                <w:sz w:val="20"/>
                <w:szCs w:val="20"/>
              </w:rPr>
              <w:t>3 and Kazakhstan’s Environmental Code (2021).</w:t>
            </w:r>
          </w:p>
          <w:p w14:paraId="52CE2575" w14:textId="71F9E62B" w:rsidR="004A5448" w:rsidRPr="002B3F36" w:rsidRDefault="004A5448" w:rsidP="009B4CDB">
            <w:pPr>
              <w:pStyle w:val="aff9"/>
              <w:numPr>
                <w:ilvl w:val="0"/>
                <w:numId w:val="139"/>
              </w:numPr>
              <w:tabs>
                <w:tab w:val="clear" w:pos="720"/>
              </w:tabs>
              <w:ind w:left="230" w:hanging="180"/>
              <w:rPr>
                <w:rFonts w:ascii="Arial" w:hAnsi="Arial" w:cs="Arial"/>
                <w:sz w:val="20"/>
                <w:szCs w:val="20"/>
              </w:rPr>
            </w:pPr>
            <w:r w:rsidRPr="002B3F36">
              <w:rPr>
                <w:rFonts w:ascii="Arial" w:hAnsi="Arial" w:cs="Arial"/>
                <w:b/>
                <w:sz w:val="20"/>
                <w:szCs w:val="20"/>
              </w:rPr>
              <w:t>Worker &amp; Community Health Risks</w:t>
            </w:r>
            <w:r w:rsidRPr="002B3F36">
              <w:rPr>
                <w:rFonts w:ascii="Arial" w:hAnsi="Arial" w:cs="Arial"/>
                <w:sz w:val="20"/>
                <w:szCs w:val="20"/>
              </w:rPr>
              <w:t xml:space="preserve">: </w:t>
            </w:r>
            <w:r w:rsidRPr="002B3F36">
              <w:rPr>
                <w:rFonts w:ascii="Arial" w:hAnsi="Arial" w:cs="Arial"/>
                <w:i/>
                <w:iCs/>
                <w:sz w:val="20"/>
                <w:szCs w:val="20"/>
              </w:rPr>
              <w:t>Low</w:t>
            </w:r>
            <w:r w:rsidRPr="002B3F36">
              <w:rPr>
                <w:rFonts w:ascii="Arial" w:hAnsi="Arial" w:cs="Arial"/>
                <w:sz w:val="20"/>
                <w:szCs w:val="20"/>
              </w:rPr>
              <w:t xml:space="preserve"> risk with </w:t>
            </w:r>
            <w:r w:rsidR="00163238" w:rsidRPr="002B3F36">
              <w:rPr>
                <w:rFonts w:ascii="Arial" w:hAnsi="Arial" w:cs="Arial"/>
                <w:sz w:val="20"/>
                <w:szCs w:val="20"/>
              </w:rPr>
              <w:t>WB PS</w:t>
            </w:r>
            <w:r w:rsidRPr="002B3F36">
              <w:rPr>
                <w:rFonts w:ascii="Arial" w:hAnsi="Arial" w:cs="Arial"/>
                <w:sz w:val="20"/>
                <w:szCs w:val="20"/>
              </w:rPr>
              <w:t>2 and PS3 occupational safety provisions.</w:t>
            </w:r>
          </w:p>
          <w:p w14:paraId="497FEA0C" w14:textId="77777777" w:rsidR="004A5448" w:rsidRPr="002B3F36" w:rsidRDefault="004A5448" w:rsidP="009B4CDB">
            <w:pPr>
              <w:pStyle w:val="aff9"/>
              <w:numPr>
                <w:ilvl w:val="0"/>
                <w:numId w:val="139"/>
              </w:numPr>
              <w:tabs>
                <w:tab w:val="clear" w:pos="720"/>
              </w:tabs>
              <w:ind w:left="230" w:hanging="180"/>
              <w:rPr>
                <w:rFonts w:ascii="Arial" w:hAnsi="Arial" w:cs="Arial"/>
                <w:sz w:val="20"/>
                <w:szCs w:val="20"/>
              </w:rPr>
            </w:pPr>
            <w:r w:rsidRPr="002B3F36">
              <w:rPr>
                <w:rFonts w:ascii="Arial" w:hAnsi="Arial" w:cs="Arial"/>
                <w:b/>
                <w:sz w:val="20"/>
                <w:szCs w:val="20"/>
              </w:rPr>
              <w:t>Waste Management Risks</w:t>
            </w:r>
            <w:r w:rsidRPr="002B3F36">
              <w:rPr>
                <w:rFonts w:ascii="Arial" w:hAnsi="Arial" w:cs="Arial"/>
                <w:sz w:val="20"/>
                <w:szCs w:val="20"/>
              </w:rPr>
              <w:t xml:space="preserve">: </w:t>
            </w:r>
            <w:r w:rsidRPr="002B3F36">
              <w:rPr>
                <w:rFonts w:ascii="Arial" w:hAnsi="Arial" w:cs="Arial"/>
                <w:i/>
                <w:iCs/>
                <w:sz w:val="20"/>
                <w:szCs w:val="20"/>
              </w:rPr>
              <w:t>Low</w:t>
            </w:r>
            <w:r w:rsidRPr="002B3F36">
              <w:rPr>
                <w:rFonts w:ascii="Arial" w:hAnsi="Arial" w:cs="Arial"/>
                <w:sz w:val="20"/>
                <w:szCs w:val="20"/>
              </w:rPr>
              <w:t xml:space="preserve"> with proper waste handling per Kazakhstan regulations.</w:t>
            </w:r>
          </w:p>
          <w:p w14:paraId="4B42ACEB" w14:textId="77777777" w:rsidR="004A5448" w:rsidRPr="002B3F36" w:rsidRDefault="004A5448" w:rsidP="009B4CDB">
            <w:pPr>
              <w:pStyle w:val="aff9"/>
              <w:numPr>
                <w:ilvl w:val="0"/>
                <w:numId w:val="139"/>
              </w:numPr>
              <w:tabs>
                <w:tab w:val="clear" w:pos="720"/>
              </w:tabs>
              <w:ind w:left="230" w:hanging="180"/>
              <w:rPr>
                <w:rFonts w:ascii="Arial" w:hAnsi="Arial" w:cs="Arial"/>
                <w:sz w:val="20"/>
                <w:szCs w:val="20"/>
              </w:rPr>
            </w:pPr>
            <w:r w:rsidRPr="002B3F36">
              <w:rPr>
                <w:rFonts w:ascii="Arial" w:hAnsi="Arial" w:cs="Arial"/>
                <w:b/>
                <w:sz w:val="20"/>
                <w:szCs w:val="20"/>
              </w:rPr>
              <w:lastRenderedPageBreak/>
              <w:t>Topsoil Loss</w:t>
            </w:r>
            <w:r w:rsidRPr="002B3F36">
              <w:rPr>
                <w:rFonts w:ascii="Arial" w:hAnsi="Arial" w:cs="Arial"/>
                <w:sz w:val="20"/>
                <w:szCs w:val="20"/>
              </w:rPr>
              <w:t xml:space="preserve">: </w:t>
            </w:r>
            <w:r w:rsidRPr="002B3F36">
              <w:rPr>
                <w:rFonts w:ascii="Arial" w:hAnsi="Arial" w:cs="Arial"/>
                <w:i/>
                <w:iCs/>
                <w:sz w:val="20"/>
                <w:szCs w:val="20"/>
              </w:rPr>
              <w:t>Low</w:t>
            </w:r>
            <w:r w:rsidRPr="002B3F36">
              <w:rPr>
                <w:rFonts w:ascii="Arial" w:hAnsi="Arial" w:cs="Arial"/>
                <w:sz w:val="20"/>
                <w:szCs w:val="20"/>
              </w:rPr>
              <w:t xml:space="preserve"> risk with topsoil management plans under Kazakhstan’s Land Code (2003).</w:t>
            </w:r>
          </w:p>
          <w:p w14:paraId="67C13ECF" w14:textId="1EDF8FF6" w:rsidR="00F61F8E" w:rsidRPr="002B3F36" w:rsidRDefault="00F61F8E">
            <w:pPr>
              <w:shd w:val="clear" w:color="auto" w:fill="FFFFFF"/>
              <w:suppressAutoHyphens/>
              <w:ind w:right="34"/>
              <w:jc w:val="both"/>
              <w:rPr>
                <w:rFonts w:ascii="Arial" w:eastAsia="Calibri" w:hAnsi="Arial" w:cs="Arial"/>
                <w:sz w:val="20"/>
                <w:szCs w:val="20"/>
              </w:rPr>
            </w:pPr>
          </w:p>
        </w:tc>
        <w:tc>
          <w:tcPr>
            <w:tcW w:w="5822" w:type="dxa"/>
          </w:tcPr>
          <w:p w14:paraId="604033D8" w14:textId="77777777" w:rsidR="00376A8C" w:rsidRPr="002B3F36" w:rsidRDefault="00376A8C" w:rsidP="009B4CDB">
            <w:pPr>
              <w:pStyle w:val="DiaList12"/>
              <w:numPr>
                <w:ilvl w:val="0"/>
                <w:numId w:val="225"/>
              </w:numPr>
              <w:rPr>
                <w:rFonts w:eastAsia="SimSun"/>
                <w:sz w:val="20"/>
                <w:szCs w:val="20"/>
                <w:lang w:val="en-PH"/>
              </w:rPr>
            </w:pPr>
            <w:r w:rsidRPr="002B3F36">
              <w:rPr>
                <w:rFonts w:eastAsia="SimSun"/>
                <w:sz w:val="20"/>
                <w:szCs w:val="20"/>
                <w:lang w:val="en-PH"/>
              </w:rPr>
              <w:lastRenderedPageBreak/>
              <w:t>Hazardous Substances and Spill Prevention</w:t>
            </w:r>
          </w:p>
          <w:p w14:paraId="1A11E18D" w14:textId="77777777" w:rsidR="00376A8C" w:rsidRPr="002B3F36" w:rsidRDefault="00376A8C" w:rsidP="009B4CDB">
            <w:pPr>
              <w:pStyle w:val="aff9"/>
              <w:numPr>
                <w:ilvl w:val="0"/>
                <w:numId w:val="226"/>
              </w:numPr>
              <w:spacing w:before="0" w:beforeAutospacing="0" w:afterAutospacing="0"/>
              <w:rPr>
                <w:rFonts w:ascii="Arial" w:hAnsi="Arial" w:cs="Arial"/>
                <w:sz w:val="20"/>
                <w:szCs w:val="20"/>
              </w:rPr>
            </w:pPr>
            <w:r w:rsidRPr="002B3F36">
              <w:rPr>
                <w:rFonts w:ascii="Arial" w:hAnsi="Arial" w:cs="Arial"/>
                <w:sz w:val="20"/>
                <w:szCs w:val="20"/>
              </w:rPr>
              <w:t xml:space="preserve">Store all fuels, oils, and chemicals in </w:t>
            </w:r>
            <w:r w:rsidRPr="002B3F36">
              <w:rPr>
                <w:rStyle w:val="affffb"/>
                <w:sz w:val="20"/>
                <w:szCs w:val="20"/>
              </w:rPr>
              <w:t>bunded, roofed, and concrete-floored areas</w:t>
            </w:r>
            <w:r w:rsidRPr="002B3F36">
              <w:rPr>
                <w:rFonts w:ascii="Arial" w:hAnsi="Arial" w:cs="Arial"/>
                <w:sz w:val="20"/>
                <w:szCs w:val="20"/>
              </w:rPr>
              <w:t xml:space="preserve"> with secondary containment sized to ≥110% of the largest tank or ≥25% of the total stored volume, whichever is greater.</w:t>
            </w:r>
          </w:p>
          <w:p w14:paraId="3B06B045" w14:textId="77777777" w:rsidR="00376A8C" w:rsidRPr="002B3F36" w:rsidRDefault="00376A8C" w:rsidP="009B4CDB">
            <w:pPr>
              <w:pStyle w:val="aff9"/>
              <w:numPr>
                <w:ilvl w:val="0"/>
                <w:numId w:val="226"/>
              </w:numPr>
              <w:rPr>
                <w:rFonts w:ascii="Arial" w:hAnsi="Arial" w:cs="Arial"/>
                <w:sz w:val="20"/>
                <w:szCs w:val="20"/>
              </w:rPr>
            </w:pPr>
            <w:r w:rsidRPr="002B3F36">
              <w:rPr>
                <w:rFonts w:ascii="Arial" w:hAnsi="Arial" w:cs="Arial"/>
                <w:sz w:val="20"/>
                <w:szCs w:val="20"/>
              </w:rPr>
              <w:t xml:space="preserve">Designate </w:t>
            </w:r>
            <w:r w:rsidRPr="002B3F36">
              <w:rPr>
                <w:rStyle w:val="affffb"/>
                <w:sz w:val="20"/>
                <w:szCs w:val="20"/>
              </w:rPr>
              <w:t>maintenance and refueling bays</w:t>
            </w:r>
            <w:r w:rsidRPr="002B3F36">
              <w:rPr>
                <w:rFonts w:ascii="Arial" w:hAnsi="Arial" w:cs="Arial"/>
                <w:sz w:val="20"/>
                <w:szCs w:val="20"/>
              </w:rPr>
              <w:t xml:space="preserve"> with oil–water separators, cleaned and inspected regularly to ensure performance.</w:t>
            </w:r>
          </w:p>
          <w:p w14:paraId="0AA51CF0" w14:textId="77777777" w:rsidR="00376A8C" w:rsidRPr="002B3F36" w:rsidRDefault="00376A8C" w:rsidP="009B4CDB">
            <w:pPr>
              <w:pStyle w:val="aff9"/>
              <w:numPr>
                <w:ilvl w:val="0"/>
                <w:numId w:val="226"/>
              </w:numPr>
              <w:rPr>
                <w:rFonts w:ascii="Arial" w:hAnsi="Arial" w:cs="Arial"/>
                <w:sz w:val="20"/>
                <w:szCs w:val="20"/>
              </w:rPr>
            </w:pPr>
            <w:r w:rsidRPr="002B3F36">
              <w:rPr>
                <w:rFonts w:ascii="Arial" w:hAnsi="Arial" w:cs="Arial"/>
                <w:sz w:val="20"/>
                <w:szCs w:val="20"/>
              </w:rPr>
              <w:t xml:space="preserve">Segregate and safely store </w:t>
            </w:r>
            <w:r w:rsidRPr="002B3F36">
              <w:rPr>
                <w:rStyle w:val="affffb"/>
                <w:sz w:val="20"/>
                <w:szCs w:val="20"/>
              </w:rPr>
              <w:t>oily wastes, used batteries, and drums</w:t>
            </w:r>
            <w:r w:rsidRPr="002B3F36">
              <w:rPr>
                <w:rFonts w:ascii="Arial" w:hAnsi="Arial" w:cs="Arial"/>
                <w:sz w:val="20"/>
                <w:szCs w:val="20"/>
              </w:rPr>
              <w:t>, with disposal only through licensed hazardous waste contractors.</w:t>
            </w:r>
          </w:p>
          <w:p w14:paraId="7B53DCCE" w14:textId="77777777" w:rsidR="00376A8C" w:rsidRPr="002B3F36" w:rsidRDefault="00376A8C" w:rsidP="009B4CDB">
            <w:pPr>
              <w:pStyle w:val="aff9"/>
              <w:numPr>
                <w:ilvl w:val="0"/>
                <w:numId w:val="226"/>
              </w:numPr>
              <w:rPr>
                <w:rFonts w:ascii="Arial" w:hAnsi="Arial" w:cs="Arial"/>
                <w:sz w:val="20"/>
                <w:szCs w:val="20"/>
              </w:rPr>
            </w:pPr>
            <w:r w:rsidRPr="002B3F36">
              <w:rPr>
                <w:rFonts w:ascii="Arial" w:hAnsi="Arial" w:cs="Arial"/>
                <w:sz w:val="20"/>
                <w:szCs w:val="20"/>
              </w:rPr>
              <w:t xml:space="preserve">Maintain </w:t>
            </w:r>
            <w:r w:rsidRPr="002B3F36">
              <w:rPr>
                <w:rStyle w:val="affffb"/>
                <w:sz w:val="20"/>
                <w:szCs w:val="20"/>
              </w:rPr>
              <w:t>spill kits</w:t>
            </w:r>
            <w:r w:rsidRPr="002B3F36">
              <w:rPr>
                <w:rFonts w:ascii="Arial" w:hAnsi="Arial" w:cs="Arial"/>
                <w:sz w:val="20"/>
                <w:szCs w:val="20"/>
              </w:rPr>
              <w:t xml:space="preserve"> at all high-risk areas and ensure workers are trained in immediate containment and clean-up procedures.</w:t>
            </w:r>
          </w:p>
          <w:p w14:paraId="5B4ABED3" w14:textId="77777777" w:rsidR="00376A8C" w:rsidRPr="002B3F36" w:rsidRDefault="00376A8C" w:rsidP="009B4CDB">
            <w:pPr>
              <w:pStyle w:val="aff9"/>
              <w:numPr>
                <w:ilvl w:val="0"/>
                <w:numId w:val="226"/>
              </w:numPr>
              <w:rPr>
                <w:rFonts w:ascii="Arial" w:hAnsi="Arial" w:cs="Arial"/>
                <w:sz w:val="20"/>
                <w:szCs w:val="20"/>
              </w:rPr>
            </w:pPr>
            <w:r w:rsidRPr="002B3F36">
              <w:rPr>
                <w:rFonts w:ascii="Arial" w:hAnsi="Arial" w:cs="Arial"/>
                <w:sz w:val="20"/>
                <w:szCs w:val="20"/>
              </w:rPr>
              <w:lastRenderedPageBreak/>
              <w:t xml:space="preserve">Prohibit any discharge of oily water or residual chemicals onto land or into water bodies; maintain </w:t>
            </w:r>
            <w:r w:rsidRPr="002B3F36">
              <w:rPr>
                <w:rStyle w:val="affffb"/>
                <w:sz w:val="20"/>
                <w:szCs w:val="20"/>
              </w:rPr>
              <w:t>waste transfer manifests</w:t>
            </w:r>
            <w:r w:rsidRPr="002B3F36">
              <w:rPr>
                <w:rFonts w:ascii="Arial" w:hAnsi="Arial" w:cs="Arial"/>
                <w:sz w:val="20"/>
                <w:szCs w:val="20"/>
              </w:rPr>
              <w:t xml:space="preserve"> for full traceability.</w:t>
            </w:r>
          </w:p>
          <w:p w14:paraId="5D878562" w14:textId="77777777" w:rsidR="00376A8C" w:rsidRPr="002B3F36" w:rsidRDefault="00376A8C" w:rsidP="009B4CDB">
            <w:pPr>
              <w:pStyle w:val="DiaList12"/>
              <w:numPr>
                <w:ilvl w:val="0"/>
                <w:numId w:val="225"/>
              </w:numPr>
              <w:rPr>
                <w:rFonts w:eastAsia="SimSun"/>
                <w:sz w:val="20"/>
                <w:szCs w:val="20"/>
                <w:lang w:val="en-PH"/>
              </w:rPr>
            </w:pPr>
            <w:r w:rsidRPr="002B3F36">
              <w:rPr>
                <w:rFonts w:eastAsia="SimSun"/>
                <w:sz w:val="20"/>
                <w:szCs w:val="20"/>
                <w:lang w:val="en-PH"/>
              </w:rPr>
              <w:t>Topsoil Stripping and Storage</w:t>
            </w:r>
          </w:p>
          <w:p w14:paraId="3314ED8C" w14:textId="77777777" w:rsidR="00376A8C" w:rsidRPr="002B3F36" w:rsidRDefault="00376A8C" w:rsidP="009B4CDB">
            <w:pPr>
              <w:pStyle w:val="aff9"/>
              <w:numPr>
                <w:ilvl w:val="0"/>
                <w:numId w:val="227"/>
              </w:numPr>
              <w:spacing w:before="0" w:beforeAutospacing="0" w:after="0" w:afterAutospacing="0"/>
              <w:rPr>
                <w:rFonts w:ascii="Arial" w:hAnsi="Arial" w:cs="Arial"/>
                <w:sz w:val="20"/>
                <w:szCs w:val="20"/>
              </w:rPr>
            </w:pPr>
            <w:r w:rsidRPr="002B3F36">
              <w:rPr>
                <w:rFonts w:ascii="Arial" w:hAnsi="Arial" w:cs="Arial"/>
                <w:sz w:val="20"/>
                <w:szCs w:val="20"/>
              </w:rPr>
              <w:t xml:space="preserve">Strip </w:t>
            </w:r>
            <w:r w:rsidRPr="002B3F36">
              <w:rPr>
                <w:rStyle w:val="affffb"/>
                <w:sz w:val="20"/>
                <w:szCs w:val="20"/>
              </w:rPr>
              <w:t>topsoil separately</w:t>
            </w:r>
            <w:r w:rsidRPr="002B3F36">
              <w:rPr>
                <w:rFonts w:ascii="Arial" w:hAnsi="Arial" w:cs="Arial"/>
                <w:sz w:val="20"/>
                <w:szCs w:val="20"/>
              </w:rPr>
              <w:t xml:space="preserve"> and prevent mixing with subsoil, saline, or sterile material.</w:t>
            </w:r>
          </w:p>
          <w:p w14:paraId="44E9F1BF" w14:textId="77777777" w:rsidR="00376A8C" w:rsidRPr="002B3F36" w:rsidRDefault="00376A8C" w:rsidP="009B4CDB">
            <w:pPr>
              <w:pStyle w:val="aff9"/>
              <w:numPr>
                <w:ilvl w:val="0"/>
                <w:numId w:val="227"/>
              </w:numPr>
              <w:rPr>
                <w:rFonts w:ascii="Arial" w:hAnsi="Arial" w:cs="Arial"/>
                <w:sz w:val="20"/>
                <w:szCs w:val="20"/>
              </w:rPr>
            </w:pPr>
            <w:r w:rsidRPr="002B3F36">
              <w:rPr>
                <w:rFonts w:ascii="Arial" w:hAnsi="Arial" w:cs="Arial"/>
                <w:sz w:val="20"/>
                <w:szCs w:val="20"/>
              </w:rPr>
              <w:t xml:space="preserve">Manage stockpiles to a maximum height of </w:t>
            </w:r>
            <w:r w:rsidRPr="002B3F36">
              <w:rPr>
                <w:rStyle w:val="affffb"/>
                <w:sz w:val="20"/>
                <w:szCs w:val="20"/>
              </w:rPr>
              <w:t>3 meters</w:t>
            </w:r>
            <w:r w:rsidRPr="002B3F36">
              <w:rPr>
                <w:rFonts w:ascii="Arial" w:hAnsi="Arial" w:cs="Arial"/>
                <w:sz w:val="20"/>
                <w:szCs w:val="20"/>
              </w:rPr>
              <w:t>, with gentle slopes, erosion protection (mulching or seeding), and stabilization against wind and water.</w:t>
            </w:r>
          </w:p>
          <w:p w14:paraId="5DEBF6B7" w14:textId="77777777" w:rsidR="00376A8C" w:rsidRPr="002B3F36" w:rsidRDefault="00376A8C" w:rsidP="009B4CDB">
            <w:pPr>
              <w:pStyle w:val="aff9"/>
              <w:numPr>
                <w:ilvl w:val="0"/>
                <w:numId w:val="227"/>
              </w:numPr>
              <w:rPr>
                <w:rFonts w:ascii="Arial" w:hAnsi="Arial" w:cs="Arial"/>
                <w:sz w:val="20"/>
                <w:szCs w:val="20"/>
              </w:rPr>
            </w:pPr>
            <w:r w:rsidRPr="002B3F36">
              <w:rPr>
                <w:rFonts w:ascii="Arial" w:hAnsi="Arial" w:cs="Arial"/>
                <w:sz w:val="20"/>
                <w:szCs w:val="20"/>
              </w:rPr>
              <w:t xml:space="preserve">Clearly mark stockpiles with signage (e.g., </w:t>
            </w:r>
            <w:r w:rsidRPr="002B3F36">
              <w:rPr>
                <w:rStyle w:val="affffc"/>
                <w:rFonts w:ascii="Arial" w:hAnsi="Arial" w:cs="Arial"/>
                <w:sz w:val="20"/>
                <w:szCs w:val="20"/>
              </w:rPr>
              <w:t>“Topsoil Stockpile”</w:t>
            </w:r>
            <w:r w:rsidRPr="002B3F36">
              <w:rPr>
                <w:rFonts w:ascii="Arial" w:hAnsi="Arial" w:cs="Arial"/>
                <w:sz w:val="20"/>
                <w:szCs w:val="20"/>
              </w:rPr>
              <w:t>) and restrict access to maintain resource integrity.</w:t>
            </w:r>
          </w:p>
          <w:p w14:paraId="4064AB83" w14:textId="77777777" w:rsidR="00376A8C" w:rsidRPr="002B3F36" w:rsidRDefault="00376A8C" w:rsidP="009B4CDB">
            <w:pPr>
              <w:pStyle w:val="aff9"/>
              <w:numPr>
                <w:ilvl w:val="0"/>
                <w:numId w:val="227"/>
              </w:numPr>
              <w:rPr>
                <w:rFonts w:ascii="Arial" w:hAnsi="Arial" w:cs="Arial"/>
                <w:sz w:val="20"/>
                <w:szCs w:val="20"/>
              </w:rPr>
            </w:pPr>
            <w:r w:rsidRPr="002B3F36">
              <w:rPr>
                <w:rFonts w:ascii="Arial" w:hAnsi="Arial" w:cs="Arial"/>
                <w:sz w:val="20"/>
                <w:szCs w:val="20"/>
              </w:rPr>
              <w:t xml:space="preserve">Reuse topsoil for </w:t>
            </w:r>
            <w:r w:rsidRPr="002B3F36">
              <w:rPr>
                <w:rStyle w:val="affffb"/>
                <w:sz w:val="20"/>
                <w:szCs w:val="20"/>
              </w:rPr>
              <w:t>site rehabilitation, landscaping, and erosion control</w:t>
            </w:r>
            <w:r w:rsidRPr="002B3F36">
              <w:rPr>
                <w:rFonts w:ascii="Arial" w:hAnsi="Arial" w:cs="Arial"/>
                <w:sz w:val="20"/>
                <w:szCs w:val="20"/>
              </w:rPr>
              <w:t xml:space="preserve"> at the end of construction activities.</w:t>
            </w:r>
          </w:p>
          <w:p w14:paraId="7114A30B" w14:textId="77777777" w:rsidR="00376A8C" w:rsidRPr="002B3F36" w:rsidRDefault="00376A8C" w:rsidP="009B4CDB">
            <w:pPr>
              <w:pStyle w:val="DiaList12"/>
              <w:numPr>
                <w:ilvl w:val="0"/>
                <w:numId w:val="225"/>
              </w:numPr>
              <w:rPr>
                <w:rFonts w:eastAsia="SimSun"/>
                <w:sz w:val="20"/>
                <w:szCs w:val="20"/>
                <w:lang w:val="en-PH"/>
              </w:rPr>
            </w:pPr>
            <w:r w:rsidRPr="002B3F36">
              <w:rPr>
                <w:rFonts w:eastAsia="SimSun"/>
                <w:sz w:val="20"/>
                <w:szCs w:val="20"/>
                <w:lang w:val="en-PH"/>
              </w:rPr>
              <w:t>Solid and Liquid Waste Management</w:t>
            </w:r>
          </w:p>
          <w:p w14:paraId="3FBFD0C3" w14:textId="77777777" w:rsidR="00376A8C" w:rsidRPr="002B3F36" w:rsidRDefault="00376A8C" w:rsidP="009B4CDB">
            <w:pPr>
              <w:pStyle w:val="aff9"/>
              <w:numPr>
                <w:ilvl w:val="0"/>
                <w:numId w:val="228"/>
              </w:numPr>
              <w:spacing w:before="0" w:beforeAutospacing="0" w:afterAutospacing="0"/>
              <w:rPr>
                <w:rFonts w:ascii="Arial" w:hAnsi="Arial" w:cs="Arial"/>
                <w:sz w:val="20"/>
                <w:szCs w:val="20"/>
              </w:rPr>
            </w:pPr>
            <w:r w:rsidRPr="002B3F36">
              <w:rPr>
                <w:rFonts w:ascii="Arial" w:hAnsi="Arial" w:cs="Arial"/>
                <w:sz w:val="20"/>
                <w:szCs w:val="20"/>
              </w:rPr>
              <w:t xml:space="preserve">Connect worker camps to </w:t>
            </w:r>
            <w:r w:rsidRPr="002B3F36">
              <w:rPr>
                <w:rStyle w:val="affffb"/>
                <w:sz w:val="20"/>
                <w:szCs w:val="20"/>
              </w:rPr>
              <w:t>septic tanks or wastewater treatment plants</w:t>
            </w:r>
            <w:r w:rsidRPr="002B3F36">
              <w:rPr>
                <w:rFonts w:ascii="Arial" w:hAnsi="Arial" w:cs="Arial"/>
                <w:sz w:val="20"/>
                <w:szCs w:val="20"/>
              </w:rPr>
              <w:t>, and desludge portable toilets on a regular schedule.</w:t>
            </w:r>
          </w:p>
          <w:p w14:paraId="3CB894BE" w14:textId="6AC31DD9" w:rsidR="00376A8C" w:rsidRPr="002B3F36" w:rsidRDefault="00376A8C" w:rsidP="009B4CDB">
            <w:pPr>
              <w:pStyle w:val="aff9"/>
              <w:numPr>
                <w:ilvl w:val="0"/>
                <w:numId w:val="228"/>
              </w:numPr>
              <w:spacing w:before="0" w:beforeAutospacing="0" w:afterAutospacing="0"/>
              <w:rPr>
                <w:rFonts w:ascii="Arial" w:hAnsi="Arial" w:cs="Arial"/>
                <w:sz w:val="20"/>
                <w:szCs w:val="20"/>
              </w:rPr>
            </w:pPr>
            <w:r w:rsidRPr="002B3F36">
              <w:rPr>
                <w:rFonts w:ascii="Arial" w:hAnsi="Arial" w:cs="Arial"/>
                <w:sz w:val="20"/>
                <w:szCs w:val="20"/>
              </w:rPr>
              <w:t xml:space="preserve">Collect and settle </w:t>
            </w:r>
            <w:r w:rsidRPr="002B3F36">
              <w:rPr>
                <w:rStyle w:val="affffb"/>
                <w:sz w:val="20"/>
                <w:szCs w:val="20"/>
              </w:rPr>
              <w:t>silt-laden water</w:t>
            </w:r>
            <w:r w:rsidRPr="002B3F36">
              <w:rPr>
                <w:rFonts w:ascii="Arial" w:hAnsi="Arial" w:cs="Arial"/>
                <w:sz w:val="20"/>
                <w:szCs w:val="20"/>
              </w:rPr>
              <w:t xml:space="preserve"> before reuse or safe disposal in accordance with RoK and </w:t>
            </w:r>
            <w:r w:rsidR="00F95BD8" w:rsidRPr="002B3F36">
              <w:rPr>
                <w:rFonts w:ascii="Arial" w:hAnsi="Arial" w:cs="Arial"/>
                <w:sz w:val="20"/>
                <w:szCs w:val="20"/>
              </w:rPr>
              <w:t>WB</w:t>
            </w:r>
            <w:r w:rsidRPr="002B3F36">
              <w:rPr>
                <w:rFonts w:ascii="Arial" w:hAnsi="Arial" w:cs="Arial"/>
                <w:sz w:val="20"/>
                <w:szCs w:val="20"/>
              </w:rPr>
              <w:t xml:space="preserve"> standards.</w:t>
            </w:r>
          </w:p>
          <w:p w14:paraId="102F16F1" w14:textId="77777777" w:rsidR="00376A8C" w:rsidRPr="002B3F36" w:rsidRDefault="00376A8C" w:rsidP="009B4CDB">
            <w:pPr>
              <w:pStyle w:val="aff9"/>
              <w:numPr>
                <w:ilvl w:val="0"/>
                <w:numId w:val="228"/>
              </w:numPr>
              <w:spacing w:before="0" w:beforeAutospacing="0" w:afterAutospacing="0"/>
              <w:rPr>
                <w:rFonts w:ascii="Arial" w:hAnsi="Arial" w:cs="Arial"/>
                <w:sz w:val="20"/>
                <w:szCs w:val="20"/>
              </w:rPr>
            </w:pPr>
            <w:r w:rsidRPr="002B3F36">
              <w:rPr>
                <w:rFonts w:ascii="Arial" w:hAnsi="Arial" w:cs="Arial"/>
                <w:sz w:val="20"/>
                <w:szCs w:val="20"/>
              </w:rPr>
              <w:t xml:space="preserve">Segregate </w:t>
            </w:r>
            <w:r w:rsidRPr="002B3F36">
              <w:rPr>
                <w:rStyle w:val="affffb"/>
                <w:sz w:val="20"/>
                <w:szCs w:val="20"/>
              </w:rPr>
              <w:t>solid waste streams</w:t>
            </w:r>
            <w:r w:rsidRPr="002B3F36">
              <w:rPr>
                <w:rFonts w:ascii="Arial" w:hAnsi="Arial" w:cs="Arial"/>
                <w:sz w:val="20"/>
                <w:szCs w:val="20"/>
              </w:rPr>
              <w:t xml:space="preserve"> (hazardous, recyclable, and general) and provide sufficient bins and containers at all work sites.</w:t>
            </w:r>
          </w:p>
          <w:p w14:paraId="798FCDD3" w14:textId="77777777" w:rsidR="00376A8C" w:rsidRPr="002B3F36" w:rsidRDefault="00376A8C" w:rsidP="009B4CDB">
            <w:pPr>
              <w:pStyle w:val="aff9"/>
              <w:numPr>
                <w:ilvl w:val="0"/>
                <w:numId w:val="228"/>
              </w:numPr>
              <w:spacing w:before="0" w:beforeAutospacing="0" w:afterAutospacing="0"/>
              <w:rPr>
                <w:rFonts w:ascii="Arial" w:hAnsi="Arial" w:cs="Arial"/>
                <w:sz w:val="20"/>
                <w:szCs w:val="20"/>
              </w:rPr>
            </w:pPr>
            <w:r w:rsidRPr="002B3F36">
              <w:rPr>
                <w:rFonts w:ascii="Arial" w:hAnsi="Arial" w:cs="Arial"/>
                <w:sz w:val="20"/>
                <w:szCs w:val="20"/>
              </w:rPr>
              <w:t xml:space="preserve">Engage </w:t>
            </w:r>
            <w:r w:rsidRPr="002B3F36">
              <w:rPr>
                <w:rStyle w:val="affffb"/>
                <w:sz w:val="20"/>
                <w:szCs w:val="20"/>
              </w:rPr>
              <w:t>licensed collectors</w:t>
            </w:r>
            <w:r w:rsidRPr="002B3F36">
              <w:rPr>
                <w:rFonts w:ascii="Arial" w:hAnsi="Arial" w:cs="Arial"/>
                <w:sz w:val="20"/>
                <w:szCs w:val="20"/>
              </w:rPr>
              <w:t xml:space="preserve"> for the removal and disposal of general waste, with recycling maximized for construction materials where feasible.</w:t>
            </w:r>
          </w:p>
          <w:p w14:paraId="2DF3E608" w14:textId="77777777" w:rsidR="00F61F8E" w:rsidRPr="002B3F36" w:rsidRDefault="00F61F8E">
            <w:pPr>
              <w:pStyle w:val="BulletTable"/>
              <w:numPr>
                <w:ilvl w:val="0"/>
                <w:numId w:val="0"/>
              </w:numPr>
              <w:ind w:left="356"/>
              <w:rPr>
                <w:color w:val="auto"/>
                <w:sz w:val="20"/>
                <w:szCs w:val="20"/>
              </w:rPr>
            </w:pPr>
          </w:p>
        </w:tc>
        <w:tc>
          <w:tcPr>
            <w:tcW w:w="1751" w:type="dxa"/>
          </w:tcPr>
          <w:p w14:paraId="00CC7BCE"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3FB63878"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D5813" w:rsidRPr="002B3F36" w14:paraId="65AF2A54" w14:textId="77777777" w:rsidTr="0089733D">
        <w:tc>
          <w:tcPr>
            <w:tcW w:w="1180" w:type="dxa"/>
          </w:tcPr>
          <w:p w14:paraId="0831D40B" w14:textId="77777777" w:rsidR="00FD5813" w:rsidRPr="002B3F36" w:rsidRDefault="00FD5813" w:rsidP="00FD5813">
            <w:pPr>
              <w:rPr>
                <w:rFonts w:ascii="Arial" w:hAnsi="Arial" w:cs="Arial"/>
                <w:sz w:val="20"/>
                <w:szCs w:val="20"/>
              </w:rPr>
            </w:pPr>
            <w:r w:rsidRPr="002B3F36">
              <w:rPr>
                <w:rFonts w:ascii="Arial" w:hAnsi="Arial" w:cs="Arial"/>
                <w:sz w:val="20"/>
                <w:szCs w:val="20"/>
              </w:rPr>
              <w:t>Sediment Pollution (Surface Waters)</w:t>
            </w:r>
          </w:p>
        </w:tc>
        <w:tc>
          <w:tcPr>
            <w:tcW w:w="1180" w:type="dxa"/>
          </w:tcPr>
          <w:p w14:paraId="7AA04DF5" w14:textId="77777777" w:rsidR="00FD5813" w:rsidRPr="002B3F36" w:rsidRDefault="00FD5813" w:rsidP="00FD5813">
            <w:pPr>
              <w:shd w:val="clear" w:color="auto" w:fill="FFFFFF"/>
              <w:suppressAutoHyphens/>
              <w:jc w:val="center"/>
              <w:rPr>
                <w:rFonts w:ascii="Arial" w:hAnsi="Arial" w:cs="Arial"/>
                <w:sz w:val="20"/>
                <w:szCs w:val="20"/>
              </w:rPr>
            </w:pPr>
            <w:r w:rsidRPr="002B3F36">
              <w:rPr>
                <w:rFonts w:ascii="Arial" w:hAnsi="Arial" w:cs="Arial"/>
                <w:sz w:val="20"/>
                <w:szCs w:val="20"/>
              </w:rPr>
              <w:t>Earthworks and spoil management</w:t>
            </w:r>
          </w:p>
        </w:tc>
        <w:tc>
          <w:tcPr>
            <w:tcW w:w="3225" w:type="dxa"/>
          </w:tcPr>
          <w:p w14:paraId="72DBB766" w14:textId="77777777" w:rsidR="00FD5813" w:rsidRPr="002B3F36" w:rsidRDefault="00FD5813" w:rsidP="009B4CDB">
            <w:pPr>
              <w:pStyle w:val="aff9"/>
              <w:numPr>
                <w:ilvl w:val="0"/>
                <w:numId w:val="139"/>
              </w:numPr>
              <w:tabs>
                <w:tab w:val="clear" w:pos="720"/>
              </w:tabs>
              <w:spacing w:before="0" w:beforeAutospacing="0" w:after="0" w:afterAutospacing="0"/>
              <w:ind w:left="230" w:hanging="180"/>
              <w:rPr>
                <w:rFonts w:ascii="Arial" w:hAnsi="Arial" w:cs="Arial"/>
                <w:sz w:val="20"/>
                <w:szCs w:val="20"/>
              </w:rPr>
            </w:pPr>
            <w:r w:rsidRPr="002B3F36">
              <w:rPr>
                <w:rFonts w:ascii="Arial" w:hAnsi="Arial" w:cs="Arial"/>
                <w:sz w:val="20"/>
                <w:szCs w:val="20"/>
              </w:rPr>
              <w:t>Mobilization of fine particles to receiving waters</w:t>
            </w:r>
          </w:p>
        </w:tc>
        <w:tc>
          <w:tcPr>
            <w:tcW w:w="5822" w:type="dxa"/>
          </w:tcPr>
          <w:p w14:paraId="7217A695" w14:textId="3357A43F" w:rsidR="00FD5813" w:rsidRPr="002B3F36" w:rsidRDefault="00FD5813" w:rsidP="009B4CDB">
            <w:pPr>
              <w:pStyle w:val="aff9"/>
              <w:numPr>
                <w:ilvl w:val="0"/>
                <w:numId w:val="139"/>
              </w:numPr>
              <w:rPr>
                <w:rFonts w:ascii="Arial" w:hAnsi="Arial" w:cs="Arial"/>
                <w:sz w:val="20"/>
                <w:szCs w:val="20"/>
              </w:rPr>
            </w:pPr>
            <w:r w:rsidRPr="002B3F36">
              <w:rPr>
                <w:rFonts w:ascii="Arial" w:hAnsi="Arial" w:cs="Arial"/>
                <w:sz w:val="20"/>
                <w:szCs w:val="20"/>
              </w:rPr>
              <w:t xml:space="preserve">No disposal near water: Prohibit spoil/stockpile placement within defined buffer distances of rivers and drains (set in method statements; </w:t>
            </w:r>
            <w:r w:rsidR="001F09B4" w:rsidRPr="002B3F36">
              <w:rPr>
                <w:rFonts w:ascii="Arial" w:hAnsi="Arial" w:cs="Arial"/>
                <w:sz w:val="20"/>
                <w:szCs w:val="20"/>
              </w:rPr>
              <w:t>typically,</w:t>
            </w:r>
            <w:r w:rsidRPr="002B3F36">
              <w:rPr>
                <w:rFonts w:ascii="Arial" w:hAnsi="Arial" w:cs="Arial"/>
                <w:sz w:val="20"/>
                <w:szCs w:val="20"/>
              </w:rPr>
              <w:t xml:space="preserve"> ≥50 m, larger where slopes/soils warrant).</w:t>
            </w:r>
          </w:p>
          <w:p w14:paraId="105E9CF1" w14:textId="77777777" w:rsidR="00FD5813" w:rsidRPr="002B3F36" w:rsidRDefault="00FD5813" w:rsidP="009B4CDB">
            <w:pPr>
              <w:pStyle w:val="aff9"/>
              <w:numPr>
                <w:ilvl w:val="0"/>
                <w:numId w:val="139"/>
              </w:numPr>
              <w:rPr>
                <w:rFonts w:ascii="Arial" w:hAnsi="Arial" w:cs="Arial"/>
                <w:sz w:val="20"/>
                <w:szCs w:val="20"/>
              </w:rPr>
            </w:pPr>
            <w:r w:rsidRPr="002B3F36">
              <w:rPr>
                <w:rFonts w:ascii="Arial" w:hAnsi="Arial" w:cs="Arial"/>
                <w:sz w:val="20"/>
                <w:szCs w:val="20"/>
              </w:rPr>
              <w:lastRenderedPageBreak/>
              <w:t>Stockpile management: Limit heights, batter slopes, re-vegetate/mulch promptly, and surround with silt fencing/wattles; cover during high-wind periods.</w:t>
            </w:r>
          </w:p>
          <w:p w14:paraId="18B771F1" w14:textId="77777777" w:rsidR="00FD5813" w:rsidRPr="002B3F36" w:rsidRDefault="00FD5813" w:rsidP="009B4CDB">
            <w:pPr>
              <w:pStyle w:val="aff9"/>
              <w:numPr>
                <w:ilvl w:val="0"/>
                <w:numId w:val="139"/>
              </w:numPr>
              <w:rPr>
                <w:rFonts w:ascii="Arial" w:hAnsi="Arial" w:cs="Arial"/>
                <w:sz w:val="20"/>
                <w:szCs w:val="20"/>
              </w:rPr>
            </w:pPr>
            <w:r w:rsidRPr="002B3F36">
              <w:rPr>
                <w:rFonts w:ascii="Arial" w:hAnsi="Arial" w:cs="Arial"/>
                <w:sz w:val="20"/>
                <w:szCs w:val="20"/>
              </w:rPr>
              <w:t>Erosion &amp; sediment control (ESC): Install diversion channels, check dams, and temporary settling basins; phase earthworks to minimize open ground.</w:t>
            </w:r>
          </w:p>
          <w:p w14:paraId="509ADA5B" w14:textId="77777777" w:rsidR="00FD5813" w:rsidRPr="002B3F36" w:rsidRDefault="00FD5813" w:rsidP="009B4CDB">
            <w:pPr>
              <w:pStyle w:val="aff9"/>
              <w:numPr>
                <w:ilvl w:val="0"/>
                <w:numId w:val="139"/>
              </w:numPr>
              <w:rPr>
                <w:rFonts w:ascii="Arial" w:hAnsi="Arial" w:cs="Arial"/>
                <w:sz w:val="20"/>
                <w:szCs w:val="20"/>
              </w:rPr>
            </w:pPr>
            <w:r w:rsidRPr="002B3F36">
              <w:rPr>
                <w:rFonts w:ascii="Arial" w:hAnsi="Arial" w:cs="Arial"/>
                <w:sz w:val="20"/>
                <w:szCs w:val="20"/>
              </w:rPr>
              <w:t>Crossing works timing: Schedule in low-flow periods; maintain cofferdams/bunds and pump to sediment cells before discharge.</w:t>
            </w:r>
          </w:p>
          <w:p w14:paraId="5FB7AA8D" w14:textId="77777777" w:rsidR="00FD5813" w:rsidRPr="002B3F36" w:rsidRDefault="00FD5813" w:rsidP="009B4CDB">
            <w:pPr>
              <w:pStyle w:val="aff9"/>
              <w:numPr>
                <w:ilvl w:val="0"/>
                <w:numId w:val="139"/>
              </w:numPr>
              <w:rPr>
                <w:rFonts w:ascii="Arial" w:hAnsi="Arial" w:cs="Arial"/>
                <w:sz w:val="20"/>
                <w:szCs w:val="20"/>
              </w:rPr>
            </w:pPr>
            <w:r w:rsidRPr="002B3F36">
              <w:rPr>
                <w:rFonts w:ascii="Arial" w:hAnsi="Arial" w:cs="Arial"/>
                <w:sz w:val="20"/>
                <w:szCs w:val="20"/>
              </w:rPr>
              <w:t>Monitoring: Turbidity/SSC spot checks upstream/downstream during crossing works and after significant rain events; corrective actions where thresholds are exceeded.</w:t>
            </w:r>
          </w:p>
        </w:tc>
        <w:tc>
          <w:tcPr>
            <w:tcW w:w="1751" w:type="dxa"/>
          </w:tcPr>
          <w:p w14:paraId="5CB1D104" w14:textId="77777777" w:rsidR="00FD5813" w:rsidRPr="002B3F36" w:rsidRDefault="00FD5813" w:rsidP="00FD5813">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w:t>
            </w:r>
            <w:r w:rsidRPr="002B3F36">
              <w:rPr>
                <w:rFonts w:ascii="Arial" w:eastAsia="Arial" w:hAnsi="Arial" w:cs="Arial"/>
                <w:sz w:val="20"/>
                <w:szCs w:val="20"/>
                <w:lang w:val="en-AU"/>
              </w:rPr>
              <w:lastRenderedPageBreak/>
              <w:t>implement</w:t>
            </w:r>
          </w:p>
          <w:p w14:paraId="2416C6BB" w14:textId="2CAC7DAA" w:rsidR="00FD5813" w:rsidRPr="002B3F36" w:rsidRDefault="00FD5813" w:rsidP="00FD5813">
            <w:pPr>
              <w:suppressAutoHyphens/>
              <w:jc w:val="center"/>
              <w:rPr>
                <w:rFonts w:ascii="Arial" w:eastAsia="Arial" w:hAnsi="Arial" w:cs="Arial"/>
                <w:sz w:val="20"/>
                <w:szCs w:val="20"/>
                <w:u w:val="single"/>
                <w:lang w:val="en-AU"/>
              </w:rPr>
            </w:pPr>
            <w:r w:rsidRPr="002B3F36">
              <w:rPr>
                <w:rFonts w:ascii="Arial" w:eastAsia="Arial" w:hAnsi="Arial" w:cs="Arial"/>
                <w:sz w:val="20"/>
                <w:szCs w:val="20"/>
                <w:lang w:val="en-AU"/>
              </w:rPr>
              <w:t xml:space="preserve">Assistance from Akimat </w:t>
            </w:r>
          </w:p>
        </w:tc>
        <w:tc>
          <w:tcPr>
            <w:tcW w:w="1332" w:type="dxa"/>
          </w:tcPr>
          <w:p w14:paraId="18D2AFCE" w14:textId="705DBC38" w:rsidR="00FD5813" w:rsidRPr="002B3F36" w:rsidRDefault="00FD5813" w:rsidP="00FD5813">
            <w:pPr>
              <w:suppressAutoHyphens/>
              <w:jc w:val="center"/>
              <w:rPr>
                <w:rFonts w:ascii="Arial" w:eastAsia="Arial" w:hAnsi="Arial" w:cs="Arial"/>
                <w:sz w:val="20"/>
                <w:szCs w:val="20"/>
                <w:lang w:val="en-AU"/>
              </w:rPr>
            </w:pPr>
            <w:r w:rsidRPr="002B3F36">
              <w:rPr>
                <w:rFonts w:ascii="Arial" w:eastAsia="Arial" w:hAnsi="Arial" w:cs="Arial"/>
                <w:sz w:val="20"/>
                <w:szCs w:val="20"/>
                <w:lang w:val="en-AU"/>
              </w:rPr>
              <w:lastRenderedPageBreak/>
              <w:t>During construction Stage (</w:t>
            </w:r>
            <w:r w:rsidRPr="002B3F36">
              <w:rPr>
                <w:rFonts w:ascii="Arial" w:eastAsia="Calibri" w:hAnsi="Arial" w:cs="Arial"/>
                <w:sz w:val="20"/>
                <w:szCs w:val="20"/>
              </w:rPr>
              <w:t xml:space="preserve">Budget part of </w:t>
            </w:r>
            <w:r w:rsidRPr="002B3F36">
              <w:rPr>
                <w:rFonts w:ascii="Arial" w:eastAsia="Calibri" w:hAnsi="Arial" w:cs="Arial"/>
                <w:sz w:val="20"/>
                <w:szCs w:val="20"/>
              </w:rPr>
              <w:lastRenderedPageBreak/>
              <w:t>supervision contract; part of operational cost of Contractor)</w:t>
            </w:r>
          </w:p>
        </w:tc>
      </w:tr>
      <w:tr w:rsidR="00FD5813" w:rsidRPr="002B3F36" w14:paraId="3982B504" w14:textId="77777777" w:rsidTr="0089733D">
        <w:tc>
          <w:tcPr>
            <w:tcW w:w="1180" w:type="dxa"/>
          </w:tcPr>
          <w:p w14:paraId="1DE8910D" w14:textId="77777777" w:rsidR="00FD5813" w:rsidRPr="002B3F36" w:rsidRDefault="00FD5813" w:rsidP="00FD5813">
            <w:pPr>
              <w:shd w:val="clear" w:color="auto" w:fill="FFFFFF"/>
              <w:suppressAutoHyphens/>
              <w:jc w:val="center"/>
              <w:rPr>
                <w:rFonts w:ascii="Arial" w:hAnsi="Arial" w:cs="Arial"/>
                <w:sz w:val="20"/>
                <w:szCs w:val="20"/>
              </w:rPr>
            </w:pPr>
            <w:r w:rsidRPr="002B3F36">
              <w:rPr>
                <w:rFonts w:ascii="Arial" w:hAnsi="Arial" w:cs="Arial"/>
                <w:sz w:val="20"/>
                <w:szCs w:val="20"/>
              </w:rPr>
              <w:t>Water Quality</w:t>
            </w:r>
          </w:p>
        </w:tc>
        <w:tc>
          <w:tcPr>
            <w:tcW w:w="1180" w:type="dxa"/>
          </w:tcPr>
          <w:p w14:paraId="7E115093" w14:textId="77777777" w:rsidR="00FD5813" w:rsidRPr="002B3F36" w:rsidRDefault="00FD5813" w:rsidP="00FD5813">
            <w:pPr>
              <w:shd w:val="clear" w:color="auto" w:fill="FFFFFF"/>
              <w:suppressAutoHyphens/>
              <w:jc w:val="center"/>
              <w:rPr>
                <w:rFonts w:ascii="Arial" w:hAnsi="Arial" w:cs="Arial"/>
                <w:sz w:val="20"/>
                <w:szCs w:val="20"/>
              </w:rPr>
            </w:pPr>
            <w:r w:rsidRPr="002B3F36">
              <w:rPr>
                <w:rFonts w:ascii="Arial" w:hAnsi="Arial" w:cs="Arial"/>
                <w:sz w:val="20"/>
                <w:szCs w:val="20"/>
              </w:rPr>
              <w:t>Sediment Pollution (Surface Waters)</w:t>
            </w:r>
          </w:p>
        </w:tc>
        <w:tc>
          <w:tcPr>
            <w:tcW w:w="3225" w:type="dxa"/>
          </w:tcPr>
          <w:p w14:paraId="794D01B9" w14:textId="77777777" w:rsidR="00FD5813" w:rsidRPr="002B3F36" w:rsidRDefault="00FD5813" w:rsidP="00FD5813">
            <w:pPr>
              <w:shd w:val="clear" w:color="auto" w:fill="FFFFFF"/>
              <w:suppressAutoHyphens/>
              <w:ind w:right="34"/>
              <w:jc w:val="both"/>
              <w:rPr>
                <w:rFonts w:ascii="Arial" w:eastAsia="Calibri" w:hAnsi="Arial" w:cs="Arial"/>
                <w:sz w:val="20"/>
                <w:szCs w:val="20"/>
              </w:rPr>
            </w:pPr>
            <w:r w:rsidRPr="002B3F36">
              <w:rPr>
                <w:rFonts w:ascii="Arial" w:eastAsia="Calibri" w:hAnsi="Arial" w:cs="Arial"/>
                <w:sz w:val="20"/>
                <w:szCs w:val="20"/>
              </w:rPr>
              <w:t>Mobilization of  fine particles to receiving waters</w:t>
            </w:r>
          </w:p>
        </w:tc>
        <w:tc>
          <w:tcPr>
            <w:tcW w:w="5822" w:type="dxa"/>
          </w:tcPr>
          <w:p w14:paraId="1A480CD2" w14:textId="136E13E5" w:rsidR="00FD5813" w:rsidRPr="002B3F36" w:rsidRDefault="00FD5813" w:rsidP="004E7508">
            <w:pPr>
              <w:pStyle w:val="aff9"/>
              <w:numPr>
                <w:ilvl w:val="0"/>
                <w:numId w:val="109"/>
              </w:numPr>
              <w:spacing w:before="0" w:beforeAutospacing="0" w:after="0" w:afterAutospacing="0"/>
              <w:jc w:val="both"/>
              <w:rPr>
                <w:rFonts w:ascii="Arial" w:hAnsi="Arial" w:cs="Arial"/>
                <w:sz w:val="20"/>
                <w:szCs w:val="20"/>
              </w:rPr>
            </w:pPr>
            <w:r w:rsidRPr="002B3F36">
              <w:rPr>
                <w:rStyle w:val="affffb"/>
                <w:b w:val="0"/>
                <w:sz w:val="20"/>
                <w:szCs w:val="20"/>
              </w:rPr>
              <w:t>No disposal near water:</w:t>
            </w:r>
            <w:r w:rsidRPr="002B3F36">
              <w:rPr>
                <w:rFonts w:ascii="Arial" w:hAnsi="Arial" w:cs="Arial"/>
                <w:sz w:val="20"/>
                <w:szCs w:val="20"/>
              </w:rPr>
              <w:t xml:space="preserve"> Prohibit spoil/stockpile placement within defined </w:t>
            </w:r>
            <w:r w:rsidRPr="002B3F36">
              <w:rPr>
                <w:rStyle w:val="affffb"/>
                <w:b w:val="0"/>
                <w:sz w:val="20"/>
                <w:szCs w:val="20"/>
              </w:rPr>
              <w:t>buffer distances</w:t>
            </w:r>
            <w:r w:rsidRPr="002B3F36">
              <w:rPr>
                <w:rFonts w:ascii="Arial" w:hAnsi="Arial" w:cs="Arial"/>
                <w:sz w:val="20"/>
                <w:szCs w:val="20"/>
              </w:rPr>
              <w:t xml:space="preserve"> of rivers and drains (set in method statements; </w:t>
            </w:r>
            <w:r w:rsidR="001F09B4" w:rsidRPr="002B3F36">
              <w:rPr>
                <w:rFonts w:ascii="Arial" w:hAnsi="Arial" w:cs="Arial"/>
                <w:sz w:val="20"/>
                <w:szCs w:val="20"/>
              </w:rPr>
              <w:t>typically,</w:t>
            </w:r>
            <w:r w:rsidRPr="002B3F36">
              <w:rPr>
                <w:rFonts w:ascii="Arial" w:hAnsi="Arial" w:cs="Arial"/>
                <w:sz w:val="20"/>
                <w:szCs w:val="20"/>
              </w:rPr>
              <w:t xml:space="preserve"> ≥50 m, larger where slopes/soils warrant).</w:t>
            </w:r>
          </w:p>
          <w:p w14:paraId="59209C72" w14:textId="77777777" w:rsidR="00FD5813" w:rsidRPr="002B3F36" w:rsidRDefault="00FD5813" w:rsidP="004E7508">
            <w:pPr>
              <w:pStyle w:val="aff9"/>
              <w:numPr>
                <w:ilvl w:val="0"/>
                <w:numId w:val="109"/>
              </w:numPr>
              <w:spacing w:before="0" w:beforeAutospacing="0" w:after="0" w:afterAutospacing="0"/>
              <w:jc w:val="both"/>
              <w:rPr>
                <w:rFonts w:ascii="Arial" w:hAnsi="Arial" w:cs="Arial"/>
                <w:sz w:val="20"/>
                <w:szCs w:val="20"/>
              </w:rPr>
            </w:pPr>
            <w:r w:rsidRPr="002B3F36">
              <w:rPr>
                <w:rStyle w:val="affffb"/>
                <w:b w:val="0"/>
                <w:sz w:val="20"/>
                <w:szCs w:val="20"/>
              </w:rPr>
              <w:t>Stockpile management:</w:t>
            </w:r>
            <w:r w:rsidRPr="002B3F36">
              <w:rPr>
                <w:rFonts w:ascii="Arial" w:hAnsi="Arial" w:cs="Arial"/>
                <w:sz w:val="20"/>
                <w:szCs w:val="20"/>
              </w:rPr>
              <w:t xml:space="preserve"> Limit heights, batter slopes, </w:t>
            </w:r>
            <w:r w:rsidRPr="002B3F36">
              <w:rPr>
                <w:rStyle w:val="affffb"/>
                <w:b w:val="0"/>
                <w:sz w:val="20"/>
                <w:szCs w:val="20"/>
              </w:rPr>
              <w:t>re-vegetate/mulch</w:t>
            </w:r>
            <w:r w:rsidRPr="002B3F36">
              <w:rPr>
                <w:rFonts w:ascii="Arial" w:hAnsi="Arial" w:cs="Arial"/>
                <w:sz w:val="20"/>
                <w:szCs w:val="20"/>
              </w:rPr>
              <w:t xml:space="preserve"> promptly, and surround with </w:t>
            </w:r>
            <w:r w:rsidRPr="002B3F36">
              <w:rPr>
                <w:rStyle w:val="affffb"/>
                <w:b w:val="0"/>
                <w:sz w:val="20"/>
                <w:szCs w:val="20"/>
              </w:rPr>
              <w:t>silt fencing/wattles</w:t>
            </w:r>
            <w:r w:rsidRPr="002B3F36">
              <w:rPr>
                <w:rFonts w:ascii="Arial" w:hAnsi="Arial" w:cs="Arial"/>
                <w:sz w:val="20"/>
                <w:szCs w:val="20"/>
              </w:rPr>
              <w:t>; cover during high-wind periods.</w:t>
            </w:r>
          </w:p>
          <w:p w14:paraId="531E982E" w14:textId="77777777" w:rsidR="00FD5813" w:rsidRPr="002B3F36" w:rsidRDefault="00FD5813" w:rsidP="004E7508">
            <w:pPr>
              <w:pStyle w:val="aff9"/>
              <w:numPr>
                <w:ilvl w:val="0"/>
                <w:numId w:val="109"/>
              </w:numPr>
              <w:spacing w:before="0" w:beforeAutospacing="0" w:after="0" w:afterAutospacing="0"/>
              <w:jc w:val="both"/>
              <w:rPr>
                <w:rFonts w:ascii="Arial" w:hAnsi="Arial" w:cs="Arial"/>
                <w:sz w:val="20"/>
                <w:szCs w:val="20"/>
              </w:rPr>
            </w:pPr>
            <w:r w:rsidRPr="002B3F36">
              <w:rPr>
                <w:rStyle w:val="affffb"/>
                <w:b w:val="0"/>
                <w:sz w:val="20"/>
                <w:szCs w:val="20"/>
              </w:rPr>
              <w:t>Erosion &amp; sediment control (ESC):</w:t>
            </w:r>
            <w:r w:rsidRPr="002B3F36">
              <w:rPr>
                <w:rFonts w:ascii="Arial" w:hAnsi="Arial" w:cs="Arial"/>
                <w:sz w:val="20"/>
                <w:szCs w:val="20"/>
              </w:rPr>
              <w:t xml:space="preserve"> Install diversion channels, check dams, and temporary settling basins; phase earthworks to minimize open ground.</w:t>
            </w:r>
          </w:p>
          <w:p w14:paraId="57C10396" w14:textId="77777777" w:rsidR="00FD5813" w:rsidRPr="002B3F36" w:rsidRDefault="00FD5813" w:rsidP="004E7508">
            <w:pPr>
              <w:pStyle w:val="aff9"/>
              <w:numPr>
                <w:ilvl w:val="0"/>
                <w:numId w:val="109"/>
              </w:numPr>
              <w:spacing w:before="0" w:beforeAutospacing="0" w:after="0" w:afterAutospacing="0"/>
              <w:jc w:val="both"/>
              <w:rPr>
                <w:rFonts w:ascii="Arial" w:hAnsi="Arial" w:cs="Arial"/>
                <w:sz w:val="20"/>
                <w:szCs w:val="20"/>
              </w:rPr>
            </w:pPr>
            <w:r w:rsidRPr="002B3F36">
              <w:rPr>
                <w:rStyle w:val="affffb"/>
                <w:b w:val="0"/>
                <w:sz w:val="20"/>
                <w:szCs w:val="20"/>
              </w:rPr>
              <w:t>Crossing works timing:</w:t>
            </w:r>
            <w:r w:rsidRPr="002B3F36">
              <w:rPr>
                <w:rFonts w:ascii="Arial" w:hAnsi="Arial" w:cs="Arial"/>
                <w:sz w:val="20"/>
                <w:szCs w:val="20"/>
              </w:rPr>
              <w:t xml:space="preserve"> Schedule in low-flow periods; maintain cofferdams/bunds and pump to </w:t>
            </w:r>
            <w:r w:rsidRPr="002B3F36">
              <w:rPr>
                <w:rStyle w:val="affffb"/>
                <w:b w:val="0"/>
                <w:sz w:val="20"/>
                <w:szCs w:val="20"/>
              </w:rPr>
              <w:t>sediment cells</w:t>
            </w:r>
            <w:r w:rsidRPr="002B3F36">
              <w:rPr>
                <w:rFonts w:ascii="Arial" w:hAnsi="Arial" w:cs="Arial"/>
                <w:sz w:val="20"/>
                <w:szCs w:val="20"/>
              </w:rPr>
              <w:t xml:space="preserve"> before discharge.</w:t>
            </w:r>
          </w:p>
          <w:p w14:paraId="22B37A65" w14:textId="77777777" w:rsidR="00FD5813" w:rsidRPr="002B3F36" w:rsidRDefault="00FD5813" w:rsidP="004E7508">
            <w:pPr>
              <w:pStyle w:val="aff9"/>
              <w:numPr>
                <w:ilvl w:val="0"/>
                <w:numId w:val="109"/>
              </w:numPr>
              <w:spacing w:before="0" w:beforeAutospacing="0" w:after="0" w:afterAutospacing="0"/>
              <w:jc w:val="both"/>
              <w:rPr>
                <w:rFonts w:ascii="Arial" w:hAnsi="Arial" w:cs="Arial"/>
                <w:sz w:val="20"/>
                <w:szCs w:val="20"/>
              </w:rPr>
            </w:pPr>
            <w:r w:rsidRPr="002B3F36">
              <w:rPr>
                <w:rStyle w:val="affffb"/>
                <w:b w:val="0"/>
                <w:sz w:val="20"/>
                <w:szCs w:val="20"/>
              </w:rPr>
              <w:t>Monitoring:</w:t>
            </w:r>
            <w:r w:rsidRPr="002B3F36">
              <w:rPr>
                <w:rFonts w:ascii="Arial" w:hAnsi="Arial" w:cs="Arial"/>
                <w:sz w:val="20"/>
                <w:szCs w:val="20"/>
              </w:rPr>
              <w:t xml:space="preserve"> Turbidity/SSC spot checks upstream/downstream during crossing works and after significant rain events; corrective actions where thresholds are exceeded.</w:t>
            </w:r>
          </w:p>
        </w:tc>
        <w:tc>
          <w:tcPr>
            <w:tcW w:w="1751" w:type="dxa"/>
          </w:tcPr>
          <w:p w14:paraId="570AABE6" w14:textId="77777777" w:rsidR="00FD5813" w:rsidRPr="002B3F36" w:rsidRDefault="00FD5813" w:rsidP="00FD5813">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t>KTZ and Supervision Consultants</w:t>
            </w:r>
            <w:r w:rsidRPr="002B3F36">
              <w:rPr>
                <w:rFonts w:ascii="Arial" w:eastAsia="Arial" w:hAnsi="Arial" w:cs="Arial"/>
                <w:sz w:val="20"/>
                <w:szCs w:val="20"/>
                <w:lang w:val="en-AU"/>
              </w:rPr>
              <w:t xml:space="preserve"> to oversee; Contractor’s to implement</w:t>
            </w:r>
          </w:p>
          <w:p w14:paraId="5A6B338E" w14:textId="4F7184A0" w:rsidR="00FD5813" w:rsidRPr="002B3F36" w:rsidRDefault="00FD5813" w:rsidP="00FD5813">
            <w:pPr>
              <w:suppressAutoHyphens/>
              <w:jc w:val="center"/>
              <w:rPr>
                <w:rFonts w:ascii="Arial" w:eastAsia="Arial" w:hAnsi="Arial" w:cs="Arial"/>
                <w:sz w:val="20"/>
                <w:szCs w:val="20"/>
                <w:u w:val="single"/>
                <w:lang w:val="en-AU"/>
              </w:rPr>
            </w:pPr>
            <w:r w:rsidRPr="002B3F36">
              <w:rPr>
                <w:rFonts w:ascii="Arial" w:eastAsia="Arial" w:hAnsi="Arial" w:cs="Arial"/>
                <w:sz w:val="20"/>
                <w:szCs w:val="20"/>
                <w:lang w:val="en-AU"/>
              </w:rPr>
              <w:t xml:space="preserve">Assistance from Akimat </w:t>
            </w:r>
          </w:p>
        </w:tc>
        <w:tc>
          <w:tcPr>
            <w:tcW w:w="1332" w:type="dxa"/>
          </w:tcPr>
          <w:p w14:paraId="5DA5B7A2" w14:textId="50F9C172" w:rsidR="00FD5813" w:rsidRPr="002B3F36" w:rsidRDefault="00FD5813" w:rsidP="00FD5813">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D5813" w:rsidRPr="002B3F36" w14:paraId="4A6D4F4D" w14:textId="77777777" w:rsidTr="0089733D">
        <w:tc>
          <w:tcPr>
            <w:tcW w:w="1180" w:type="dxa"/>
          </w:tcPr>
          <w:p w14:paraId="1BC19098" w14:textId="2708850A" w:rsidR="00FD5813" w:rsidRPr="002B3F36" w:rsidRDefault="00FD5813" w:rsidP="00FD5813">
            <w:pPr>
              <w:shd w:val="clear" w:color="auto" w:fill="FFFFFF"/>
              <w:suppressAutoHyphens/>
              <w:rPr>
                <w:rFonts w:ascii="Arial" w:hAnsi="Arial" w:cs="Arial"/>
                <w:sz w:val="20"/>
                <w:szCs w:val="20"/>
              </w:rPr>
            </w:pPr>
            <w:r w:rsidRPr="002B3F36">
              <w:rPr>
                <w:rFonts w:ascii="Arial" w:hAnsi="Arial" w:cs="Arial"/>
                <w:sz w:val="20"/>
                <w:szCs w:val="20"/>
              </w:rPr>
              <w:t xml:space="preserve">Water Resources (Surface and Groundwater) &amp; </w:t>
            </w:r>
            <w:r w:rsidR="007503B5" w:rsidRPr="002B3F36">
              <w:rPr>
                <w:rFonts w:ascii="Arial" w:hAnsi="Arial" w:cs="Arial"/>
                <w:sz w:val="20"/>
                <w:szCs w:val="20"/>
              </w:rPr>
              <w:t>Quality</w:t>
            </w:r>
          </w:p>
        </w:tc>
        <w:tc>
          <w:tcPr>
            <w:tcW w:w="1180" w:type="dxa"/>
          </w:tcPr>
          <w:p w14:paraId="4A72385C" w14:textId="77777777" w:rsidR="00FD5813" w:rsidRPr="002B3F36" w:rsidRDefault="00FD5813" w:rsidP="00FD5813">
            <w:pPr>
              <w:shd w:val="clear" w:color="auto" w:fill="FFFFFF"/>
              <w:suppressAutoHyphens/>
              <w:jc w:val="center"/>
              <w:rPr>
                <w:rFonts w:ascii="Arial" w:hAnsi="Arial" w:cs="Arial"/>
                <w:sz w:val="20"/>
                <w:szCs w:val="20"/>
              </w:rPr>
            </w:pPr>
            <w:r w:rsidRPr="002B3F36">
              <w:rPr>
                <w:rFonts w:ascii="Arial" w:hAnsi="Arial" w:cs="Arial"/>
                <w:sz w:val="20"/>
                <w:szCs w:val="20"/>
              </w:rPr>
              <w:t xml:space="preserve">water use for dust suppression, concrete batching, and </w:t>
            </w:r>
            <w:r w:rsidRPr="002B3F36">
              <w:rPr>
                <w:rFonts w:ascii="Arial" w:hAnsi="Arial" w:cs="Arial"/>
                <w:sz w:val="20"/>
                <w:szCs w:val="20"/>
              </w:rPr>
              <w:lastRenderedPageBreak/>
              <w:t>worker camps</w:t>
            </w:r>
          </w:p>
          <w:p w14:paraId="6BD4D40F" w14:textId="3BC718B7" w:rsidR="00FD5813" w:rsidRPr="002B3F36" w:rsidRDefault="00FD5813" w:rsidP="00FD5813">
            <w:pPr>
              <w:shd w:val="clear" w:color="auto" w:fill="FFFFFF"/>
              <w:suppressAutoHyphens/>
              <w:jc w:val="center"/>
              <w:rPr>
                <w:rFonts w:ascii="Arial" w:hAnsi="Arial" w:cs="Arial"/>
                <w:sz w:val="20"/>
                <w:szCs w:val="20"/>
              </w:rPr>
            </w:pPr>
            <w:r w:rsidRPr="002B3F36">
              <w:rPr>
                <w:rFonts w:ascii="Arial" w:hAnsi="Arial" w:cs="Arial"/>
                <w:sz w:val="20"/>
                <w:szCs w:val="20"/>
              </w:rPr>
              <w:t>activities in riparian zones</w:t>
            </w:r>
          </w:p>
        </w:tc>
        <w:tc>
          <w:tcPr>
            <w:tcW w:w="3225" w:type="dxa"/>
          </w:tcPr>
          <w:p w14:paraId="215F3D23" w14:textId="77777777" w:rsidR="00FD5813" w:rsidRPr="002B3F36" w:rsidRDefault="00FD5813" w:rsidP="009B4CDB">
            <w:pPr>
              <w:pStyle w:val="aff9"/>
              <w:numPr>
                <w:ilvl w:val="0"/>
                <w:numId w:val="139"/>
              </w:numPr>
              <w:tabs>
                <w:tab w:val="clear" w:pos="720"/>
              </w:tabs>
              <w:spacing w:before="0" w:beforeAutospacing="0" w:after="0" w:afterAutospacing="0"/>
              <w:ind w:left="230" w:hanging="180"/>
              <w:rPr>
                <w:rFonts w:ascii="Arial" w:hAnsi="Arial" w:cs="Arial"/>
                <w:sz w:val="20"/>
                <w:szCs w:val="20"/>
              </w:rPr>
            </w:pPr>
            <w:r w:rsidRPr="002B3F36">
              <w:rPr>
                <w:rFonts w:ascii="Arial" w:hAnsi="Arial" w:cs="Arial"/>
                <w:sz w:val="20"/>
                <w:szCs w:val="20"/>
              </w:rPr>
              <w:lastRenderedPageBreak/>
              <w:t>Over-abstraction, increased suspended solids, hydrocarbon and chemical spills, and wastewater discharges from worker camps</w:t>
            </w:r>
          </w:p>
          <w:p w14:paraId="5ED8302B" w14:textId="14D24B70" w:rsidR="00FD5813" w:rsidRPr="002B3F36" w:rsidRDefault="00FD5813" w:rsidP="009B4CDB">
            <w:pPr>
              <w:pStyle w:val="aff9"/>
              <w:numPr>
                <w:ilvl w:val="0"/>
                <w:numId w:val="139"/>
              </w:numPr>
              <w:tabs>
                <w:tab w:val="clear" w:pos="720"/>
              </w:tabs>
              <w:spacing w:before="0" w:beforeAutospacing="0" w:after="0" w:afterAutospacing="0"/>
              <w:ind w:left="230" w:hanging="180"/>
              <w:rPr>
                <w:rFonts w:ascii="Arial" w:hAnsi="Arial" w:cs="Arial"/>
                <w:sz w:val="20"/>
                <w:szCs w:val="20"/>
              </w:rPr>
            </w:pPr>
            <w:r w:rsidRPr="002B3F36">
              <w:rPr>
                <w:rFonts w:ascii="Arial" w:hAnsi="Arial" w:cs="Arial"/>
                <w:sz w:val="20"/>
                <w:szCs w:val="20"/>
              </w:rPr>
              <w:t>Short-term turbidity risks during construction</w:t>
            </w:r>
          </w:p>
        </w:tc>
        <w:tc>
          <w:tcPr>
            <w:tcW w:w="5822" w:type="dxa"/>
          </w:tcPr>
          <w:p w14:paraId="14FEA6C0" w14:textId="77777777" w:rsidR="00FD5813" w:rsidRPr="002B3F36" w:rsidRDefault="00FD5813" w:rsidP="00FD5813">
            <w:pPr>
              <w:pStyle w:val="BoldTableTitle"/>
              <w:rPr>
                <w:b w:val="0"/>
                <w:color w:val="auto"/>
                <w:sz w:val="20"/>
                <w:szCs w:val="20"/>
              </w:rPr>
            </w:pPr>
            <w:r w:rsidRPr="002B3F36">
              <w:rPr>
                <w:b w:val="0"/>
                <w:color w:val="auto"/>
                <w:sz w:val="20"/>
                <w:szCs w:val="20"/>
              </w:rPr>
              <w:t>Water Resource Conservation</w:t>
            </w:r>
          </w:p>
          <w:p w14:paraId="084FDE4F"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Develop a Water Resources Management Plan (WRMP) before works commence, covering abstraction volumes, sources, meters, and reuse loops.</w:t>
            </w:r>
          </w:p>
          <w:p w14:paraId="7B1025E8"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Obtain all necessary approvals for water intake, ensuring abstraction does not reduce community water supply or compromise ecological flows.</w:t>
            </w:r>
          </w:p>
          <w:p w14:paraId="358B31BD" w14:textId="77777777" w:rsidR="00FD5813" w:rsidRPr="002B3F36" w:rsidRDefault="00FD5813" w:rsidP="00FD5813">
            <w:pPr>
              <w:pStyle w:val="BoldTableTitle"/>
              <w:rPr>
                <w:b w:val="0"/>
                <w:color w:val="auto"/>
                <w:sz w:val="20"/>
                <w:szCs w:val="20"/>
              </w:rPr>
            </w:pPr>
            <w:r w:rsidRPr="002B3F36">
              <w:rPr>
                <w:b w:val="0"/>
                <w:color w:val="auto"/>
                <w:sz w:val="20"/>
                <w:szCs w:val="20"/>
              </w:rPr>
              <w:lastRenderedPageBreak/>
              <w:t>•</w:t>
            </w:r>
            <w:r w:rsidRPr="002B3F36">
              <w:rPr>
                <w:b w:val="0"/>
                <w:color w:val="auto"/>
                <w:sz w:val="20"/>
                <w:szCs w:val="20"/>
              </w:rPr>
              <w:tab/>
              <w:t>Install meters and maintain detailed abstraction logs for accountability.</w:t>
            </w:r>
          </w:p>
          <w:p w14:paraId="37FFEE43" w14:textId="77777777" w:rsidR="00FD5813" w:rsidRPr="002B3F36" w:rsidRDefault="00FD5813" w:rsidP="00FD5813">
            <w:pPr>
              <w:pStyle w:val="BoldTableTitle"/>
              <w:rPr>
                <w:b w:val="0"/>
                <w:color w:val="auto"/>
                <w:sz w:val="20"/>
                <w:szCs w:val="20"/>
              </w:rPr>
            </w:pPr>
            <w:r w:rsidRPr="002B3F36">
              <w:rPr>
                <w:b w:val="0"/>
                <w:color w:val="auto"/>
                <w:sz w:val="20"/>
                <w:szCs w:val="20"/>
              </w:rPr>
              <w:t>Water Quality Protection</w:t>
            </w:r>
          </w:p>
          <w:p w14:paraId="70644891"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Buffers: Maintain protective setbacks between camps/plants and waterbodies; preserve riparian vegetation as natural filters.</w:t>
            </w:r>
          </w:p>
          <w:p w14:paraId="5240E6C6"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Fuel and chemical controls: Store in bunded and roofed areas; carry out refueling on impermeable hardstands equipped with oil–water separators; maintain spill kits and trained responders (aligned with PS3 hazardous materials management).</w:t>
            </w:r>
          </w:p>
          <w:p w14:paraId="1EE21CC3"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Sanitation: Connect camps to septic tanks or wastewater treatment plants; desludge portable toilets regularly via licensed haulers. Provide portable toilets at remote worksites; prohibit direct discharge of untreated wastewater.</w:t>
            </w:r>
          </w:p>
          <w:p w14:paraId="63762EB8"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Process water management: Settle silt-laden water before reuse or safe discharge; capture and treat concrete/cement washout in lined pits; prohibit discharge of oily or alkaline wash water.</w:t>
            </w:r>
          </w:p>
          <w:p w14:paraId="47EB266E"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Siting controls: Locate cement, and crushing plants away from aquifer recharge zones and watercourses; line and curb wash bays to prevent infiltration.</w:t>
            </w:r>
          </w:p>
          <w:p w14:paraId="232E1EC8" w14:textId="77777777" w:rsidR="00FD5813" w:rsidRPr="002B3F36" w:rsidRDefault="00FD5813" w:rsidP="00FD5813">
            <w:pPr>
              <w:pStyle w:val="BoldTableTitle"/>
              <w:rPr>
                <w:b w:val="0"/>
                <w:color w:val="auto"/>
                <w:sz w:val="20"/>
                <w:szCs w:val="20"/>
              </w:rPr>
            </w:pPr>
            <w:r w:rsidRPr="002B3F36">
              <w:rPr>
                <w:b w:val="0"/>
                <w:color w:val="auto"/>
                <w:sz w:val="20"/>
                <w:szCs w:val="20"/>
              </w:rPr>
              <w:t>Monitoring and Compliance</w:t>
            </w:r>
          </w:p>
          <w:p w14:paraId="3B5FA9CF"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Conduct routine field inspections of abstraction points, storage areas, and wastewater facilities.</w:t>
            </w:r>
          </w:p>
          <w:p w14:paraId="60024B28" w14:textId="77777777" w:rsidR="00FD5813" w:rsidRPr="002B3F36" w:rsidRDefault="00FD5813" w:rsidP="00FD5813">
            <w:pPr>
              <w:pStyle w:val="BoldTableTitle"/>
              <w:rPr>
                <w:b w:val="0"/>
                <w:color w:val="auto"/>
                <w:sz w:val="20"/>
                <w:szCs w:val="20"/>
              </w:rPr>
            </w:pPr>
            <w:r w:rsidRPr="002B3F36">
              <w:rPr>
                <w:b w:val="0"/>
                <w:color w:val="auto"/>
                <w:sz w:val="20"/>
                <w:szCs w:val="20"/>
              </w:rPr>
              <w:t>•</w:t>
            </w:r>
            <w:r w:rsidRPr="002B3F36">
              <w:rPr>
                <w:b w:val="0"/>
                <w:color w:val="auto"/>
                <w:sz w:val="20"/>
                <w:szCs w:val="20"/>
              </w:rPr>
              <w:tab/>
              <w:t>Undertake periodic laboratory sampling at representative upstream and downstream monitoring points, as well as camp outfalls.</w:t>
            </w:r>
          </w:p>
          <w:p w14:paraId="26BCD10B" w14:textId="530A1905" w:rsidR="00FD5813" w:rsidRPr="002B3F36" w:rsidRDefault="00FD5813" w:rsidP="00FD5813">
            <w:pPr>
              <w:pStyle w:val="BoldTableTitle"/>
              <w:ind w:firstLine="0"/>
              <w:rPr>
                <w:b w:val="0"/>
                <w:color w:val="auto"/>
                <w:sz w:val="20"/>
                <w:szCs w:val="20"/>
              </w:rPr>
            </w:pPr>
            <w:r w:rsidRPr="002B3F36">
              <w:rPr>
                <w:b w:val="0"/>
                <w:color w:val="auto"/>
                <w:sz w:val="20"/>
                <w:szCs w:val="20"/>
              </w:rPr>
              <w:t>•</w:t>
            </w:r>
            <w:r w:rsidRPr="002B3F36">
              <w:rPr>
                <w:b w:val="0"/>
                <w:color w:val="auto"/>
                <w:sz w:val="20"/>
                <w:szCs w:val="20"/>
              </w:rPr>
              <w:tab/>
              <w:t>Implement Corrective and Preventive Actions (CAPA) if exceedances of national or lender water quality standards are detected.</w:t>
            </w:r>
          </w:p>
        </w:tc>
        <w:tc>
          <w:tcPr>
            <w:tcW w:w="1751" w:type="dxa"/>
          </w:tcPr>
          <w:p w14:paraId="187F0BA8" w14:textId="77777777" w:rsidR="00FD5813" w:rsidRPr="002B3F36" w:rsidRDefault="00FD5813" w:rsidP="00FD5813">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w:t>
            </w:r>
          </w:p>
          <w:p w14:paraId="34AC4A4B" w14:textId="5CEEEC51" w:rsidR="00FD5813" w:rsidRPr="002B3F36" w:rsidRDefault="00FD5813" w:rsidP="00FD5813">
            <w:pPr>
              <w:suppressAutoHyphens/>
              <w:jc w:val="center"/>
              <w:rPr>
                <w:rFonts w:ascii="Arial" w:eastAsia="Arial" w:hAnsi="Arial" w:cs="Arial"/>
                <w:sz w:val="20"/>
                <w:szCs w:val="20"/>
                <w:u w:val="single"/>
                <w:lang w:val="en-AU"/>
              </w:rPr>
            </w:pPr>
            <w:r w:rsidRPr="002B3F36">
              <w:rPr>
                <w:rFonts w:ascii="Arial" w:eastAsia="Arial" w:hAnsi="Arial" w:cs="Arial"/>
                <w:sz w:val="20"/>
                <w:szCs w:val="20"/>
                <w:lang w:val="en-AU"/>
              </w:rPr>
              <w:t xml:space="preserve">Assistance from </w:t>
            </w:r>
            <w:r w:rsidRPr="002B3F36">
              <w:rPr>
                <w:rFonts w:ascii="Arial" w:eastAsia="Arial" w:hAnsi="Arial" w:cs="Arial"/>
                <w:sz w:val="20"/>
                <w:szCs w:val="20"/>
                <w:lang w:val="en-AU"/>
              </w:rPr>
              <w:lastRenderedPageBreak/>
              <w:t xml:space="preserve">Akimat </w:t>
            </w:r>
          </w:p>
        </w:tc>
        <w:tc>
          <w:tcPr>
            <w:tcW w:w="1332" w:type="dxa"/>
          </w:tcPr>
          <w:p w14:paraId="50AAFB08" w14:textId="54ECD9C8" w:rsidR="00FD5813" w:rsidRPr="002B3F36" w:rsidRDefault="00FD5813" w:rsidP="00FD5813">
            <w:pPr>
              <w:suppressAutoHyphens/>
              <w:jc w:val="center"/>
              <w:rPr>
                <w:rFonts w:ascii="Arial" w:eastAsia="Arial" w:hAnsi="Arial" w:cs="Arial"/>
                <w:sz w:val="20"/>
                <w:szCs w:val="20"/>
                <w:lang w:val="en-AU"/>
              </w:rPr>
            </w:pPr>
            <w:r w:rsidRPr="002B3F36">
              <w:rPr>
                <w:rFonts w:ascii="Arial" w:eastAsia="Arial" w:hAnsi="Arial" w:cs="Arial"/>
                <w:sz w:val="20"/>
                <w:szCs w:val="20"/>
                <w:lang w:val="en-AU"/>
              </w:rPr>
              <w:lastRenderedPageBreak/>
              <w:t>During construction Stage (</w:t>
            </w:r>
            <w:r w:rsidRPr="002B3F36">
              <w:rPr>
                <w:rFonts w:ascii="Arial" w:eastAsia="Calibri" w:hAnsi="Arial" w:cs="Arial"/>
                <w:sz w:val="20"/>
                <w:szCs w:val="20"/>
              </w:rPr>
              <w:t xml:space="preserve">Budget part of supervision contract; </w:t>
            </w:r>
            <w:r w:rsidRPr="002B3F36">
              <w:rPr>
                <w:rFonts w:ascii="Arial" w:eastAsia="Calibri" w:hAnsi="Arial" w:cs="Arial"/>
                <w:sz w:val="20"/>
                <w:szCs w:val="20"/>
              </w:rPr>
              <w:lastRenderedPageBreak/>
              <w:t>part of operational cost of Contractor)</w:t>
            </w:r>
          </w:p>
        </w:tc>
      </w:tr>
      <w:tr w:rsidR="00F61F8E" w:rsidRPr="002B3F36" w14:paraId="7E627EB7" w14:textId="77777777" w:rsidTr="0089733D">
        <w:tc>
          <w:tcPr>
            <w:tcW w:w="1180" w:type="dxa"/>
          </w:tcPr>
          <w:p w14:paraId="7FB7AB15"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Air Quality</w:t>
            </w:r>
          </w:p>
        </w:tc>
        <w:tc>
          <w:tcPr>
            <w:tcW w:w="1180" w:type="dxa"/>
          </w:tcPr>
          <w:p w14:paraId="442B4E6C"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Air Quality  during construction</w:t>
            </w:r>
          </w:p>
        </w:tc>
        <w:tc>
          <w:tcPr>
            <w:tcW w:w="3225" w:type="dxa"/>
          </w:tcPr>
          <w:p w14:paraId="0D66009F" w14:textId="77777777" w:rsidR="002B7808" w:rsidRPr="002B3F36" w:rsidRDefault="002B7808" w:rsidP="002B7808">
            <w:pPr>
              <w:pStyle w:val="BulletTable"/>
              <w:rPr>
                <w:color w:val="auto"/>
                <w:sz w:val="20"/>
                <w:szCs w:val="20"/>
              </w:rPr>
            </w:pPr>
            <w:r w:rsidRPr="002B3F36">
              <w:rPr>
                <w:color w:val="auto"/>
                <w:sz w:val="20"/>
                <w:szCs w:val="20"/>
              </w:rPr>
              <w:t>Dust and particulate matter (PM</w:t>
            </w:r>
            <w:r w:rsidRPr="002B3F36">
              <w:rPr>
                <w:rFonts w:ascii="Cambria Math" w:hAnsi="Cambria Math" w:cs="Cambria Math"/>
                <w:color w:val="auto"/>
                <w:sz w:val="20"/>
                <w:szCs w:val="20"/>
              </w:rPr>
              <w:t>₁₀</w:t>
            </w:r>
            <w:r w:rsidRPr="002B3F36">
              <w:rPr>
                <w:color w:val="auto"/>
                <w:sz w:val="20"/>
                <w:szCs w:val="20"/>
              </w:rPr>
              <w:t>, PM</w:t>
            </w:r>
            <w:r w:rsidRPr="002B3F36">
              <w:rPr>
                <w:rFonts w:ascii="Cambria Math" w:hAnsi="Cambria Math" w:cs="Cambria Math"/>
                <w:color w:val="auto"/>
                <w:sz w:val="20"/>
                <w:szCs w:val="20"/>
              </w:rPr>
              <w:t>₂</w:t>
            </w:r>
            <w:r w:rsidRPr="002B3F36">
              <w:rPr>
                <w:color w:val="auto"/>
                <w:sz w:val="20"/>
                <w:szCs w:val="20"/>
              </w:rPr>
              <w:t>.</w:t>
            </w:r>
            <w:r w:rsidRPr="002B3F36">
              <w:rPr>
                <w:rFonts w:ascii="Cambria Math" w:hAnsi="Cambria Math" w:cs="Cambria Math"/>
                <w:color w:val="auto"/>
                <w:sz w:val="20"/>
                <w:szCs w:val="20"/>
              </w:rPr>
              <w:t>₅</w:t>
            </w:r>
            <w:r w:rsidRPr="002B3F36">
              <w:rPr>
                <w:color w:val="auto"/>
                <w:sz w:val="20"/>
                <w:szCs w:val="20"/>
              </w:rPr>
              <w:t>, TSP): generated by earthworks (grading, excavation), ballast handling, unpaved access road traffic, quarrying, crushing, and stockpiles.</w:t>
            </w:r>
          </w:p>
          <w:p w14:paraId="1D328238" w14:textId="77777777" w:rsidR="002B7808" w:rsidRPr="002B3F36" w:rsidRDefault="002B7808" w:rsidP="002B7808">
            <w:pPr>
              <w:pStyle w:val="BulletTable"/>
              <w:rPr>
                <w:color w:val="auto"/>
                <w:sz w:val="20"/>
                <w:szCs w:val="20"/>
              </w:rPr>
            </w:pPr>
            <w:r w:rsidRPr="002B3F36">
              <w:rPr>
                <w:color w:val="auto"/>
                <w:sz w:val="20"/>
                <w:szCs w:val="20"/>
              </w:rPr>
              <w:lastRenderedPageBreak/>
              <w:t>Combustion emissions (SO</w:t>
            </w:r>
            <w:r w:rsidRPr="002B3F36">
              <w:rPr>
                <w:rFonts w:ascii="Cambria Math" w:hAnsi="Cambria Math" w:cs="Cambria Math"/>
                <w:color w:val="auto"/>
                <w:sz w:val="20"/>
                <w:szCs w:val="20"/>
              </w:rPr>
              <w:t>₂</w:t>
            </w:r>
            <w:r w:rsidRPr="002B3F36">
              <w:rPr>
                <w:color w:val="auto"/>
                <w:sz w:val="20"/>
                <w:szCs w:val="20"/>
              </w:rPr>
              <w:t>, NOₓ, CO, CO</w:t>
            </w:r>
            <w:r w:rsidRPr="002B3F36">
              <w:rPr>
                <w:rFonts w:ascii="Cambria Math" w:hAnsi="Cambria Math" w:cs="Cambria Math"/>
                <w:color w:val="auto"/>
                <w:sz w:val="20"/>
                <w:szCs w:val="20"/>
              </w:rPr>
              <w:t>₂</w:t>
            </w:r>
            <w:r w:rsidRPr="002B3F36">
              <w:rPr>
                <w:color w:val="auto"/>
                <w:sz w:val="20"/>
                <w:szCs w:val="20"/>
              </w:rPr>
              <w:t>, PM): released from construction equipment such as bulldozers, excavators, trucks, generators, cement batching plants, and welding or painting operations.</w:t>
            </w:r>
          </w:p>
          <w:p w14:paraId="35BA697F" w14:textId="77777777" w:rsidR="002B7808" w:rsidRPr="002B3F36" w:rsidRDefault="002B7808" w:rsidP="002B7808">
            <w:pPr>
              <w:pStyle w:val="BulletTable"/>
              <w:rPr>
                <w:color w:val="auto"/>
                <w:sz w:val="20"/>
                <w:szCs w:val="20"/>
              </w:rPr>
            </w:pPr>
            <w:r w:rsidRPr="002B3F36">
              <w:rPr>
                <w:color w:val="auto"/>
                <w:sz w:val="20"/>
                <w:szCs w:val="20"/>
              </w:rPr>
              <w:t>Odors and fumes: emitted from paint and solvent use, and diesel exhaust at laydown areas and plant sites.</w:t>
            </w:r>
          </w:p>
          <w:p w14:paraId="57824576" w14:textId="77777777" w:rsidR="00F61F8E" w:rsidRPr="002B3F36" w:rsidRDefault="00F61F8E">
            <w:pPr>
              <w:pStyle w:val="BulletTable"/>
              <w:numPr>
                <w:ilvl w:val="0"/>
                <w:numId w:val="0"/>
              </w:numPr>
              <w:ind w:left="356"/>
              <w:rPr>
                <w:color w:val="auto"/>
                <w:sz w:val="20"/>
                <w:szCs w:val="20"/>
              </w:rPr>
            </w:pPr>
          </w:p>
        </w:tc>
        <w:tc>
          <w:tcPr>
            <w:tcW w:w="5822" w:type="dxa"/>
          </w:tcPr>
          <w:p w14:paraId="485060CF" w14:textId="52D58A1B" w:rsidR="002B7808" w:rsidRPr="002B3F36" w:rsidRDefault="002B7808" w:rsidP="00B36D58">
            <w:pPr>
              <w:pStyle w:val="BulletTable"/>
              <w:numPr>
                <w:ilvl w:val="0"/>
                <w:numId w:val="0"/>
              </w:numPr>
              <w:ind w:left="317" w:hanging="317"/>
              <w:rPr>
                <w:sz w:val="20"/>
                <w:szCs w:val="20"/>
              </w:rPr>
            </w:pPr>
            <w:r w:rsidRPr="002B3F36">
              <w:rPr>
                <w:b/>
                <w:sz w:val="20"/>
                <w:szCs w:val="20"/>
              </w:rPr>
              <w:lastRenderedPageBreak/>
              <w:t>A. Planning and Baseline</w:t>
            </w:r>
          </w:p>
          <w:p w14:paraId="4E9EAF87" w14:textId="77777777" w:rsidR="002B7808" w:rsidRPr="002B3F36" w:rsidRDefault="002B7808" w:rsidP="002B7808">
            <w:pPr>
              <w:pStyle w:val="BulletTable"/>
              <w:rPr>
                <w:sz w:val="20"/>
                <w:szCs w:val="20"/>
              </w:rPr>
            </w:pPr>
            <w:r w:rsidRPr="002B3F36">
              <w:rPr>
                <w:sz w:val="20"/>
                <w:szCs w:val="20"/>
              </w:rPr>
              <w:t xml:space="preserve">Develop a </w:t>
            </w:r>
            <w:r w:rsidRPr="002B3F36">
              <w:rPr>
                <w:b/>
                <w:sz w:val="20"/>
                <w:szCs w:val="20"/>
              </w:rPr>
              <w:t>site-specific Air Quality Management Plan (AQMP)</w:t>
            </w:r>
            <w:r w:rsidRPr="002B3F36">
              <w:rPr>
                <w:sz w:val="20"/>
                <w:szCs w:val="20"/>
              </w:rPr>
              <w:t xml:space="preserve"> prior to construction, covering emission sources, sensitive receptors, control measures, monitoring protocols, trigger thresholds, and responsibilities.</w:t>
            </w:r>
          </w:p>
          <w:p w14:paraId="38C0AF13" w14:textId="77777777" w:rsidR="002B7808" w:rsidRPr="002B3F36" w:rsidRDefault="002B7808" w:rsidP="002B7808">
            <w:pPr>
              <w:pStyle w:val="BulletTable"/>
              <w:rPr>
                <w:sz w:val="20"/>
                <w:szCs w:val="20"/>
              </w:rPr>
            </w:pPr>
            <w:r w:rsidRPr="002B3F36">
              <w:rPr>
                <w:sz w:val="20"/>
                <w:szCs w:val="20"/>
              </w:rPr>
              <w:t xml:space="preserve">Establish baseline measurements of ambient </w:t>
            </w:r>
            <w:r w:rsidRPr="002B3F36">
              <w:rPr>
                <w:b/>
                <w:sz w:val="20"/>
                <w:szCs w:val="20"/>
              </w:rPr>
              <w:t>PM</w:t>
            </w:r>
            <w:r w:rsidRPr="002B3F36">
              <w:rPr>
                <w:rFonts w:ascii="Cambria Math" w:hAnsi="Cambria Math" w:cs="Cambria Math"/>
                <w:b/>
                <w:sz w:val="20"/>
                <w:szCs w:val="20"/>
              </w:rPr>
              <w:t>₁₀</w:t>
            </w:r>
            <w:r w:rsidRPr="002B3F36">
              <w:rPr>
                <w:b/>
                <w:sz w:val="20"/>
                <w:szCs w:val="20"/>
              </w:rPr>
              <w:t>/PM</w:t>
            </w:r>
            <w:r w:rsidRPr="002B3F36">
              <w:rPr>
                <w:rFonts w:ascii="Cambria Math" w:hAnsi="Cambria Math" w:cs="Cambria Math"/>
                <w:b/>
                <w:sz w:val="20"/>
                <w:szCs w:val="20"/>
              </w:rPr>
              <w:t>₂</w:t>
            </w:r>
            <w:r w:rsidRPr="002B3F36">
              <w:rPr>
                <w:b/>
                <w:sz w:val="20"/>
                <w:szCs w:val="20"/>
              </w:rPr>
              <w:t>.</w:t>
            </w:r>
            <w:r w:rsidRPr="002B3F36">
              <w:rPr>
                <w:rFonts w:ascii="Cambria Math" w:hAnsi="Cambria Math" w:cs="Cambria Math"/>
                <w:b/>
                <w:sz w:val="20"/>
                <w:szCs w:val="20"/>
              </w:rPr>
              <w:t>₅</w:t>
            </w:r>
            <w:r w:rsidRPr="002B3F36">
              <w:rPr>
                <w:sz w:val="20"/>
                <w:szCs w:val="20"/>
              </w:rPr>
              <w:t xml:space="preserve"> (and NOₓ where plants will operate) at representative sites </w:t>
            </w:r>
            <w:r w:rsidRPr="002B3F36">
              <w:rPr>
                <w:sz w:val="20"/>
                <w:szCs w:val="20"/>
              </w:rPr>
              <w:lastRenderedPageBreak/>
              <w:t>and nearest receptors before major earthworks and plant commissioning.</w:t>
            </w:r>
          </w:p>
          <w:p w14:paraId="53094E5B" w14:textId="77777777" w:rsidR="002B7808" w:rsidRPr="002B3F36" w:rsidRDefault="002B7808" w:rsidP="00B36D58">
            <w:pPr>
              <w:pStyle w:val="BulletTable"/>
              <w:numPr>
                <w:ilvl w:val="0"/>
                <w:numId w:val="0"/>
              </w:numPr>
              <w:ind w:left="-43"/>
              <w:rPr>
                <w:sz w:val="20"/>
                <w:szCs w:val="20"/>
              </w:rPr>
            </w:pPr>
            <w:r w:rsidRPr="002B3F36">
              <w:rPr>
                <w:b/>
                <w:sz w:val="20"/>
                <w:szCs w:val="20"/>
              </w:rPr>
              <w:t>B. Engineering Controls</w:t>
            </w:r>
          </w:p>
          <w:p w14:paraId="270FECD3" w14:textId="77777777" w:rsidR="002B7808" w:rsidRPr="002B3F36" w:rsidRDefault="002B7808" w:rsidP="002B7808">
            <w:pPr>
              <w:pStyle w:val="BulletTable"/>
              <w:rPr>
                <w:sz w:val="20"/>
                <w:szCs w:val="20"/>
              </w:rPr>
            </w:pPr>
            <w:r w:rsidRPr="002B3F36">
              <w:rPr>
                <w:sz w:val="20"/>
                <w:szCs w:val="20"/>
              </w:rPr>
              <w:t xml:space="preserve">Apply </w:t>
            </w:r>
            <w:r w:rsidRPr="002B3F36">
              <w:rPr>
                <w:b/>
                <w:sz w:val="20"/>
                <w:szCs w:val="20"/>
              </w:rPr>
              <w:t>dust suppression</w:t>
            </w:r>
            <w:r w:rsidRPr="002B3F36">
              <w:rPr>
                <w:sz w:val="20"/>
                <w:szCs w:val="20"/>
              </w:rPr>
              <w:t xml:space="preserve"> (e.g., water spraying) on unpaved access roads and active earthworks, targeting damp—not runoff—conditions. Increase frequency during high winds and temporarily halt works if dust cannot be controlled.</w:t>
            </w:r>
          </w:p>
          <w:p w14:paraId="28FD267B" w14:textId="77777777" w:rsidR="002B7808" w:rsidRPr="002B3F36" w:rsidRDefault="002B7808" w:rsidP="002B7808">
            <w:pPr>
              <w:pStyle w:val="BulletTable"/>
              <w:rPr>
                <w:sz w:val="20"/>
                <w:szCs w:val="20"/>
              </w:rPr>
            </w:pPr>
            <w:r w:rsidRPr="002B3F36">
              <w:rPr>
                <w:sz w:val="20"/>
                <w:szCs w:val="20"/>
              </w:rPr>
              <w:t xml:space="preserve">Stabilize high-use haul routes through </w:t>
            </w:r>
            <w:r w:rsidRPr="002B3F36">
              <w:rPr>
                <w:b/>
                <w:sz w:val="20"/>
                <w:szCs w:val="20"/>
              </w:rPr>
              <w:t>graveling, chemical stabilizers, or paving</w:t>
            </w:r>
            <w:r w:rsidRPr="002B3F36">
              <w:rPr>
                <w:sz w:val="20"/>
                <w:szCs w:val="20"/>
              </w:rPr>
              <w:t xml:space="preserve"> where justified by traffic intensity.</w:t>
            </w:r>
          </w:p>
          <w:p w14:paraId="12BA0FA2" w14:textId="77777777" w:rsidR="002B7808" w:rsidRPr="002B3F36" w:rsidRDefault="002B7808" w:rsidP="002B7808">
            <w:pPr>
              <w:pStyle w:val="BulletTable"/>
              <w:rPr>
                <w:sz w:val="20"/>
                <w:szCs w:val="20"/>
              </w:rPr>
            </w:pPr>
            <w:r w:rsidRPr="002B3F36">
              <w:rPr>
                <w:sz w:val="20"/>
                <w:szCs w:val="20"/>
              </w:rPr>
              <w:t>Manage stockpiles by limiting heights, orienting to prevailing winds, covering or seeding exposed surfaces, and installing windbreaks. Enclose fine material stockpiles where feasible.</w:t>
            </w:r>
          </w:p>
          <w:p w14:paraId="06F67041" w14:textId="77777777" w:rsidR="002B7808" w:rsidRPr="002B3F36" w:rsidRDefault="002B7808" w:rsidP="002B7808">
            <w:pPr>
              <w:pStyle w:val="BulletTable"/>
              <w:rPr>
                <w:sz w:val="20"/>
                <w:szCs w:val="20"/>
              </w:rPr>
            </w:pPr>
            <w:r w:rsidRPr="002B3F36">
              <w:rPr>
                <w:sz w:val="20"/>
                <w:szCs w:val="20"/>
              </w:rPr>
              <w:t xml:space="preserve">Cover trucks during material transport, avoid overfilling, and install </w:t>
            </w:r>
            <w:r w:rsidRPr="002B3F36">
              <w:rPr>
                <w:b/>
                <w:sz w:val="20"/>
                <w:szCs w:val="20"/>
              </w:rPr>
              <w:t>wheel-wash facilities</w:t>
            </w:r>
            <w:r w:rsidRPr="002B3F36">
              <w:rPr>
                <w:sz w:val="20"/>
                <w:szCs w:val="20"/>
              </w:rPr>
              <w:t xml:space="preserve"> at site exits.</w:t>
            </w:r>
          </w:p>
          <w:p w14:paraId="373D1C25" w14:textId="77777777" w:rsidR="002B7808" w:rsidRPr="002B3F36" w:rsidRDefault="002B7808" w:rsidP="002B7808">
            <w:pPr>
              <w:pStyle w:val="BulletTable"/>
              <w:rPr>
                <w:sz w:val="20"/>
                <w:szCs w:val="20"/>
              </w:rPr>
            </w:pPr>
            <w:r w:rsidRPr="002B3F36">
              <w:rPr>
                <w:sz w:val="20"/>
                <w:szCs w:val="20"/>
              </w:rPr>
              <w:t xml:space="preserve">Fit crushers and conveyors with </w:t>
            </w:r>
            <w:r w:rsidRPr="002B3F36">
              <w:rPr>
                <w:b/>
                <w:sz w:val="20"/>
                <w:szCs w:val="20"/>
              </w:rPr>
              <w:t>enclosures and dust collectors</w:t>
            </w:r>
            <w:r w:rsidRPr="002B3F36">
              <w:rPr>
                <w:sz w:val="20"/>
                <w:szCs w:val="20"/>
              </w:rPr>
              <w:t xml:space="preserve"> (bag filters or cyclones) and maintain capture efficiency. Ensure cement plants operate with compliant burners, dryers, and filters, and are sited with adequate setbacks, preferably downwind of sensitive receptors.</w:t>
            </w:r>
          </w:p>
          <w:p w14:paraId="3E6D8990" w14:textId="77777777" w:rsidR="002B7808" w:rsidRPr="002B3F36" w:rsidRDefault="002B7808" w:rsidP="002B7808">
            <w:pPr>
              <w:pStyle w:val="BulletTable"/>
              <w:rPr>
                <w:sz w:val="20"/>
                <w:szCs w:val="20"/>
              </w:rPr>
            </w:pPr>
            <w:r w:rsidRPr="002B3F36">
              <w:rPr>
                <w:sz w:val="20"/>
                <w:szCs w:val="20"/>
              </w:rPr>
              <w:t xml:space="preserve">Use </w:t>
            </w:r>
            <w:r w:rsidRPr="002B3F36">
              <w:rPr>
                <w:b/>
                <w:sz w:val="20"/>
                <w:szCs w:val="20"/>
              </w:rPr>
              <w:t>adequate stack heights</w:t>
            </w:r>
            <w:r w:rsidRPr="002B3F36">
              <w:rPr>
                <w:sz w:val="20"/>
                <w:szCs w:val="20"/>
              </w:rPr>
              <w:t xml:space="preserve"> for generators and plants; ensure engines run on low-sulfur diesel where available; maintain equipment to minimize visible smoke.</w:t>
            </w:r>
          </w:p>
          <w:p w14:paraId="0B433627" w14:textId="77777777" w:rsidR="002B7808" w:rsidRPr="002B3F36" w:rsidRDefault="002B7808" w:rsidP="00B36D58">
            <w:pPr>
              <w:pStyle w:val="BulletTable"/>
              <w:numPr>
                <w:ilvl w:val="0"/>
                <w:numId w:val="0"/>
              </w:numPr>
              <w:ind w:left="-43"/>
              <w:rPr>
                <w:sz w:val="20"/>
                <w:szCs w:val="20"/>
              </w:rPr>
            </w:pPr>
            <w:r w:rsidRPr="002B3F36">
              <w:rPr>
                <w:b/>
                <w:sz w:val="20"/>
                <w:szCs w:val="20"/>
              </w:rPr>
              <w:t>C. Administrative Controls</w:t>
            </w:r>
          </w:p>
          <w:p w14:paraId="2C812BAB" w14:textId="77777777" w:rsidR="002B7808" w:rsidRPr="002B3F36" w:rsidRDefault="002B7808" w:rsidP="002B7808">
            <w:pPr>
              <w:pStyle w:val="BulletTable"/>
              <w:rPr>
                <w:sz w:val="20"/>
                <w:szCs w:val="20"/>
              </w:rPr>
            </w:pPr>
            <w:r w:rsidRPr="002B3F36">
              <w:rPr>
                <w:sz w:val="20"/>
                <w:szCs w:val="20"/>
              </w:rPr>
              <w:t xml:space="preserve">Enforce </w:t>
            </w:r>
            <w:r w:rsidRPr="002B3F36">
              <w:rPr>
                <w:b/>
                <w:sz w:val="20"/>
                <w:szCs w:val="20"/>
              </w:rPr>
              <w:t>speed limits</w:t>
            </w:r>
            <w:r w:rsidRPr="002B3F36">
              <w:rPr>
                <w:sz w:val="20"/>
                <w:szCs w:val="20"/>
              </w:rPr>
              <w:t xml:space="preserve"> on site and haul routes; implement one-way systems where feasible; limit idling to ≤3 minutes.</w:t>
            </w:r>
          </w:p>
          <w:p w14:paraId="72750D1E" w14:textId="77777777" w:rsidR="002B7808" w:rsidRPr="002B3F36" w:rsidRDefault="002B7808" w:rsidP="002B7808">
            <w:pPr>
              <w:pStyle w:val="BulletTable"/>
              <w:rPr>
                <w:sz w:val="20"/>
                <w:szCs w:val="20"/>
              </w:rPr>
            </w:pPr>
            <w:r w:rsidRPr="002B3F36">
              <w:rPr>
                <w:sz w:val="20"/>
                <w:szCs w:val="20"/>
              </w:rPr>
              <w:t>Schedule high-dust activities during calmer weather conditions; apply stop-work criteria for severe wind events.</w:t>
            </w:r>
          </w:p>
          <w:p w14:paraId="0F853B7A" w14:textId="77777777" w:rsidR="002B7808" w:rsidRPr="002B3F36" w:rsidRDefault="002B7808" w:rsidP="002B7808">
            <w:pPr>
              <w:pStyle w:val="BulletTable"/>
              <w:rPr>
                <w:sz w:val="20"/>
                <w:szCs w:val="20"/>
              </w:rPr>
            </w:pPr>
            <w:r w:rsidRPr="002B3F36">
              <w:rPr>
                <w:sz w:val="20"/>
                <w:szCs w:val="20"/>
              </w:rPr>
              <w:t>Prohibit open burning of waste; use LPG or kerosene for camp kitchens and ban fuelwood.</w:t>
            </w:r>
          </w:p>
          <w:p w14:paraId="0547694D" w14:textId="77777777" w:rsidR="002B7808" w:rsidRPr="002B3F36" w:rsidRDefault="002B7808" w:rsidP="002B7808">
            <w:pPr>
              <w:pStyle w:val="BulletTable"/>
              <w:rPr>
                <w:sz w:val="20"/>
                <w:szCs w:val="20"/>
              </w:rPr>
            </w:pPr>
            <w:r w:rsidRPr="002B3F36">
              <w:rPr>
                <w:sz w:val="20"/>
                <w:szCs w:val="20"/>
              </w:rPr>
              <w:t xml:space="preserve">Implement a preventive </w:t>
            </w:r>
            <w:r w:rsidRPr="002B3F36">
              <w:rPr>
                <w:b/>
                <w:sz w:val="20"/>
                <w:szCs w:val="20"/>
              </w:rPr>
              <w:t>equipment maintenance program</w:t>
            </w:r>
            <w:r w:rsidRPr="002B3F36">
              <w:rPr>
                <w:sz w:val="20"/>
                <w:szCs w:val="20"/>
              </w:rPr>
              <w:t>, including regular emissions inspections; remove non-compliant equipment from service until repaired.</w:t>
            </w:r>
          </w:p>
          <w:p w14:paraId="1F9F685F" w14:textId="77777777" w:rsidR="002B7808" w:rsidRPr="002B3F36" w:rsidRDefault="002B7808" w:rsidP="002B7808">
            <w:pPr>
              <w:pStyle w:val="BulletTable"/>
              <w:rPr>
                <w:sz w:val="20"/>
                <w:szCs w:val="20"/>
              </w:rPr>
            </w:pPr>
            <w:r w:rsidRPr="002B3F36">
              <w:rPr>
                <w:sz w:val="20"/>
                <w:szCs w:val="20"/>
              </w:rPr>
              <w:t xml:space="preserve">Adopt </w:t>
            </w:r>
            <w:r w:rsidRPr="002B3F36">
              <w:rPr>
                <w:b/>
                <w:sz w:val="20"/>
                <w:szCs w:val="20"/>
              </w:rPr>
              <w:t>standard operating procedures (SOPs)</w:t>
            </w:r>
            <w:r w:rsidRPr="002B3F36">
              <w:rPr>
                <w:sz w:val="20"/>
                <w:szCs w:val="20"/>
              </w:rPr>
              <w:t xml:space="preserve"> for material handling, including reduced drop heights and wet suppression at transfer points.</w:t>
            </w:r>
          </w:p>
          <w:p w14:paraId="4173BD3C" w14:textId="77777777" w:rsidR="002B7808" w:rsidRPr="002B3F36" w:rsidRDefault="002B7808" w:rsidP="00B36D58">
            <w:pPr>
              <w:pStyle w:val="BulletTable"/>
              <w:numPr>
                <w:ilvl w:val="0"/>
                <w:numId w:val="0"/>
              </w:numPr>
              <w:ind w:left="-43"/>
              <w:rPr>
                <w:sz w:val="20"/>
                <w:szCs w:val="20"/>
              </w:rPr>
            </w:pPr>
            <w:r w:rsidRPr="002B3F36">
              <w:rPr>
                <w:b/>
                <w:sz w:val="20"/>
                <w:szCs w:val="20"/>
              </w:rPr>
              <w:t>D. Personal Protection</w:t>
            </w:r>
          </w:p>
          <w:p w14:paraId="102F6D88" w14:textId="77777777" w:rsidR="002B7808" w:rsidRPr="002B3F36" w:rsidRDefault="002B7808" w:rsidP="002B7808">
            <w:pPr>
              <w:pStyle w:val="BulletTable"/>
              <w:rPr>
                <w:sz w:val="20"/>
                <w:szCs w:val="20"/>
              </w:rPr>
            </w:pPr>
            <w:r w:rsidRPr="002B3F36">
              <w:rPr>
                <w:sz w:val="20"/>
                <w:szCs w:val="20"/>
              </w:rPr>
              <w:t xml:space="preserve">Provide </w:t>
            </w:r>
            <w:r w:rsidRPr="002B3F36">
              <w:rPr>
                <w:b/>
                <w:sz w:val="20"/>
                <w:szCs w:val="20"/>
              </w:rPr>
              <w:t>respiratory protective equipment</w:t>
            </w:r>
            <w:r w:rsidRPr="002B3F36">
              <w:rPr>
                <w:sz w:val="20"/>
                <w:szCs w:val="20"/>
              </w:rPr>
              <w:t xml:space="preserve"> for workers performing high-dust tasks.</w:t>
            </w:r>
          </w:p>
          <w:p w14:paraId="0689BFDE" w14:textId="77777777" w:rsidR="002B7808" w:rsidRPr="002B3F36" w:rsidRDefault="002B7808" w:rsidP="002B7808">
            <w:pPr>
              <w:pStyle w:val="BulletTable"/>
              <w:rPr>
                <w:sz w:val="20"/>
                <w:szCs w:val="20"/>
              </w:rPr>
            </w:pPr>
            <w:r w:rsidRPr="002B3F36">
              <w:rPr>
                <w:sz w:val="20"/>
                <w:szCs w:val="20"/>
              </w:rPr>
              <w:lastRenderedPageBreak/>
              <w:t>Rotate crews to limit exposure durations.</w:t>
            </w:r>
          </w:p>
          <w:p w14:paraId="6D9269BC" w14:textId="77777777" w:rsidR="002B7808" w:rsidRPr="002B3F36" w:rsidRDefault="002B7808" w:rsidP="002B7808">
            <w:pPr>
              <w:pStyle w:val="BulletTable"/>
              <w:rPr>
                <w:sz w:val="20"/>
                <w:szCs w:val="20"/>
              </w:rPr>
            </w:pPr>
            <w:r w:rsidRPr="002B3F36">
              <w:rPr>
                <w:sz w:val="20"/>
                <w:szCs w:val="20"/>
              </w:rPr>
              <w:t xml:space="preserve">Implement </w:t>
            </w:r>
            <w:r w:rsidRPr="002B3F36">
              <w:rPr>
                <w:b/>
                <w:sz w:val="20"/>
                <w:szCs w:val="20"/>
              </w:rPr>
              <w:t>heat stress protocols</w:t>
            </w:r>
            <w:r w:rsidRPr="002B3F36">
              <w:rPr>
                <w:sz w:val="20"/>
                <w:szCs w:val="20"/>
              </w:rPr>
              <w:t xml:space="preserve"> during summer months to reduce compounded health risks.</w:t>
            </w:r>
          </w:p>
          <w:p w14:paraId="24EF3315" w14:textId="77777777" w:rsidR="002B7808" w:rsidRPr="002B3F36" w:rsidRDefault="002B7808" w:rsidP="00B36D58">
            <w:pPr>
              <w:pStyle w:val="BulletTable"/>
              <w:numPr>
                <w:ilvl w:val="0"/>
                <w:numId w:val="0"/>
              </w:numPr>
              <w:ind w:left="-43"/>
              <w:rPr>
                <w:sz w:val="20"/>
                <w:szCs w:val="20"/>
              </w:rPr>
            </w:pPr>
            <w:r w:rsidRPr="002B3F36">
              <w:rPr>
                <w:b/>
                <w:sz w:val="20"/>
                <w:szCs w:val="20"/>
              </w:rPr>
              <w:t>E. Monitoring, Triggers, and KPIs</w:t>
            </w:r>
          </w:p>
          <w:p w14:paraId="078761C2" w14:textId="77777777" w:rsidR="002B7808" w:rsidRPr="002B3F36" w:rsidRDefault="002B7808" w:rsidP="002B7808">
            <w:pPr>
              <w:pStyle w:val="BulletTable"/>
              <w:rPr>
                <w:sz w:val="20"/>
                <w:szCs w:val="20"/>
              </w:rPr>
            </w:pPr>
            <w:r w:rsidRPr="002B3F36">
              <w:rPr>
                <w:sz w:val="20"/>
                <w:szCs w:val="20"/>
              </w:rPr>
              <w:t xml:space="preserve">Conduct </w:t>
            </w:r>
            <w:r w:rsidRPr="002B3F36">
              <w:rPr>
                <w:b/>
                <w:sz w:val="20"/>
                <w:szCs w:val="20"/>
              </w:rPr>
              <w:t>ambient air monitoring</w:t>
            </w:r>
            <w:r w:rsidRPr="002B3F36">
              <w:rPr>
                <w:sz w:val="20"/>
                <w:szCs w:val="20"/>
              </w:rPr>
              <w:t xml:space="preserve"> (PM</w:t>
            </w:r>
            <w:r w:rsidRPr="002B3F36">
              <w:rPr>
                <w:rFonts w:ascii="Cambria Math" w:hAnsi="Cambria Math" w:cs="Cambria Math"/>
                <w:sz w:val="20"/>
                <w:szCs w:val="20"/>
              </w:rPr>
              <w:t>₁₀</w:t>
            </w:r>
            <w:r w:rsidRPr="002B3F36">
              <w:rPr>
                <w:sz w:val="20"/>
                <w:szCs w:val="20"/>
              </w:rPr>
              <w:t>/PM</w:t>
            </w:r>
            <w:r w:rsidRPr="002B3F36">
              <w:rPr>
                <w:rFonts w:ascii="Cambria Math" w:hAnsi="Cambria Math" w:cs="Cambria Math"/>
                <w:sz w:val="20"/>
                <w:szCs w:val="20"/>
              </w:rPr>
              <w:t>₂</w:t>
            </w:r>
            <w:r w:rsidRPr="002B3F36">
              <w:rPr>
                <w:sz w:val="20"/>
                <w:szCs w:val="20"/>
              </w:rPr>
              <w:t>.</w:t>
            </w:r>
            <w:r w:rsidRPr="002B3F36">
              <w:rPr>
                <w:rFonts w:ascii="Cambria Math" w:hAnsi="Cambria Math" w:cs="Cambria Math"/>
                <w:sz w:val="20"/>
                <w:szCs w:val="20"/>
              </w:rPr>
              <w:t>₅</w:t>
            </w:r>
            <w:r w:rsidRPr="002B3F36">
              <w:rPr>
                <w:sz w:val="20"/>
                <w:szCs w:val="20"/>
              </w:rPr>
              <w:t>, and NOₓ/SO</w:t>
            </w:r>
            <w:r w:rsidRPr="002B3F36">
              <w:rPr>
                <w:rFonts w:ascii="Cambria Math" w:hAnsi="Cambria Math" w:cs="Cambria Math"/>
                <w:sz w:val="20"/>
                <w:szCs w:val="20"/>
              </w:rPr>
              <w:t>₂</w:t>
            </w:r>
            <w:r w:rsidRPr="002B3F36">
              <w:rPr>
                <w:sz w:val="20"/>
                <w:szCs w:val="20"/>
              </w:rPr>
              <w:t xml:space="preserve"> where plants operate) at site boundaries and nearest receptors.</w:t>
            </w:r>
          </w:p>
          <w:p w14:paraId="6FBDFAA2" w14:textId="77777777" w:rsidR="002B7808" w:rsidRPr="002B3F36" w:rsidRDefault="002B7808" w:rsidP="002B7808">
            <w:pPr>
              <w:pStyle w:val="BulletTable"/>
              <w:rPr>
                <w:sz w:val="20"/>
                <w:szCs w:val="20"/>
              </w:rPr>
            </w:pPr>
            <w:r w:rsidRPr="002B3F36">
              <w:rPr>
                <w:sz w:val="20"/>
                <w:szCs w:val="20"/>
              </w:rPr>
              <w:t xml:space="preserve">Perform daily </w:t>
            </w:r>
            <w:r w:rsidRPr="002B3F36">
              <w:rPr>
                <w:b/>
                <w:sz w:val="20"/>
                <w:szCs w:val="20"/>
              </w:rPr>
              <w:t>visual dust inspections</w:t>
            </w:r>
            <w:r w:rsidRPr="002B3F36">
              <w:rPr>
                <w:sz w:val="20"/>
                <w:szCs w:val="20"/>
              </w:rPr>
              <w:t>; log water-cart runs, baghouse pressure drops, and maintenance actions.</w:t>
            </w:r>
          </w:p>
          <w:p w14:paraId="66450AAA" w14:textId="77777777" w:rsidR="002B7808" w:rsidRPr="002B3F36" w:rsidRDefault="002B7808" w:rsidP="002B7808">
            <w:pPr>
              <w:pStyle w:val="BulletTable"/>
              <w:rPr>
                <w:sz w:val="20"/>
                <w:szCs w:val="20"/>
              </w:rPr>
            </w:pPr>
            <w:r w:rsidRPr="002B3F36">
              <w:rPr>
                <w:sz w:val="20"/>
                <w:szCs w:val="20"/>
              </w:rPr>
              <w:t xml:space="preserve">Establish </w:t>
            </w:r>
            <w:r w:rsidRPr="002B3F36">
              <w:rPr>
                <w:b/>
                <w:sz w:val="20"/>
                <w:szCs w:val="20"/>
              </w:rPr>
              <w:t>triggered responses</w:t>
            </w:r>
            <w:r w:rsidRPr="002B3F36">
              <w:rPr>
                <w:sz w:val="20"/>
                <w:szCs w:val="20"/>
              </w:rPr>
              <w:t xml:space="preserve"> for off-site dust plumes, high wind alerts, or air quality exceedances, including intensified suppression, activity rescheduling, or installation of additional barriers.</w:t>
            </w:r>
          </w:p>
          <w:p w14:paraId="01B718AB" w14:textId="77777777" w:rsidR="002B7808" w:rsidRPr="002B3F36" w:rsidRDefault="002B7808" w:rsidP="002B7808">
            <w:pPr>
              <w:pStyle w:val="BulletTable"/>
              <w:rPr>
                <w:sz w:val="20"/>
                <w:szCs w:val="20"/>
              </w:rPr>
            </w:pPr>
            <w:r w:rsidRPr="002B3F36">
              <w:rPr>
                <w:sz w:val="20"/>
                <w:szCs w:val="20"/>
              </w:rPr>
              <w:t>Track key performance indicators (KPIs): number of exceedances, percentage of days meeting suppression schedules, number of complaints received/resolved, and percentage of equipment operating with valid emissions tags.</w:t>
            </w:r>
          </w:p>
          <w:p w14:paraId="683A03BA" w14:textId="1B000419" w:rsidR="002B7808" w:rsidRPr="002B3F36" w:rsidRDefault="002B7808" w:rsidP="002B7808">
            <w:pPr>
              <w:pStyle w:val="BulletTable"/>
              <w:rPr>
                <w:sz w:val="20"/>
                <w:szCs w:val="20"/>
              </w:rPr>
            </w:pPr>
            <w:r w:rsidRPr="002B3F36">
              <w:rPr>
                <w:sz w:val="20"/>
                <w:szCs w:val="20"/>
              </w:rPr>
              <w:t xml:space="preserve">Report monthly air quality summaries to the Engineer and </w:t>
            </w:r>
            <w:r w:rsidR="00464922" w:rsidRPr="002B3F36">
              <w:rPr>
                <w:sz w:val="20"/>
                <w:szCs w:val="20"/>
              </w:rPr>
              <w:t>KTZ</w:t>
            </w:r>
            <w:r w:rsidRPr="002B3F36">
              <w:rPr>
                <w:sz w:val="20"/>
                <w:szCs w:val="20"/>
              </w:rPr>
              <w:t>, including corrective and preventive action (CAPA) tracking.</w:t>
            </w:r>
          </w:p>
          <w:p w14:paraId="14ADEBD7" w14:textId="77777777" w:rsidR="002B7808" w:rsidRPr="002B3F36" w:rsidRDefault="002B7808" w:rsidP="00B36D58">
            <w:pPr>
              <w:pStyle w:val="BulletTable"/>
              <w:numPr>
                <w:ilvl w:val="0"/>
                <w:numId w:val="0"/>
              </w:numPr>
              <w:ind w:left="-43"/>
              <w:rPr>
                <w:sz w:val="20"/>
                <w:szCs w:val="20"/>
              </w:rPr>
            </w:pPr>
            <w:r w:rsidRPr="002B3F36">
              <w:rPr>
                <w:b/>
                <w:sz w:val="20"/>
                <w:szCs w:val="20"/>
              </w:rPr>
              <w:t>F. Greenhouse Gas and Efficiency Co-Benefits</w:t>
            </w:r>
          </w:p>
          <w:p w14:paraId="6F3D457C" w14:textId="77777777" w:rsidR="002B7808" w:rsidRPr="002B3F36" w:rsidRDefault="002B7808" w:rsidP="002B7808">
            <w:pPr>
              <w:pStyle w:val="BulletTable"/>
              <w:rPr>
                <w:sz w:val="20"/>
                <w:szCs w:val="20"/>
              </w:rPr>
            </w:pPr>
            <w:r w:rsidRPr="002B3F36">
              <w:rPr>
                <w:sz w:val="20"/>
                <w:szCs w:val="20"/>
              </w:rPr>
              <w:t>Optimize haul logistics and material sourcing to minimize fuel consumption.</w:t>
            </w:r>
          </w:p>
          <w:p w14:paraId="1C9F9099" w14:textId="77777777" w:rsidR="002B7808" w:rsidRPr="002B3F36" w:rsidRDefault="002B7808" w:rsidP="002B7808">
            <w:pPr>
              <w:pStyle w:val="BulletTable"/>
              <w:rPr>
                <w:sz w:val="20"/>
                <w:szCs w:val="20"/>
              </w:rPr>
            </w:pPr>
            <w:r w:rsidRPr="002B3F36">
              <w:rPr>
                <w:sz w:val="20"/>
                <w:szCs w:val="20"/>
              </w:rPr>
              <w:t>Consolidate deliveries to reduce traffic volumes.</w:t>
            </w:r>
          </w:p>
          <w:p w14:paraId="307AFC73" w14:textId="77777777" w:rsidR="002B7808" w:rsidRPr="002B3F36" w:rsidRDefault="002B7808" w:rsidP="002B7808">
            <w:pPr>
              <w:pStyle w:val="BulletTable"/>
              <w:rPr>
                <w:sz w:val="20"/>
                <w:szCs w:val="20"/>
              </w:rPr>
            </w:pPr>
            <w:r w:rsidRPr="002B3F36">
              <w:rPr>
                <w:sz w:val="20"/>
                <w:szCs w:val="20"/>
              </w:rPr>
              <w:t>Ensure engines and equipment are well-tuned to reduce unnecessary fuel burn.</w:t>
            </w:r>
          </w:p>
          <w:p w14:paraId="67900B86" w14:textId="77777777" w:rsidR="00F61F8E" w:rsidRPr="002B3F36" w:rsidRDefault="00F61F8E">
            <w:pPr>
              <w:pStyle w:val="BulletTable"/>
              <w:numPr>
                <w:ilvl w:val="0"/>
                <w:numId w:val="0"/>
              </w:numPr>
              <w:ind w:left="356"/>
              <w:rPr>
                <w:color w:val="auto"/>
                <w:sz w:val="20"/>
                <w:szCs w:val="20"/>
              </w:rPr>
            </w:pPr>
          </w:p>
        </w:tc>
        <w:tc>
          <w:tcPr>
            <w:tcW w:w="1751" w:type="dxa"/>
          </w:tcPr>
          <w:p w14:paraId="1C1703DA"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39FB7273"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 xml:space="preserve">Budget part of supervision contract; </w:t>
            </w:r>
            <w:r w:rsidRPr="002B3F36">
              <w:rPr>
                <w:rFonts w:ascii="Arial" w:eastAsia="Calibri" w:hAnsi="Arial" w:cs="Arial"/>
                <w:sz w:val="20"/>
                <w:szCs w:val="20"/>
              </w:rPr>
              <w:t>part of operational cost of Contractor)</w:t>
            </w:r>
          </w:p>
        </w:tc>
      </w:tr>
      <w:tr w:rsidR="00F61F8E" w:rsidRPr="002B3F36" w14:paraId="1F18A2E2" w14:textId="77777777" w:rsidTr="0089733D">
        <w:tc>
          <w:tcPr>
            <w:tcW w:w="1180" w:type="dxa"/>
          </w:tcPr>
          <w:p w14:paraId="23A423A0"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lastRenderedPageBreak/>
              <w:t>Noise</w:t>
            </w:r>
          </w:p>
        </w:tc>
        <w:tc>
          <w:tcPr>
            <w:tcW w:w="1180" w:type="dxa"/>
          </w:tcPr>
          <w:p w14:paraId="6AF76F63"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Noise during construction</w:t>
            </w:r>
          </w:p>
        </w:tc>
        <w:tc>
          <w:tcPr>
            <w:tcW w:w="3225" w:type="dxa"/>
          </w:tcPr>
          <w:p w14:paraId="317926FF" w14:textId="77777777" w:rsidR="00F61F8E" w:rsidRPr="002B3F36" w:rsidRDefault="000F264B">
            <w:pPr>
              <w:shd w:val="clear" w:color="auto" w:fill="FFFFFF"/>
              <w:suppressAutoHyphens/>
              <w:ind w:right="34"/>
              <w:jc w:val="both"/>
              <w:rPr>
                <w:rFonts w:ascii="Arial" w:eastAsia="Calibri" w:hAnsi="Arial" w:cs="Arial"/>
                <w:sz w:val="20"/>
                <w:szCs w:val="20"/>
              </w:rPr>
            </w:pPr>
            <w:r w:rsidRPr="002B3F36">
              <w:rPr>
                <w:rFonts w:ascii="Arial" w:eastAsia="Calibri" w:hAnsi="Arial" w:cs="Arial"/>
                <w:sz w:val="20"/>
                <w:szCs w:val="20"/>
              </w:rPr>
              <w:t>Generation of noise due to construction activities and from auxiliary facilities</w:t>
            </w:r>
          </w:p>
        </w:tc>
        <w:tc>
          <w:tcPr>
            <w:tcW w:w="5822" w:type="dxa"/>
          </w:tcPr>
          <w:p w14:paraId="3BBFEEBD" w14:textId="77777777" w:rsidR="00733889" w:rsidRPr="002B3F36" w:rsidRDefault="00733889" w:rsidP="007472F8">
            <w:pPr>
              <w:pStyle w:val="BulletTable"/>
              <w:numPr>
                <w:ilvl w:val="0"/>
                <w:numId w:val="0"/>
              </w:numPr>
              <w:ind w:left="317" w:hanging="317"/>
              <w:rPr>
                <w:sz w:val="20"/>
                <w:szCs w:val="20"/>
              </w:rPr>
            </w:pPr>
            <w:r w:rsidRPr="002B3F36">
              <w:rPr>
                <w:b/>
                <w:sz w:val="20"/>
                <w:szCs w:val="20"/>
              </w:rPr>
              <w:t>Planning &amp; Baseline</w:t>
            </w:r>
          </w:p>
          <w:p w14:paraId="4D36AEA3" w14:textId="77777777" w:rsidR="00733889" w:rsidRPr="002B3F36" w:rsidRDefault="00733889" w:rsidP="00733889">
            <w:pPr>
              <w:pStyle w:val="BulletTable"/>
              <w:rPr>
                <w:sz w:val="20"/>
                <w:szCs w:val="20"/>
              </w:rPr>
            </w:pPr>
            <w:r w:rsidRPr="002B3F36">
              <w:rPr>
                <w:sz w:val="20"/>
                <w:szCs w:val="20"/>
              </w:rPr>
              <w:t>Prepare a Noise &amp; Vibration Management Plan (NVMP) before works, covering sources, receptors, layout, controls, monitoring locations/frequency, trigger levels, and responsibilities.</w:t>
            </w:r>
          </w:p>
          <w:p w14:paraId="45D68539" w14:textId="77777777" w:rsidR="00733889" w:rsidRPr="002B3F36" w:rsidRDefault="00733889" w:rsidP="00733889">
            <w:pPr>
              <w:pStyle w:val="BulletTable"/>
              <w:rPr>
                <w:sz w:val="20"/>
                <w:szCs w:val="20"/>
              </w:rPr>
            </w:pPr>
            <w:r w:rsidRPr="002B3F36">
              <w:rPr>
                <w:sz w:val="20"/>
                <w:szCs w:val="20"/>
              </w:rPr>
              <w:t>Establish baseline ambient noise at representative receptors prior to major works/plant commissioning.</w:t>
            </w:r>
          </w:p>
          <w:p w14:paraId="51C1A5A9" w14:textId="77777777" w:rsidR="00733889" w:rsidRPr="002B3F36" w:rsidRDefault="00733889" w:rsidP="00B36D58">
            <w:pPr>
              <w:pStyle w:val="BulletTable"/>
              <w:numPr>
                <w:ilvl w:val="0"/>
                <w:numId w:val="0"/>
              </w:numPr>
              <w:ind w:left="317"/>
              <w:rPr>
                <w:sz w:val="20"/>
                <w:szCs w:val="20"/>
              </w:rPr>
            </w:pPr>
            <w:r w:rsidRPr="002B3F36">
              <w:rPr>
                <w:b/>
                <w:sz w:val="20"/>
                <w:szCs w:val="20"/>
              </w:rPr>
              <w:t>Engineering Controls (preferred)</w:t>
            </w:r>
          </w:p>
          <w:p w14:paraId="0CFD28F4" w14:textId="77777777" w:rsidR="00733889" w:rsidRPr="002B3F36" w:rsidRDefault="00733889" w:rsidP="00733889">
            <w:pPr>
              <w:pStyle w:val="BulletTable"/>
              <w:rPr>
                <w:sz w:val="20"/>
                <w:szCs w:val="20"/>
              </w:rPr>
            </w:pPr>
            <w:r w:rsidRPr="002B3F36">
              <w:rPr>
                <w:sz w:val="20"/>
                <w:szCs w:val="20"/>
              </w:rPr>
              <w:lastRenderedPageBreak/>
              <w:t>Select low-noise equipment; fit and maintain effective mufflers/silencers and acoustic enclosures for generators, compressors, crushers.</w:t>
            </w:r>
          </w:p>
          <w:p w14:paraId="6718C2F9" w14:textId="77777777" w:rsidR="00733889" w:rsidRPr="002B3F36" w:rsidRDefault="00733889" w:rsidP="00733889">
            <w:pPr>
              <w:pStyle w:val="BulletTable"/>
              <w:rPr>
                <w:sz w:val="20"/>
                <w:szCs w:val="20"/>
              </w:rPr>
            </w:pPr>
            <w:r w:rsidRPr="002B3F36">
              <w:rPr>
                <w:sz w:val="20"/>
                <w:szCs w:val="20"/>
              </w:rPr>
              <w:t>Site layout: position fixed plant and workshops as far as practicable from receptors; use natural terrain/buildings as acoustic screening; install temporary barriers/curtains where needed.</w:t>
            </w:r>
          </w:p>
          <w:p w14:paraId="3BFCBC59" w14:textId="77777777" w:rsidR="00733889" w:rsidRPr="002B3F36" w:rsidRDefault="00733889" w:rsidP="00733889">
            <w:pPr>
              <w:pStyle w:val="BulletTable"/>
              <w:rPr>
                <w:sz w:val="20"/>
                <w:szCs w:val="20"/>
              </w:rPr>
            </w:pPr>
            <w:r w:rsidRPr="002B3F36">
              <w:rPr>
                <w:sz w:val="20"/>
                <w:szCs w:val="20"/>
              </w:rPr>
              <w:t>Optimize processes to avoid impulsive/tonal noise; use broadband reversing alarms instead of tonal beepers where permissible.</w:t>
            </w:r>
          </w:p>
          <w:p w14:paraId="69D27FC4" w14:textId="77777777" w:rsidR="00733889" w:rsidRPr="002B3F36" w:rsidRDefault="00733889" w:rsidP="00B36D58">
            <w:pPr>
              <w:pStyle w:val="BulletTable"/>
              <w:numPr>
                <w:ilvl w:val="0"/>
                <w:numId w:val="0"/>
              </w:numPr>
              <w:ind w:left="-43"/>
              <w:rPr>
                <w:sz w:val="20"/>
                <w:szCs w:val="20"/>
              </w:rPr>
            </w:pPr>
            <w:r w:rsidRPr="002B3F36">
              <w:rPr>
                <w:b/>
                <w:sz w:val="20"/>
                <w:szCs w:val="20"/>
              </w:rPr>
              <w:t>Administrative Controls</w:t>
            </w:r>
          </w:p>
          <w:p w14:paraId="4B7C6F73" w14:textId="6AA9EBF3" w:rsidR="00733889" w:rsidRPr="002B3F36" w:rsidRDefault="00733889" w:rsidP="00733889">
            <w:pPr>
              <w:pStyle w:val="BulletTable"/>
              <w:rPr>
                <w:sz w:val="20"/>
                <w:szCs w:val="20"/>
              </w:rPr>
            </w:pPr>
            <w:r w:rsidRPr="002B3F36">
              <w:rPr>
                <w:b/>
                <w:sz w:val="20"/>
                <w:szCs w:val="20"/>
              </w:rPr>
              <w:t>Scheduling</w:t>
            </w:r>
            <w:r w:rsidRPr="002B3F36">
              <w:rPr>
                <w:sz w:val="20"/>
                <w:szCs w:val="20"/>
              </w:rPr>
              <w:t xml:space="preserve">: confine high-noise tasks to </w:t>
            </w:r>
            <w:r w:rsidRPr="002B3F36">
              <w:rPr>
                <w:b/>
                <w:sz w:val="20"/>
                <w:szCs w:val="20"/>
              </w:rPr>
              <w:t>06:00–18:00</w:t>
            </w:r>
            <w:r w:rsidRPr="002B3F36">
              <w:rPr>
                <w:sz w:val="20"/>
                <w:szCs w:val="20"/>
              </w:rPr>
              <w:t>; any night works require Engineer/</w:t>
            </w:r>
            <w:r w:rsidR="00464922" w:rsidRPr="002B3F36">
              <w:rPr>
                <w:sz w:val="20"/>
                <w:szCs w:val="20"/>
              </w:rPr>
              <w:t>KTZ</w:t>
            </w:r>
            <w:r w:rsidRPr="002B3F36">
              <w:rPr>
                <w:sz w:val="20"/>
                <w:szCs w:val="20"/>
              </w:rPr>
              <w:t xml:space="preserve"> approval, prior </w:t>
            </w:r>
            <w:r w:rsidRPr="002B3F36">
              <w:rPr>
                <w:b/>
                <w:sz w:val="20"/>
                <w:szCs w:val="20"/>
              </w:rPr>
              <w:t>community notification</w:t>
            </w:r>
            <w:r w:rsidRPr="002B3F36">
              <w:rPr>
                <w:sz w:val="20"/>
                <w:szCs w:val="20"/>
              </w:rPr>
              <w:t>, and enhanced controls.</w:t>
            </w:r>
          </w:p>
          <w:p w14:paraId="7FCC622B" w14:textId="77777777" w:rsidR="00733889" w:rsidRPr="002B3F36" w:rsidRDefault="00733889" w:rsidP="00733889">
            <w:pPr>
              <w:pStyle w:val="BulletTable"/>
              <w:rPr>
                <w:sz w:val="20"/>
                <w:szCs w:val="20"/>
              </w:rPr>
            </w:pPr>
            <w:r w:rsidRPr="002B3F36">
              <w:rPr>
                <w:b/>
                <w:sz w:val="20"/>
                <w:szCs w:val="20"/>
              </w:rPr>
              <w:t>Traffic management</w:t>
            </w:r>
            <w:r w:rsidRPr="002B3F36">
              <w:rPr>
                <w:sz w:val="20"/>
                <w:szCs w:val="20"/>
              </w:rPr>
              <w:t>: speed limits, no unnecessary horn use, defined haul routes away from receptors where feasible, and no-idling policy.</w:t>
            </w:r>
          </w:p>
          <w:p w14:paraId="5EDF1231" w14:textId="77777777" w:rsidR="00733889" w:rsidRPr="002B3F36" w:rsidRDefault="00733889" w:rsidP="00733889">
            <w:pPr>
              <w:pStyle w:val="BulletTable"/>
              <w:rPr>
                <w:sz w:val="20"/>
                <w:szCs w:val="20"/>
              </w:rPr>
            </w:pPr>
            <w:r w:rsidRPr="002B3F36">
              <w:rPr>
                <w:b/>
                <w:sz w:val="20"/>
                <w:szCs w:val="20"/>
              </w:rPr>
              <w:t>Maintenance &amp; methods</w:t>
            </w:r>
            <w:r w:rsidRPr="002B3F36">
              <w:rPr>
                <w:sz w:val="20"/>
                <w:szCs w:val="20"/>
              </w:rPr>
              <w:t>: planned maintenance; minimize drop heights; staged loading/unloading; training for operators on quiet work practices.</w:t>
            </w:r>
          </w:p>
          <w:p w14:paraId="2EC9C455" w14:textId="77777777" w:rsidR="00733889" w:rsidRPr="002B3F36" w:rsidRDefault="00733889" w:rsidP="00733889">
            <w:pPr>
              <w:pStyle w:val="BulletTable"/>
              <w:rPr>
                <w:sz w:val="20"/>
                <w:szCs w:val="20"/>
              </w:rPr>
            </w:pPr>
            <w:r w:rsidRPr="002B3F36">
              <w:rPr>
                <w:b/>
                <w:sz w:val="20"/>
                <w:szCs w:val="20"/>
              </w:rPr>
              <w:t>Setbacks</w:t>
            </w:r>
            <w:r w:rsidRPr="002B3F36">
              <w:rPr>
                <w:sz w:val="20"/>
                <w:szCs w:val="20"/>
              </w:rPr>
              <w:t>: locate camps, heavy workshops, and high-noise auxiliary plants with adequate setbacks from settlements and sensitive fauna areas.</w:t>
            </w:r>
          </w:p>
          <w:p w14:paraId="0D7DC540" w14:textId="77777777" w:rsidR="00733889" w:rsidRPr="002B3F36" w:rsidRDefault="00733889" w:rsidP="00B36D58">
            <w:pPr>
              <w:pStyle w:val="BulletTable"/>
              <w:numPr>
                <w:ilvl w:val="0"/>
                <w:numId w:val="0"/>
              </w:numPr>
              <w:ind w:left="-43"/>
              <w:rPr>
                <w:sz w:val="20"/>
                <w:szCs w:val="20"/>
              </w:rPr>
            </w:pPr>
            <w:r w:rsidRPr="002B3F36">
              <w:rPr>
                <w:b/>
                <w:sz w:val="20"/>
                <w:szCs w:val="20"/>
              </w:rPr>
              <w:t>Worker Protection (OHS interface)</w:t>
            </w:r>
          </w:p>
          <w:p w14:paraId="2D04EFF5" w14:textId="77777777" w:rsidR="00733889" w:rsidRPr="002B3F36" w:rsidRDefault="00733889" w:rsidP="00733889">
            <w:pPr>
              <w:pStyle w:val="BulletTable"/>
              <w:rPr>
                <w:sz w:val="20"/>
                <w:szCs w:val="20"/>
              </w:rPr>
            </w:pPr>
            <w:r w:rsidRPr="002B3F36">
              <w:rPr>
                <w:sz w:val="20"/>
                <w:szCs w:val="20"/>
              </w:rPr>
              <w:t xml:space="preserve">Provide and enforce </w:t>
            </w:r>
            <w:r w:rsidRPr="002B3F36">
              <w:rPr>
                <w:b/>
                <w:sz w:val="20"/>
                <w:szCs w:val="20"/>
              </w:rPr>
              <w:t>hearing protection</w:t>
            </w:r>
            <w:r w:rsidRPr="002B3F36">
              <w:rPr>
                <w:sz w:val="20"/>
                <w:szCs w:val="20"/>
              </w:rPr>
              <w:t xml:space="preserve"> where </w:t>
            </w:r>
            <w:r w:rsidRPr="002B3F36">
              <w:rPr>
                <w:b/>
                <w:sz w:val="20"/>
                <w:szCs w:val="20"/>
              </w:rPr>
              <w:t>LAeq,8h ≥ 85 dB(A)</w:t>
            </w:r>
            <w:r w:rsidRPr="002B3F36">
              <w:rPr>
                <w:sz w:val="20"/>
                <w:szCs w:val="20"/>
              </w:rPr>
              <w:t xml:space="preserve"> or </w:t>
            </w:r>
            <w:r w:rsidRPr="002B3F36">
              <w:rPr>
                <w:b/>
                <w:sz w:val="20"/>
                <w:szCs w:val="20"/>
              </w:rPr>
              <w:t>Lpeak ≥ 140 dB(C)</w:t>
            </w:r>
            <w:r w:rsidRPr="002B3F36">
              <w:rPr>
                <w:sz w:val="20"/>
                <w:szCs w:val="20"/>
              </w:rPr>
              <w:t>; conduct audiometry for exposed workers; rotate crews for high-noise tasks.</w:t>
            </w:r>
          </w:p>
          <w:p w14:paraId="24E71265" w14:textId="77777777" w:rsidR="00733889" w:rsidRPr="002B3F36" w:rsidRDefault="00733889" w:rsidP="00B36D58">
            <w:pPr>
              <w:pStyle w:val="BulletTable"/>
              <w:numPr>
                <w:ilvl w:val="0"/>
                <w:numId w:val="0"/>
              </w:numPr>
              <w:ind w:left="317"/>
              <w:rPr>
                <w:sz w:val="20"/>
                <w:szCs w:val="20"/>
              </w:rPr>
            </w:pPr>
            <w:r w:rsidRPr="002B3F36">
              <w:rPr>
                <w:b/>
                <w:sz w:val="20"/>
                <w:szCs w:val="20"/>
              </w:rPr>
              <w:t>Monitoring, Criteria &amp; Response</w:t>
            </w:r>
          </w:p>
          <w:p w14:paraId="4FB96CFB" w14:textId="77777777" w:rsidR="00733889" w:rsidRPr="002B3F36" w:rsidRDefault="00733889" w:rsidP="00733889">
            <w:pPr>
              <w:pStyle w:val="BulletTable"/>
              <w:rPr>
                <w:sz w:val="20"/>
                <w:szCs w:val="20"/>
              </w:rPr>
            </w:pPr>
            <w:r w:rsidRPr="002B3F36">
              <w:rPr>
                <w:sz w:val="20"/>
                <w:szCs w:val="20"/>
              </w:rPr>
              <w:t xml:space="preserve">Conduct routine </w:t>
            </w:r>
            <w:r w:rsidRPr="002B3F36">
              <w:rPr>
                <w:b/>
                <w:sz w:val="20"/>
                <w:szCs w:val="20"/>
              </w:rPr>
              <w:t>spot measurements</w:t>
            </w:r>
            <w:r w:rsidRPr="002B3F36">
              <w:rPr>
                <w:sz w:val="20"/>
                <w:szCs w:val="20"/>
              </w:rPr>
              <w:t xml:space="preserve"> at site boundaries and nearest receptors; increase frequency during peak activities and upon complaints.</w:t>
            </w:r>
          </w:p>
          <w:p w14:paraId="1796AD2E" w14:textId="5A5D08A3" w:rsidR="00733889" w:rsidRPr="002B3F36" w:rsidRDefault="00733889" w:rsidP="00733889">
            <w:pPr>
              <w:pStyle w:val="BulletTable"/>
              <w:rPr>
                <w:sz w:val="20"/>
                <w:szCs w:val="20"/>
              </w:rPr>
            </w:pPr>
            <w:r w:rsidRPr="002B3F36">
              <w:rPr>
                <w:b/>
                <w:sz w:val="20"/>
                <w:szCs w:val="20"/>
              </w:rPr>
              <w:t>Compliance criteria</w:t>
            </w:r>
            <w:r w:rsidRPr="002B3F36">
              <w:rPr>
                <w:sz w:val="20"/>
                <w:szCs w:val="20"/>
              </w:rPr>
              <w:t xml:space="preserve">: meet applicable </w:t>
            </w:r>
            <w:r w:rsidRPr="002B3F36">
              <w:rPr>
                <w:b/>
                <w:sz w:val="20"/>
                <w:szCs w:val="20"/>
              </w:rPr>
              <w:t>RoK limits</w:t>
            </w:r>
            <w:r w:rsidRPr="002B3F36">
              <w:rPr>
                <w:sz w:val="20"/>
                <w:szCs w:val="20"/>
              </w:rPr>
              <w:t xml:space="preserve">. Where local limits are absent/exceeded, follow </w:t>
            </w:r>
            <w:r w:rsidRPr="002B3F36">
              <w:rPr>
                <w:b/>
                <w:sz w:val="20"/>
                <w:szCs w:val="20"/>
              </w:rPr>
              <w:t>WB EHS Guidelines</w:t>
            </w:r>
            <w:r w:rsidRPr="002B3F36">
              <w:rPr>
                <w:sz w:val="20"/>
                <w:szCs w:val="20"/>
              </w:rPr>
              <w:t xml:space="preserve">: </w:t>
            </w:r>
            <w:r w:rsidR="00B36D58" w:rsidRPr="002B3F36">
              <w:rPr>
                <w:sz w:val="20"/>
                <w:szCs w:val="20"/>
              </w:rPr>
              <w:t>typically,</w:t>
            </w:r>
            <w:r w:rsidRPr="002B3F36">
              <w:rPr>
                <w:sz w:val="20"/>
                <w:szCs w:val="20"/>
              </w:rPr>
              <w:t xml:space="preserve"> </w:t>
            </w:r>
            <w:r w:rsidRPr="002B3F36">
              <w:rPr>
                <w:b/>
                <w:sz w:val="20"/>
                <w:szCs w:val="20"/>
              </w:rPr>
              <w:t>55 dB(A) day / 45 dB(A) night</w:t>
            </w:r>
            <w:r w:rsidRPr="002B3F36">
              <w:rPr>
                <w:sz w:val="20"/>
                <w:szCs w:val="20"/>
              </w:rPr>
              <w:t xml:space="preserve"> at residential receptors, or </w:t>
            </w:r>
            <w:r w:rsidRPr="002B3F36">
              <w:rPr>
                <w:b/>
                <w:sz w:val="20"/>
                <w:szCs w:val="20"/>
              </w:rPr>
              <w:t>project contribution ≤3 dB</w:t>
            </w:r>
            <w:r w:rsidRPr="002B3F36">
              <w:rPr>
                <w:sz w:val="20"/>
                <w:szCs w:val="20"/>
              </w:rPr>
              <w:t xml:space="preserve"> above baseline where ambient already exceeds guidelines.</w:t>
            </w:r>
          </w:p>
          <w:p w14:paraId="0A7E88F1" w14:textId="77777777" w:rsidR="00733889" w:rsidRPr="002B3F36" w:rsidRDefault="00733889" w:rsidP="00733889">
            <w:pPr>
              <w:pStyle w:val="BulletTable"/>
              <w:rPr>
                <w:sz w:val="20"/>
                <w:szCs w:val="20"/>
              </w:rPr>
            </w:pPr>
            <w:r w:rsidRPr="002B3F36">
              <w:rPr>
                <w:sz w:val="20"/>
                <w:szCs w:val="20"/>
              </w:rPr>
              <w:lastRenderedPageBreak/>
              <w:t xml:space="preserve">Implement </w:t>
            </w:r>
            <w:r w:rsidRPr="002B3F36">
              <w:rPr>
                <w:b/>
                <w:sz w:val="20"/>
                <w:szCs w:val="20"/>
              </w:rPr>
              <w:t>triggered actions</w:t>
            </w:r>
            <w:r w:rsidRPr="002B3F36">
              <w:rPr>
                <w:sz w:val="20"/>
                <w:szCs w:val="20"/>
              </w:rPr>
              <w:t xml:space="preserve"> (e.g., add barriers, reschedule, reduce plant, repair equipment) upon exceedance or validated complaints.</w:t>
            </w:r>
          </w:p>
          <w:p w14:paraId="3358471D" w14:textId="77777777" w:rsidR="00733889" w:rsidRPr="002B3F36" w:rsidRDefault="00733889" w:rsidP="00733889">
            <w:pPr>
              <w:pStyle w:val="BulletTable"/>
              <w:rPr>
                <w:sz w:val="20"/>
                <w:szCs w:val="20"/>
              </w:rPr>
            </w:pPr>
            <w:r w:rsidRPr="002B3F36">
              <w:rPr>
                <w:sz w:val="20"/>
                <w:szCs w:val="20"/>
              </w:rPr>
              <w:t xml:space="preserve">Maintain a </w:t>
            </w:r>
            <w:r w:rsidRPr="002B3F36">
              <w:rPr>
                <w:b/>
                <w:sz w:val="20"/>
                <w:szCs w:val="20"/>
              </w:rPr>
              <w:t>complaint-response protocol</w:t>
            </w:r>
            <w:r w:rsidRPr="002B3F36">
              <w:rPr>
                <w:sz w:val="20"/>
                <w:szCs w:val="20"/>
              </w:rPr>
              <w:t xml:space="preserve"> via the community GRM; document investigations, actions, and feedback to complainants.</w:t>
            </w:r>
          </w:p>
          <w:p w14:paraId="5CACFAE6" w14:textId="13CDC450" w:rsidR="00733889" w:rsidRPr="002B3F36" w:rsidRDefault="00733889" w:rsidP="00733889">
            <w:pPr>
              <w:pStyle w:val="BulletTable"/>
              <w:rPr>
                <w:sz w:val="20"/>
                <w:szCs w:val="20"/>
              </w:rPr>
            </w:pPr>
            <w:r w:rsidRPr="002B3F36">
              <w:rPr>
                <w:sz w:val="20"/>
                <w:szCs w:val="20"/>
              </w:rPr>
              <w:t>Monthly reporting to the Engineer/</w:t>
            </w:r>
            <w:r w:rsidR="00464922" w:rsidRPr="002B3F36">
              <w:rPr>
                <w:sz w:val="20"/>
                <w:szCs w:val="20"/>
              </w:rPr>
              <w:t>KTZ</w:t>
            </w:r>
            <w:r w:rsidRPr="002B3F36">
              <w:rPr>
                <w:sz w:val="20"/>
                <w:szCs w:val="20"/>
              </w:rPr>
              <w:t xml:space="preserve"> on noise KPIs (measurements vs. criteria, complaints/resolution time, maintenance logs, night-work approvals).</w:t>
            </w:r>
          </w:p>
          <w:p w14:paraId="007DD505" w14:textId="77777777" w:rsidR="00733889" w:rsidRPr="002B3F36" w:rsidRDefault="00733889" w:rsidP="00733889">
            <w:pPr>
              <w:pStyle w:val="BulletTable"/>
              <w:numPr>
                <w:ilvl w:val="0"/>
                <w:numId w:val="0"/>
              </w:numPr>
              <w:ind w:left="317"/>
              <w:rPr>
                <w:b/>
                <w:sz w:val="20"/>
                <w:szCs w:val="20"/>
              </w:rPr>
            </w:pPr>
          </w:p>
          <w:p w14:paraId="732241D0" w14:textId="13B777DB" w:rsidR="00733889" w:rsidRPr="002B3F36" w:rsidRDefault="00733889" w:rsidP="00B36D58">
            <w:pPr>
              <w:pStyle w:val="BulletTable"/>
              <w:numPr>
                <w:ilvl w:val="0"/>
                <w:numId w:val="0"/>
              </w:numPr>
              <w:ind w:left="317" w:hanging="317"/>
              <w:rPr>
                <w:sz w:val="20"/>
                <w:szCs w:val="20"/>
              </w:rPr>
            </w:pPr>
            <w:r w:rsidRPr="002B3F36">
              <w:rPr>
                <w:b/>
                <w:sz w:val="20"/>
                <w:szCs w:val="20"/>
              </w:rPr>
              <w:t>Wildlife &amp; Livestock Considerations (PS6 interface)</w:t>
            </w:r>
          </w:p>
          <w:p w14:paraId="0443B6DC" w14:textId="77777777" w:rsidR="00733889" w:rsidRPr="002B3F36" w:rsidRDefault="00733889" w:rsidP="00733889">
            <w:pPr>
              <w:pStyle w:val="BulletTable"/>
              <w:rPr>
                <w:sz w:val="20"/>
                <w:szCs w:val="20"/>
              </w:rPr>
            </w:pPr>
            <w:r w:rsidRPr="002B3F36">
              <w:rPr>
                <w:sz w:val="20"/>
                <w:szCs w:val="20"/>
              </w:rPr>
              <w:t>Avoid high-noise activities near sensitive habitats and during known breeding periods where identified by pre-construction surveys; limit night-time lighting and noise in steppe/riparian areas frequented by wildlife and livestock.</w:t>
            </w:r>
          </w:p>
          <w:p w14:paraId="2ED7823F" w14:textId="77777777" w:rsidR="00F61F8E" w:rsidRPr="002B3F36" w:rsidRDefault="00F61F8E">
            <w:pPr>
              <w:pStyle w:val="BulletTable"/>
              <w:numPr>
                <w:ilvl w:val="0"/>
                <w:numId w:val="0"/>
              </w:numPr>
              <w:ind w:left="-20"/>
              <w:rPr>
                <w:color w:val="auto"/>
                <w:sz w:val="20"/>
                <w:szCs w:val="20"/>
              </w:rPr>
            </w:pPr>
          </w:p>
        </w:tc>
        <w:tc>
          <w:tcPr>
            <w:tcW w:w="1751" w:type="dxa"/>
          </w:tcPr>
          <w:p w14:paraId="1CAC8361"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2138E792"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 xml:space="preserve">Budget part of supervision contract; part of operational cost of </w:t>
            </w:r>
            <w:r w:rsidRPr="002B3F36">
              <w:rPr>
                <w:rFonts w:ascii="Arial" w:eastAsia="Calibri" w:hAnsi="Arial" w:cs="Arial"/>
                <w:sz w:val="20"/>
                <w:szCs w:val="20"/>
              </w:rPr>
              <w:t>Contractor)</w:t>
            </w:r>
          </w:p>
        </w:tc>
      </w:tr>
      <w:tr w:rsidR="00F61F8E" w:rsidRPr="002B3F36" w14:paraId="61F4AC12" w14:textId="77777777" w:rsidTr="0089733D">
        <w:tc>
          <w:tcPr>
            <w:tcW w:w="1180" w:type="dxa"/>
          </w:tcPr>
          <w:p w14:paraId="0F2D7F96"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lastRenderedPageBreak/>
              <w:t>Waste Generation</w:t>
            </w:r>
          </w:p>
        </w:tc>
        <w:tc>
          <w:tcPr>
            <w:tcW w:w="1180" w:type="dxa"/>
          </w:tcPr>
          <w:p w14:paraId="5F845BE8"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Waste Generation from Construction</w:t>
            </w:r>
          </w:p>
        </w:tc>
        <w:tc>
          <w:tcPr>
            <w:tcW w:w="3225" w:type="dxa"/>
          </w:tcPr>
          <w:p w14:paraId="73C6B8E2" w14:textId="77777777" w:rsidR="00F61F8E" w:rsidRPr="002B3F36" w:rsidRDefault="000F264B">
            <w:pPr>
              <w:shd w:val="clear" w:color="auto" w:fill="FFFFFF"/>
              <w:suppressAutoHyphens/>
              <w:ind w:right="34"/>
              <w:jc w:val="both"/>
              <w:rPr>
                <w:rFonts w:ascii="Arial" w:eastAsia="Calibri" w:hAnsi="Arial" w:cs="Arial"/>
                <w:sz w:val="20"/>
                <w:szCs w:val="20"/>
              </w:rPr>
            </w:pPr>
            <w:r w:rsidRPr="002B3F36">
              <w:rPr>
                <w:rFonts w:ascii="Arial" w:eastAsia="Calibri" w:hAnsi="Arial" w:cs="Arial"/>
                <w:sz w:val="20"/>
                <w:szCs w:val="20"/>
              </w:rPr>
              <w:t>Construction activities will generate domestic waste, inert construction waste, hazardous waste, and wastewater</w:t>
            </w:r>
          </w:p>
        </w:tc>
        <w:tc>
          <w:tcPr>
            <w:tcW w:w="5822" w:type="dxa"/>
          </w:tcPr>
          <w:p w14:paraId="1D97C7EE" w14:textId="77777777" w:rsidR="007472F8" w:rsidRPr="002B3F36" w:rsidRDefault="007472F8" w:rsidP="007472F8">
            <w:pPr>
              <w:pStyle w:val="BoldTableTitle"/>
              <w:rPr>
                <w:sz w:val="20"/>
                <w:szCs w:val="20"/>
              </w:rPr>
            </w:pPr>
            <w:r w:rsidRPr="002B3F36">
              <w:rPr>
                <w:sz w:val="20"/>
                <w:szCs w:val="20"/>
              </w:rPr>
              <w:t>A. Planning, Responsibilities, and Compliance</w:t>
            </w:r>
          </w:p>
          <w:p w14:paraId="62DDB6B9" w14:textId="77777777" w:rsidR="007472F8" w:rsidRPr="002B3F36" w:rsidRDefault="007472F8" w:rsidP="009B4CDB">
            <w:pPr>
              <w:pStyle w:val="BoldTableTitle"/>
              <w:numPr>
                <w:ilvl w:val="0"/>
                <w:numId w:val="154"/>
              </w:numPr>
              <w:rPr>
                <w:b w:val="0"/>
                <w:sz w:val="20"/>
                <w:szCs w:val="20"/>
              </w:rPr>
            </w:pPr>
            <w:r w:rsidRPr="002B3F36">
              <w:rPr>
                <w:b w:val="0"/>
                <w:sz w:val="20"/>
                <w:szCs w:val="20"/>
              </w:rPr>
              <w:t>Prepare a site-specific Waste Management Plan (WMP) as part of the C-ESMP before works commence, applying the waste hierarchy (avoid → reduce → reuse → recycle → recover → dispose).</w:t>
            </w:r>
          </w:p>
          <w:p w14:paraId="6EB7C490" w14:textId="77777777" w:rsidR="007472F8" w:rsidRPr="002B3F36" w:rsidRDefault="007472F8" w:rsidP="009B4CDB">
            <w:pPr>
              <w:pStyle w:val="BoldTableTitle"/>
              <w:numPr>
                <w:ilvl w:val="0"/>
                <w:numId w:val="154"/>
              </w:numPr>
              <w:rPr>
                <w:b w:val="0"/>
                <w:sz w:val="20"/>
                <w:szCs w:val="20"/>
              </w:rPr>
            </w:pPr>
            <w:r w:rsidRPr="002B3F36">
              <w:rPr>
                <w:b w:val="0"/>
                <w:sz w:val="20"/>
                <w:szCs w:val="20"/>
              </w:rPr>
              <w:t>Define roles and responsibilities (RACI) and set KPIs (segregation rates, % recycled, incidents).</w:t>
            </w:r>
          </w:p>
          <w:p w14:paraId="1AFCB94F" w14:textId="77777777" w:rsidR="007472F8" w:rsidRPr="002B3F36" w:rsidRDefault="007472F8" w:rsidP="009B4CDB">
            <w:pPr>
              <w:pStyle w:val="BoldTableTitle"/>
              <w:numPr>
                <w:ilvl w:val="0"/>
                <w:numId w:val="154"/>
              </w:numPr>
              <w:rPr>
                <w:b w:val="0"/>
                <w:sz w:val="20"/>
                <w:szCs w:val="20"/>
              </w:rPr>
            </w:pPr>
            <w:r w:rsidRPr="002B3F36">
              <w:rPr>
                <w:b w:val="0"/>
                <w:sz w:val="20"/>
                <w:szCs w:val="20"/>
              </w:rPr>
              <w:t>Classify all wastes under RoK legislation, secure required permits, and pre-qualify licensed contractors for transport and disposal.</w:t>
            </w:r>
          </w:p>
          <w:p w14:paraId="6C5DBBE0" w14:textId="57F0EE47" w:rsidR="007472F8" w:rsidRPr="002B3F36" w:rsidRDefault="007472F8" w:rsidP="009B4CDB">
            <w:pPr>
              <w:pStyle w:val="BoldTableTitle"/>
              <w:numPr>
                <w:ilvl w:val="0"/>
                <w:numId w:val="154"/>
              </w:numPr>
              <w:rPr>
                <w:b w:val="0"/>
                <w:sz w:val="20"/>
                <w:szCs w:val="20"/>
              </w:rPr>
            </w:pPr>
            <w:r w:rsidRPr="002B3F36">
              <w:rPr>
                <w:b w:val="0"/>
                <w:sz w:val="20"/>
                <w:szCs w:val="20"/>
              </w:rPr>
              <w:t>Maintain a waste register, manifests, and receipts for all off-site transfers for audit/inspection by the Engineer/</w:t>
            </w:r>
            <w:r w:rsidR="00464922" w:rsidRPr="002B3F36">
              <w:rPr>
                <w:b w:val="0"/>
                <w:sz w:val="20"/>
                <w:szCs w:val="20"/>
              </w:rPr>
              <w:t>KTZ</w:t>
            </w:r>
            <w:r w:rsidRPr="002B3F36">
              <w:rPr>
                <w:b w:val="0"/>
                <w:sz w:val="20"/>
                <w:szCs w:val="20"/>
              </w:rPr>
              <w:t>.</w:t>
            </w:r>
          </w:p>
          <w:p w14:paraId="62FD78B5" w14:textId="77777777" w:rsidR="007472F8" w:rsidRPr="002B3F36" w:rsidRDefault="007472F8" w:rsidP="007472F8">
            <w:pPr>
              <w:pStyle w:val="BoldTableTitle"/>
              <w:rPr>
                <w:sz w:val="20"/>
                <w:szCs w:val="20"/>
              </w:rPr>
            </w:pPr>
            <w:r w:rsidRPr="002B3F36">
              <w:rPr>
                <w:sz w:val="20"/>
                <w:szCs w:val="20"/>
              </w:rPr>
              <w:t>B. Segregation, Storage, and Housekeeping</w:t>
            </w:r>
          </w:p>
          <w:p w14:paraId="310CAD2B" w14:textId="77777777" w:rsidR="007472F8" w:rsidRPr="002B3F36" w:rsidRDefault="007472F8" w:rsidP="009B4CDB">
            <w:pPr>
              <w:pStyle w:val="BoldTableTitle"/>
              <w:numPr>
                <w:ilvl w:val="0"/>
                <w:numId w:val="155"/>
              </w:numPr>
              <w:rPr>
                <w:b w:val="0"/>
                <w:sz w:val="20"/>
                <w:szCs w:val="20"/>
              </w:rPr>
            </w:pPr>
            <w:r w:rsidRPr="002B3F36">
              <w:rPr>
                <w:b w:val="0"/>
                <w:sz w:val="20"/>
                <w:szCs w:val="20"/>
              </w:rPr>
              <w:t>Provide color-coded containers for recyclables, general waste, organics (if applied), and hazardous waste at camps, plants, and work fronts.</w:t>
            </w:r>
          </w:p>
          <w:p w14:paraId="4E5C164C" w14:textId="77777777" w:rsidR="007472F8" w:rsidRPr="002B3F36" w:rsidRDefault="007472F8" w:rsidP="009B4CDB">
            <w:pPr>
              <w:pStyle w:val="BoldTableTitle"/>
              <w:numPr>
                <w:ilvl w:val="0"/>
                <w:numId w:val="155"/>
              </w:numPr>
              <w:rPr>
                <w:b w:val="0"/>
                <w:sz w:val="20"/>
                <w:szCs w:val="20"/>
              </w:rPr>
            </w:pPr>
            <w:r w:rsidRPr="002B3F36">
              <w:rPr>
                <w:b w:val="0"/>
                <w:sz w:val="20"/>
                <w:szCs w:val="20"/>
              </w:rPr>
              <w:t>Store hazardous waste in covered, impermeable, bunded areas; segregate incompatibles and ensure containers are closed, labeled, and dated.</w:t>
            </w:r>
          </w:p>
          <w:p w14:paraId="3DD04CFB" w14:textId="77777777" w:rsidR="007472F8" w:rsidRPr="002B3F36" w:rsidRDefault="007472F8" w:rsidP="009B4CDB">
            <w:pPr>
              <w:pStyle w:val="BoldTableTitle"/>
              <w:numPr>
                <w:ilvl w:val="0"/>
                <w:numId w:val="155"/>
              </w:numPr>
              <w:rPr>
                <w:b w:val="0"/>
                <w:sz w:val="20"/>
                <w:szCs w:val="20"/>
              </w:rPr>
            </w:pPr>
            <w:r w:rsidRPr="002B3F36">
              <w:rPr>
                <w:b w:val="0"/>
                <w:sz w:val="20"/>
                <w:szCs w:val="20"/>
              </w:rPr>
              <w:t>Designate signed storage areas with spill kits and fire protection; limit on-site storage durations.</w:t>
            </w:r>
          </w:p>
          <w:p w14:paraId="7B261E2F" w14:textId="77777777" w:rsidR="007472F8" w:rsidRPr="002B3F36" w:rsidRDefault="007472F8" w:rsidP="009B4CDB">
            <w:pPr>
              <w:pStyle w:val="BoldTableTitle"/>
              <w:numPr>
                <w:ilvl w:val="0"/>
                <w:numId w:val="155"/>
              </w:numPr>
              <w:rPr>
                <w:b w:val="0"/>
                <w:sz w:val="20"/>
                <w:szCs w:val="20"/>
              </w:rPr>
            </w:pPr>
            <w:r w:rsidRPr="002B3F36">
              <w:rPr>
                <w:b w:val="0"/>
                <w:sz w:val="20"/>
                <w:szCs w:val="20"/>
              </w:rPr>
              <w:lastRenderedPageBreak/>
              <w:t>Enforce strict prohibitions on open dumping, open burning, and littering; cover all waste loads during transport.</w:t>
            </w:r>
          </w:p>
          <w:p w14:paraId="0060EB96" w14:textId="77777777" w:rsidR="007472F8" w:rsidRPr="002B3F36" w:rsidRDefault="007472F8" w:rsidP="007472F8">
            <w:pPr>
              <w:pStyle w:val="BoldTableTitle"/>
              <w:rPr>
                <w:sz w:val="20"/>
                <w:szCs w:val="20"/>
              </w:rPr>
            </w:pPr>
            <w:r w:rsidRPr="002B3F36">
              <w:rPr>
                <w:sz w:val="20"/>
                <w:szCs w:val="20"/>
              </w:rPr>
              <w:t>C. Municipal Solid Waste (MSW)</w:t>
            </w:r>
          </w:p>
          <w:p w14:paraId="213A8C5F" w14:textId="77777777" w:rsidR="007472F8" w:rsidRPr="002B3F36" w:rsidRDefault="007472F8" w:rsidP="009B4CDB">
            <w:pPr>
              <w:pStyle w:val="BoldTableTitle"/>
              <w:numPr>
                <w:ilvl w:val="0"/>
                <w:numId w:val="156"/>
              </w:numPr>
              <w:rPr>
                <w:b w:val="0"/>
                <w:sz w:val="20"/>
                <w:szCs w:val="20"/>
              </w:rPr>
            </w:pPr>
            <w:r w:rsidRPr="002B3F36">
              <w:rPr>
                <w:b w:val="0"/>
                <w:sz w:val="20"/>
                <w:szCs w:val="20"/>
              </w:rPr>
              <w:t>Contract licensed collectors for routine removal to authorized facilities.</w:t>
            </w:r>
          </w:p>
          <w:p w14:paraId="5E27D8CD" w14:textId="77777777" w:rsidR="007472F8" w:rsidRPr="002B3F36" w:rsidRDefault="007472F8" w:rsidP="009B4CDB">
            <w:pPr>
              <w:pStyle w:val="BoldTableTitle"/>
              <w:numPr>
                <w:ilvl w:val="0"/>
                <w:numId w:val="156"/>
              </w:numPr>
              <w:rPr>
                <w:b w:val="0"/>
                <w:sz w:val="20"/>
                <w:szCs w:val="20"/>
              </w:rPr>
            </w:pPr>
            <w:r w:rsidRPr="002B3F36">
              <w:rPr>
                <w:b w:val="0"/>
                <w:sz w:val="20"/>
                <w:szCs w:val="20"/>
              </w:rPr>
              <w:t>Maximize recycling opportunities (plastics, paper, glass, metals) where local markets exist.</w:t>
            </w:r>
          </w:p>
          <w:p w14:paraId="39B512DB" w14:textId="77777777" w:rsidR="007472F8" w:rsidRPr="002B3F36" w:rsidRDefault="007472F8" w:rsidP="009B4CDB">
            <w:pPr>
              <w:pStyle w:val="BoldTableTitle"/>
              <w:numPr>
                <w:ilvl w:val="0"/>
                <w:numId w:val="156"/>
              </w:numPr>
              <w:rPr>
                <w:b w:val="0"/>
                <w:sz w:val="20"/>
                <w:szCs w:val="20"/>
              </w:rPr>
            </w:pPr>
            <w:r w:rsidRPr="002B3F36">
              <w:rPr>
                <w:b w:val="0"/>
                <w:sz w:val="20"/>
                <w:szCs w:val="20"/>
              </w:rPr>
              <w:t>Implement housekeeping and anti-litter measures, especially at camp perimeters and laydown yards.</w:t>
            </w:r>
          </w:p>
          <w:p w14:paraId="72A121FD" w14:textId="77777777" w:rsidR="007472F8" w:rsidRPr="002B3F36" w:rsidRDefault="007472F8" w:rsidP="007472F8">
            <w:pPr>
              <w:pStyle w:val="BoldTableTitle"/>
              <w:rPr>
                <w:sz w:val="20"/>
                <w:szCs w:val="20"/>
              </w:rPr>
            </w:pPr>
            <w:r w:rsidRPr="002B3F36">
              <w:rPr>
                <w:sz w:val="20"/>
                <w:szCs w:val="20"/>
              </w:rPr>
              <w:t>D. Inert Construction Waste</w:t>
            </w:r>
          </w:p>
          <w:p w14:paraId="2AA1DD39" w14:textId="77777777" w:rsidR="007472F8" w:rsidRPr="002B3F36" w:rsidRDefault="007472F8" w:rsidP="009B4CDB">
            <w:pPr>
              <w:pStyle w:val="BoldTableTitle"/>
              <w:numPr>
                <w:ilvl w:val="0"/>
                <w:numId w:val="157"/>
              </w:numPr>
              <w:rPr>
                <w:b w:val="0"/>
                <w:sz w:val="20"/>
                <w:szCs w:val="20"/>
              </w:rPr>
            </w:pPr>
            <w:r w:rsidRPr="002B3F36">
              <w:rPr>
                <w:b w:val="0"/>
                <w:sz w:val="20"/>
                <w:szCs w:val="20"/>
              </w:rPr>
              <w:t>Reuse concrete cement millings and aggregates for sub-base or temporary access roads where approved.</w:t>
            </w:r>
          </w:p>
          <w:p w14:paraId="1EB0A65B" w14:textId="77777777" w:rsidR="007472F8" w:rsidRPr="002B3F36" w:rsidRDefault="007472F8" w:rsidP="009B4CDB">
            <w:pPr>
              <w:pStyle w:val="BoldTableTitle"/>
              <w:numPr>
                <w:ilvl w:val="0"/>
                <w:numId w:val="157"/>
              </w:numPr>
              <w:rPr>
                <w:b w:val="0"/>
                <w:sz w:val="20"/>
                <w:szCs w:val="20"/>
              </w:rPr>
            </w:pPr>
            <w:r w:rsidRPr="002B3F36">
              <w:rPr>
                <w:b w:val="0"/>
                <w:sz w:val="20"/>
                <w:szCs w:val="20"/>
              </w:rPr>
              <w:t>Recycle scrap metals and timber through licensed recyclers.</w:t>
            </w:r>
          </w:p>
          <w:p w14:paraId="79EAB1F1" w14:textId="77777777" w:rsidR="007472F8" w:rsidRPr="002B3F36" w:rsidRDefault="007472F8" w:rsidP="009B4CDB">
            <w:pPr>
              <w:pStyle w:val="BoldTableTitle"/>
              <w:numPr>
                <w:ilvl w:val="0"/>
                <w:numId w:val="157"/>
              </w:numPr>
              <w:rPr>
                <w:b w:val="0"/>
                <w:sz w:val="20"/>
                <w:szCs w:val="20"/>
              </w:rPr>
            </w:pPr>
            <w:r w:rsidRPr="002B3F36">
              <w:rPr>
                <w:b w:val="0"/>
                <w:sz w:val="20"/>
                <w:szCs w:val="20"/>
              </w:rPr>
              <w:t>Surplus inert materials to be disposed of at authorized recovery/disposal sites.</w:t>
            </w:r>
          </w:p>
          <w:p w14:paraId="3BB9764B" w14:textId="50F202FE" w:rsidR="007472F8" w:rsidRPr="002B3F36" w:rsidRDefault="007472F8" w:rsidP="009B4CDB">
            <w:pPr>
              <w:pStyle w:val="BoldTableTitle"/>
              <w:numPr>
                <w:ilvl w:val="0"/>
                <w:numId w:val="157"/>
              </w:numPr>
              <w:rPr>
                <w:b w:val="0"/>
                <w:sz w:val="20"/>
                <w:szCs w:val="20"/>
              </w:rPr>
            </w:pPr>
            <w:r w:rsidRPr="002B3F36">
              <w:rPr>
                <w:b w:val="0"/>
                <w:sz w:val="20"/>
                <w:szCs w:val="20"/>
              </w:rPr>
              <w:t xml:space="preserve">Donation of safe, non-hazardous reusable materials to local communities may be permitted with </w:t>
            </w:r>
            <w:r w:rsidR="00464922" w:rsidRPr="002B3F36">
              <w:rPr>
                <w:b w:val="0"/>
                <w:sz w:val="20"/>
                <w:szCs w:val="20"/>
              </w:rPr>
              <w:t>KTZ</w:t>
            </w:r>
            <w:r w:rsidRPr="002B3F36">
              <w:rPr>
                <w:b w:val="0"/>
                <w:sz w:val="20"/>
                <w:szCs w:val="20"/>
              </w:rPr>
              <w:t>/Engineer approval.</w:t>
            </w:r>
          </w:p>
          <w:p w14:paraId="54FBEBF1" w14:textId="77777777" w:rsidR="007472F8" w:rsidRPr="002B3F36" w:rsidRDefault="007472F8" w:rsidP="007472F8">
            <w:pPr>
              <w:pStyle w:val="BoldTableTitle"/>
              <w:rPr>
                <w:sz w:val="20"/>
                <w:szCs w:val="20"/>
              </w:rPr>
            </w:pPr>
            <w:r w:rsidRPr="002B3F36">
              <w:rPr>
                <w:sz w:val="20"/>
                <w:szCs w:val="20"/>
              </w:rPr>
              <w:t>E. Hazardous Waste (Special Controls)</w:t>
            </w:r>
          </w:p>
          <w:p w14:paraId="5F976E71" w14:textId="77777777" w:rsidR="007472F8" w:rsidRPr="002B3F36" w:rsidRDefault="007472F8" w:rsidP="009B4CDB">
            <w:pPr>
              <w:pStyle w:val="BoldTableTitle"/>
              <w:numPr>
                <w:ilvl w:val="0"/>
                <w:numId w:val="158"/>
              </w:numPr>
              <w:rPr>
                <w:b w:val="0"/>
                <w:sz w:val="20"/>
                <w:szCs w:val="20"/>
              </w:rPr>
            </w:pPr>
            <w:r w:rsidRPr="002B3F36">
              <w:rPr>
                <w:b w:val="0"/>
                <w:sz w:val="20"/>
                <w:szCs w:val="20"/>
              </w:rPr>
              <w:t>Used oil &amp; oily wastes: Store in closed containers on bunded pads; dispatch to licensed facilities with manifests.</w:t>
            </w:r>
          </w:p>
          <w:p w14:paraId="4F74C27C" w14:textId="77777777" w:rsidR="007472F8" w:rsidRPr="002B3F36" w:rsidRDefault="007472F8" w:rsidP="009B4CDB">
            <w:pPr>
              <w:pStyle w:val="BoldTableTitle"/>
              <w:numPr>
                <w:ilvl w:val="0"/>
                <w:numId w:val="158"/>
              </w:numPr>
              <w:rPr>
                <w:b w:val="0"/>
                <w:sz w:val="20"/>
                <w:szCs w:val="20"/>
              </w:rPr>
            </w:pPr>
            <w:r w:rsidRPr="002B3F36">
              <w:rPr>
                <w:b w:val="0"/>
                <w:sz w:val="20"/>
                <w:szCs w:val="20"/>
              </w:rPr>
              <w:t>Paints/solvents/cement residues: Keep in labeled containers; dispose through licensed hazardous facilities—no distribution to workers or communities.</w:t>
            </w:r>
          </w:p>
          <w:p w14:paraId="4D55FC4B" w14:textId="77777777" w:rsidR="007472F8" w:rsidRPr="002B3F36" w:rsidRDefault="007472F8" w:rsidP="009B4CDB">
            <w:pPr>
              <w:pStyle w:val="BoldTableTitle"/>
              <w:numPr>
                <w:ilvl w:val="0"/>
                <w:numId w:val="158"/>
              </w:numPr>
              <w:rPr>
                <w:b w:val="0"/>
                <w:sz w:val="20"/>
                <w:szCs w:val="20"/>
              </w:rPr>
            </w:pPr>
            <w:r w:rsidRPr="002B3F36">
              <w:rPr>
                <w:b w:val="0"/>
                <w:sz w:val="20"/>
                <w:szCs w:val="20"/>
              </w:rPr>
              <w:t>Batteries &amp; mercury lamps: Store upright in compatible packaging; transport to licensed handlers; prevent breakage.</w:t>
            </w:r>
          </w:p>
          <w:p w14:paraId="76BC9CA3" w14:textId="77777777" w:rsidR="007472F8" w:rsidRPr="002B3F36" w:rsidRDefault="007472F8" w:rsidP="009B4CDB">
            <w:pPr>
              <w:pStyle w:val="BoldTableTitle"/>
              <w:numPr>
                <w:ilvl w:val="0"/>
                <w:numId w:val="158"/>
              </w:numPr>
              <w:rPr>
                <w:b w:val="0"/>
                <w:sz w:val="20"/>
                <w:szCs w:val="20"/>
              </w:rPr>
            </w:pPr>
            <w:r w:rsidRPr="002B3F36">
              <w:rPr>
                <w:b w:val="0"/>
                <w:sz w:val="20"/>
                <w:szCs w:val="20"/>
              </w:rPr>
              <w:t>Contaminated soil/absorbents: Containerize and transfer to authorized facilities with disposal documentation.</w:t>
            </w:r>
          </w:p>
          <w:p w14:paraId="3CD21FC9" w14:textId="77777777" w:rsidR="007472F8" w:rsidRPr="002B3F36" w:rsidRDefault="007472F8" w:rsidP="009B4CDB">
            <w:pPr>
              <w:pStyle w:val="BoldTableTitle"/>
              <w:numPr>
                <w:ilvl w:val="0"/>
                <w:numId w:val="158"/>
              </w:numPr>
              <w:rPr>
                <w:b w:val="0"/>
                <w:sz w:val="20"/>
                <w:szCs w:val="20"/>
              </w:rPr>
            </w:pPr>
            <w:r w:rsidRPr="002B3F36">
              <w:rPr>
                <w:b w:val="0"/>
                <w:sz w:val="20"/>
                <w:szCs w:val="20"/>
              </w:rPr>
              <w:t>Legacy hazardous materials (asbestos, PCB): If encountered, isolate and manage under a task-specific method statement by certified personnel; notify authorities per RoK requirements.</w:t>
            </w:r>
          </w:p>
          <w:p w14:paraId="641A448C" w14:textId="77777777" w:rsidR="007472F8" w:rsidRPr="002B3F36" w:rsidRDefault="007472F8" w:rsidP="007472F8">
            <w:pPr>
              <w:pStyle w:val="BoldTableTitle"/>
              <w:rPr>
                <w:sz w:val="20"/>
                <w:szCs w:val="20"/>
              </w:rPr>
            </w:pPr>
            <w:r w:rsidRPr="002B3F36">
              <w:rPr>
                <w:sz w:val="20"/>
                <w:szCs w:val="20"/>
              </w:rPr>
              <w:t>F. Wastewater and Wash Water</w:t>
            </w:r>
          </w:p>
          <w:p w14:paraId="5EC4A997" w14:textId="77777777" w:rsidR="007472F8" w:rsidRPr="002B3F36" w:rsidRDefault="007472F8" w:rsidP="009B4CDB">
            <w:pPr>
              <w:pStyle w:val="BoldTableTitle"/>
              <w:numPr>
                <w:ilvl w:val="0"/>
                <w:numId w:val="159"/>
              </w:numPr>
              <w:rPr>
                <w:b w:val="0"/>
                <w:sz w:val="20"/>
                <w:szCs w:val="20"/>
              </w:rPr>
            </w:pPr>
            <w:r w:rsidRPr="002B3F36">
              <w:rPr>
                <w:b w:val="0"/>
                <w:sz w:val="20"/>
                <w:szCs w:val="20"/>
              </w:rPr>
              <w:lastRenderedPageBreak/>
              <w:t>Connect camps to septic tanks or wastewater treatment plants (WWTPs) sized for peak occupancy; desludge via licensed haulers.</w:t>
            </w:r>
          </w:p>
          <w:p w14:paraId="39AAF3ED" w14:textId="77777777" w:rsidR="007472F8" w:rsidRPr="002B3F36" w:rsidRDefault="007472F8" w:rsidP="009B4CDB">
            <w:pPr>
              <w:pStyle w:val="BoldTableTitle"/>
              <w:numPr>
                <w:ilvl w:val="0"/>
                <w:numId w:val="159"/>
              </w:numPr>
              <w:rPr>
                <w:b w:val="0"/>
                <w:sz w:val="20"/>
                <w:szCs w:val="20"/>
              </w:rPr>
            </w:pPr>
            <w:r w:rsidRPr="002B3F36">
              <w:rPr>
                <w:b w:val="0"/>
                <w:sz w:val="20"/>
                <w:szCs w:val="20"/>
              </w:rPr>
              <w:t>Provide portable toilets at remote sites; haul septage to approved facilities—no direct discharge to land or water.</w:t>
            </w:r>
          </w:p>
          <w:p w14:paraId="6E5C9E6A" w14:textId="77777777" w:rsidR="007472F8" w:rsidRPr="002B3F36" w:rsidRDefault="007472F8" w:rsidP="009B4CDB">
            <w:pPr>
              <w:pStyle w:val="BoldTableTitle"/>
              <w:numPr>
                <w:ilvl w:val="0"/>
                <w:numId w:val="159"/>
              </w:numPr>
              <w:rPr>
                <w:b w:val="0"/>
                <w:sz w:val="20"/>
                <w:szCs w:val="20"/>
              </w:rPr>
            </w:pPr>
            <w:r w:rsidRPr="002B3F36">
              <w:rPr>
                <w:b w:val="0"/>
                <w:sz w:val="20"/>
                <w:szCs w:val="20"/>
              </w:rPr>
              <w:t>Construct lined concrete washout pits for cement/concrete residues; treat alkaline wash water; prohibit uncontrolled discharges.</w:t>
            </w:r>
          </w:p>
          <w:p w14:paraId="7236481C" w14:textId="77777777" w:rsidR="007472F8" w:rsidRPr="002B3F36" w:rsidRDefault="007472F8" w:rsidP="009B4CDB">
            <w:pPr>
              <w:pStyle w:val="BoldTableTitle"/>
              <w:numPr>
                <w:ilvl w:val="0"/>
                <w:numId w:val="159"/>
              </w:numPr>
              <w:rPr>
                <w:b w:val="0"/>
                <w:sz w:val="20"/>
                <w:szCs w:val="20"/>
              </w:rPr>
            </w:pPr>
            <w:r w:rsidRPr="002B3F36">
              <w:rPr>
                <w:b w:val="0"/>
                <w:sz w:val="20"/>
                <w:szCs w:val="20"/>
              </w:rPr>
              <w:t>Install oil–water separators at wash bays; inspect and desludge regularly; dispose sludge at licensed facilities.</w:t>
            </w:r>
          </w:p>
          <w:p w14:paraId="277940E7" w14:textId="77777777" w:rsidR="007472F8" w:rsidRPr="002B3F36" w:rsidRDefault="007472F8" w:rsidP="009B4CDB">
            <w:pPr>
              <w:pStyle w:val="BoldTableTitle"/>
              <w:numPr>
                <w:ilvl w:val="0"/>
                <w:numId w:val="159"/>
              </w:numPr>
              <w:rPr>
                <w:b w:val="0"/>
                <w:sz w:val="20"/>
                <w:szCs w:val="20"/>
              </w:rPr>
            </w:pPr>
            <w:r w:rsidRPr="002B3F36">
              <w:rPr>
                <w:b w:val="0"/>
                <w:sz w:val="20"/>
                <w:szCs w:val="20"/>
              </w:rPr>
              <w:t>Settle and treat silt-laden water in sumps/tanks before reuse or controlled discharge (subject to permits).</w:t>
            </w:r>
          </w:p>
          <w:p w14:paraId="71BB9297" w14:textId="77777777" w:rsidR="007472F8" w:rsidRPr="002B3F36" w:rsidRDefault="007472F8" w:rsidP="007472F8">
            <w:pPr>
              <w:pStyle w:val="BoldTableTitle"/>
              <w:rPr>
                <w:sz w:val="20"/>
                <w:szCs w:val="20"/>
              </w:rPr>
            </w:pPr>
            <w:r w:rsidRPr="002B3F36">
              <w:rPr>
                <w:sz w:val="20"/>
                <w:szCs w:val="20"/>
              </w:rPr>
              <w:t>G. Monitoring, Reporting, and Continuous Improvement</w:t>
            </w:r>
          </w:p>
          <w:p w14:paraId="43F39F4B" w14:textId="77777777" w:rsidR="007472F8" w:rsidRPr="002B3F36" w:rsidRDefault="007472F8" w:rsidP="009B4CDB">
            <w:pPr>
              <w:pStyle w:val="BoldTableTitle"/>
              <w:numPr>
                <w:ilvl w:val="0"/>
                <w:numId w:val="160"/>
              </w:numPr>
              <w:rPr>
                <w:b w:val="0"/>
                <w:sz w:val="20"/>
                <w:szCs w:val="20"/>
              </w:rPr>
            </w:pPr>
            <w:r w:rsidRPr="002B3F36">
              <w:rPr>
                <w:b w:val="0"/>
                <w:sz w:val="20"/>
                <w:szCs w:val="20"/>
              </w:rPr>
              <w:t>Weekly inspections of storage areas; monthly waste reports disaggregated by stream (generated, reused, recycled, disposed), with manifests attached.</w:t>
            </w:r>
          </w:p>
          <w:p w14:paraId="7432E492" w14:textId="77777777" w:rsidR="007472F8" w:rsidRPr="002B3F36" w:rsidRDefault="007472F8" w:rsidP="009B4CDB">
            <w:pPr>
              <w:pStyle w:val="BoldTableTitle"/>
              <w:numPr>
                <w:ilvl w:val="0"/>
                <w:numId w:val="160"/>
              </w:numPr>
              <w:rPr>
                <w:b w:val="0"/>
                <w:sz w:val="20"/>
                <w:szCs w:val="20"/>
              </w:rPr>
            </w:pPr>
            <w:r w:rsidRPr="002B3F36">
              <w:rPr>
                <w:b w:val="0"/>
                <w:sz w:val="20"/>
                <w:szCs w:val="20"/>
              </w:rPr>
              <w:t>Track non-conformances and implement CAPAs.</w:t>
            </w:r>
          </w:p>
          <w:p w14:paraId="5F77BD8F" w14:textId="6F69A502" w:rsidR="007472F8" w:rsidRPr="002B3F36" w:rsidRDefault="007472F8" w:rsidP="009B4CDB">
            <w:pPr>
              <w:pStyle w:val="BoldTableTitle"/>
              <w:numPr>
                <w:ilvl w:val="0"/>
                <w:numId w:val="160"/>
              </w:numPr>
              <w:rPr>
                <w:b w:val="0"/>
                <w:sz w:val="20"/>
                <w:szCs w:val="20"/>
              </w:rPr>
            </w:pPr>
            <w:r w:rsidRPr="002B3F36">
              <w:rPr>
                <w:b w:val="0"/>
                <w:sz w:val="20"/>
                <w:szCs w:val="20"/>
              </w:rPr>
              <w:t>Report waste KPIs in monthly E&amp;S reports to the Engineer/</w:t>
            </w:r>
            <w:r w:rsidR="00464922" w:rsidRPr="002B3F36">
              <w:rPr>
                <w:b w:val="0"/>
                <w:sz w:val="20"/>
                <w:szCs w:val="20"/>
              </w:rPr>
              <w:t>KTZ</w:t>
            </w:r>
            <w:r w:rsidRPr="002B3F36">
              <w:rPr>
                <w:b w:val="0"/>
                <w:sz w:val="20"/>
                <w:szCs w:val="20"/>
              </w:rPr>
              <w:t>.</w:t>
            </w:r>
          </w:p>
          <w:p w14:paraId="0FAFEEFE" w14:textId="77777777" w:rsidR="007472F8" w:rsidRPr="002B3F36" w:rsidRDefault="007472F8" w:rsidP="009B4CDB">
            <w:pPr>
              <w:pStyle w:val="BoldTableTitle"/>
              <w:numPr>
                <w:ilvl w:val="0"/>
                <w:numId w:val="160"/>
              </w:numPr>
              <w:rPr>
                <w:b w:val="0"/>
                <w:sz w:val="20"/>
                <w:szCs w:val="20"/>
              </w:rPr>
            </w:pPr>
            <w:r w:rsidRPr="002B3F36">
              <w:rPr>
                <w:b w:val="0"/>
                <w:sz w:val="20"/>
                <w:szCs w:val="20"/>
              </w:rPr>
              <w:t>Accept waste-related complaints through the worker and community GRMs (e.g., odors, litter, vermin); investigate and close out with documented feedback.</w:t>
            </w:r>
          </w:p>
          <w:p w14:paraId="6B704A28" w14:textId="77777777" w:rsidR="007472F8" w:rsidRPr="002B3F36" w:rsidRDefault="007472F8" w:rsidP="007472F8">
            <w:pPr>
              <w:pStyle w:val="BoldTableTitle"/>
              <w:rPr>
                <w:sz w:val="20"/>
                <w:szCs w:val="20"/>
              </w:rPr>
            </w:pPr>
            <w:r w:rsidRPr="002B3F36">
              <w:rPr>
                <w:sz w:val="20"/>
                <w:szCs w:val="20"/>
              </w:rPr>
              <w:t>Prohibited Practices</w:t>
            </w:r>
          </w:p>
          <w:p w14:paraId="4DD9D019" w14:textId="77777777" w:rsidR="007472F8" w:rsidRPr="002B3F36" w:rsidRDefault="007472F8" w:rsidP="009B4CDB">
            <w:pPr>
              <w:pStyle w:val="BoldTableTitle"/>
              <w:numPr>
                <w:ilvl w:val="0"/>
                <w:numId w:val="161"/>
              </w:numPr>
              <w:rPr>
                <w:b w:val="0"/>
                <w:sz w:val="20"/>
                <w:szCs w:val="20"/>
              </w:rPr>
            </w:pPr>
            <w:r w:rsidRPr="002B3F36">
              <w:rPr>
                <w:b w:val="0"/>
                <w:sz w:val="20"/>
                <w:szCs w:val="20"/>
              </w:rPr>
              <w:t>Open burning or dumping of any waste.</w:t>
            </w:r>
          </w:p>
          <w:p w14:paraId="38113AC1" w14:textId="77777777" w:rsidR="007472F8" w:rsidRPr="002B3F36" w:rsidRDefault="007472F8" w:rsidP="009B4CDB">
            <w:pPr>
              <w:pStyle w:val="BoldTableTitle"/>
              <w:numPr>
                <w:ilvl w:val="0"/>
                <w:numId w:val="161"/>
              </w:numPr>
              <w:rPr>
                <w:b w:val="0"/>
                <w:sz w:val="20"/>
                <w:szCs w:val="20"/>
              </w:rPr>
            </w:pPr>
            <w:r w:rsidRPr="002B3F36">
              <w:rPr>
                <w:b w:val="0"/>
                <w:sz w:val="20"/>
                <w:szCs w:val="20"/>
              </w:rPr>
              <w:t>Disposal of oils, chemicals, or liquid waste directly onto soil or into drains/watercourses.</w:t>
            </w:r>
          </w:p>
          <w:p w14:paraId="0807D8A1" w14:textId="77777777" w:rsidR="007472F8" w:rsidRPr="002B3F36" w:rsidRDefault="007472F8" w:rsidP="009B4CDB">
            <w:pPr>
              <w:pStyle w:val="BoldTableTitle"/>
              <w:numPr>
                <w:ilvl w:val="0"/>
                <w:numId w:val="161"/>
              </w:numPr>
              <w:rPr>
                <w:b w:val="0"/>
                <w:sz w:val="20"/>
                <w:szCs w:val="20"/>
              </w:rPr>
            </w:pPr>
            <w:r w:rsidRPr="002B3F36">
              <w:rPr>
                <w:b w:val="0"/>
                <w:sz w:val="20"/>
                <w:szCs w:val="20"/>
              </w:rPr>
              <w:t>Sale or distribution of hazardous residues (e.g., solvents, oils, batteries, contaminated containers) to workers or communities.</w:t>
            </w:r>
          </w:p>
          <w:p w14:paraId="300E5C26" w14:textId="77777777" w:rsidR="007472F8" w:rsidRPr="002B3F36" w:rsidRDefault="007472F8" w:rsidP="009B4CDB">
            <w:pPr>
              <w:pStyle w:val="BoldTableTitle"/>
              <w:numPr>
                <w:ilvl w:val="0"/>
                <w:numId w:val="161"/>
              </w:numPr>
              <w:rPr>
                <w:b w:val="0"/>
                <w:sz w:val="20"/>
                <w:szCs w:val="20"/>
              </w:rPr>
            </w:pPr>
            <w:r w:rsidRPr="002B3F36">
              <w:rPr>
                <w:b w:val="0"/>
                <w:sz w:val="20"/>
                <w:szCs w:val="20"/>
              </w:rPr>
              <w:t>Allowing scavenging within storage or construction sites.</w:t>
            </w:r>
          </w:p>
          <w:p w14:paraId="1841CA85" w14:textId="00D59A94" w:rsidR="00F61F8E" w:rsidRPr="002B3F36" w:rsidRDefault="00F61F8E" w:rsidP="007472F8">
            <w:pPr>
              <w:pStyle w:val="BulletTable"/>
              <w:numPr>
                <w:ilvl w:val="0"/>
                <w:numId w:val="0"/>
              </w:numPr>
              <w:tabs>
                <w:tab w:val="clear" w:pos="540"/>
                <w:tab w:val="clear" w:pos="542"/>
              </w:tabs>
              <w:ind w:left="317"/>
              <w:rPr>
                <w:color w:val="auto"/>
                <w:sz w:val="20"/>
                <w:szCs w:val="20"/>
              </w:rPr>
            </w:pPr>
          </w:p>
        </w:tc>
        <w:tc>
          <w:tcPr>
            <w:tcW w:w="1751" w:type="dxa"/>
          </w:tcPr>
          <w:p w14:paraId="2F03054B"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21EED1D5"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16695F7C" w14:textId="77777777" w:rsidTr="0089733D">
        <w:tc>
          <w:tcPr>
            <w:tcW w:w="1180" w:type="dxa"/>
          </w:tcPr>
          <w:p w14:paraId="027A2AA0"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180" w:type="dxa"/>
          </w:tcPr>
          <w:p w14:paraId="23C1E7CF"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9047" w:type="dxa"/>
            <w:gridSpan w:val="2"/>
          </w:tcPr>
          <w:p w14:paraId="60E6C611" w14:textId="0F5A0BA7" w:rsidR="00F61F8E" w:rsidRPr="002B3F36" w:rsidRDefault="000F264B">
            <w:pPr>
              <w:shd w:val="clear" w:color="auto" w:fill="FFFFFF"/>
              <w:suppressAutoHyphens/>
              <w:ind w:right="34"/>
              <w:jc w:val="both"/>
              <w:rPr>
                <w:rFonts w:ascii="Arial" w:hAnsi="Arial" w:cs="Arial"/>
                <w:b/>
                <w:bCs/>
                <w:sz w:val="20"/>
                <w:szCs w:val="20"/>
              </w:rPr>
            </w:pPr>
            <w:r w:rsidRPr="002B3F36">
              <w:rPr>
                <w:rFonts w:ascii="Arial" w:hAnsi="Arial" w:cs="Arial"/>
                <w:b/>
                <w:bCs/>
                <w:sz w:val="20"/>
                <w:szCs w:val="20"/>
              </w:rPr>
              <w:t>During Construction Phase (</w:t>
            </w:r>
            <w:r w:rsidR="000C7CC2" w:rsidRPr="002B3F36">
              <w:rPr>
                <w:rFonts w:ascii="Arial" w:hAnsi="Arial" w:cs="Arial"/>
                <w:b/>
                <w:bCs/>
                <w:sz w:val="20"/>
                <w:szCs w:val="20"/>
              </w:rPr>
              <w:t>PS</w:t>
            </w:r>
            <w:r w:rsidRPr="002B3F36">
              <w:rPr>
                <w:rFonts w:ascii="Arial" w:hAnsi="Arial" w:cs="Arial"/>
                <w:b/>
                <w:bCs/>
                <w:sz w:val="20"/>
                <w:szCs w:val="20"/>
              </w:rPr>
              <w:t xml:space="preserve"> 4)</w:t>
            </w:r>
          </w:p>
        </w:tc>
        <w:tc>
          <w:tcPr>
            <w:tcW w:w="1751" w:type="dxa"/>
          </w:tcPr>
          <w:p w14:paraId="1049712A"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332" w:type="dxa"/>
          </w:tcPr>
          <w:p w14:paraId="6C871CD1"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r>
      <w:tr w:rsidR="00F61F8E" w:rsidRPr="002B3F36" w14:paraId="56A1C520" w14:textId="77777777" w:rsidTr="0089733D">
        <w:tc>
          <w:tcPr>
            <w:tcW w:w="1180" w:type="dxa"/>
          </w:tcPr>
          <w:p w14:paraId="6380DEB4" w14:textId="77777777" w:rsidR="00F61F8E" w:rsidRPr="002B3F36" w:rsidRDefault="000F264B">
            <w:pPr>
              <w:shd w:val="clear" w:color="auto" w:fill="FFFFFF"/>
              <w:suppressAutoHyphens/>
              <w:jc w:val="center"/>
              <w:rPr>
                <w:rFonts w:ascii="Arial" w:hAnsi="Arial" w:cs="Arial"/>
                <w:sz w:val="20"/>
                <w:szCs w:val="20"/>
              </w:rPr>
            </w:pPr>
            <w:r w:rsidRPr="002B3F36">
              <w:rPr>
                <w:rFonts w:ascii="Arial" w:eastAsia="Calibri" w:hAnsi="Arial" w:cs="Arial"/>
                <w:sz w:val="20"/>
                <w:szCs w:val="20"/>
              </w:rPr>
              <w:t>Community Health and Safety</w:t>
            </w:r>
          </w:p>
        </w:tc>
        <w:tc>
          <w:tcPr>
            <w:tcW w:w="1180" w:type="dxa"/>
          </w:tcPr>
          <w:p w14:paraId="61EC843E" w14:textId="77777777" w:rsidR="00F61F8E" w:rsidRPr="002B3F36" w:rsidRDefault="000F264B">
            <w:pPr>
              <w:shd w:val="clear" w:color="auto" w:fill="FFFFFF"/>
              <w:suppressAutoHyphens/>
              <w:jc w:val="center"/>
              <w:rPr>
                <w:rFonts w:ascii="Arial" w:hAnsi="Arial" w:cs="Arial"/>
                <w:sz w:val="20"/>
                <w:szCs w:val="20"/>
              </w:rPr>
            </w:pPr>
            <w:r w:rsidRPr="002B3F36">
              <w:rPr>
                <w:rFonts w:ascii="Arial" w:eastAsia="Calibri" w:hAnsi="Arial" w:cs="Arial"/>
                <w:sz w:val="20"/>
                <w:szCs w:val="20"/>
              </w:rPr>
              <w:t>Community Health and Safety</w:t>
            </w:r>
            <w:r w:rsidRPr="002B3F36">
              <w:rPr>
                <w:rFonts w:ascii="Arial" w:hAnsi="Arial" w:cs="Arial"/>
                <w:sz w:val="20"/>
                <w:szCs w:val="20"/>
              </w:rPr>
              <w:t xml:space="preserve"> during constructi</w:t>
            </w:r>
            <w:r w:rsidRPr="002B3F36">
              <w:rPr>
                <w:rFonts w:ascii="Arial" w:hAnsi="Arial" w:cs="Arial"/>
                <w:sz w:val="20"/>
                <w:szCs w:val="20"/>
              </w:rPr>
              <w:lastRenderedPageBreak/>
              <w:t>on</w:t>
            </w:r>
          </w:p>
        </w:tc>
        <w:tc>
          <w:tcPr>
            <w:tcW w:w="3225" w:type="dxa"/>
          </w:tcPr>
          <w:p w14:paraId="3FC53B7F" w14:textId="5696E655" w:rsidR="007472F8" w:rsidRPr="002B3F36" w:rsidRDefault="000F264B" w:rsidP="007472F8">
            <w:pPr>
              <w:rPr>
                <w:rFonts w:ascii="Arial" w:eastAsia="Calibri" w:hAnsi="Arial" w:cs="Arial"/>
                <w:sz w:val="20"/>
                <w:szCs w:val="20"/>
              </w:rPr>
            </w:pPr>
            <w:r w:rsidRPr="002B3F36">
              <w:rPr>
                <w:rFonts w:ascii="Arial" w:eastAsia="Calibri" w:hAnsi="Arial" w:cs="Arial"/>
                <w:sz w:val="20"/>
                <w:szCs w:val="20"/>
              </w:rPr>
              <w:lastRenderedPageBreak/>
              <w:t xml:space="preserve">Community exposure to health and safety risks from increased vehicular/ truck/ heavy equipment movements in the area, general </w:t>
            </w:r>
            <w:r w:rsidR="004758AA" w:rsidRPr="002B3F36">
              <w:rPr>
                <w:rFonts w:ascii="Arial" w:eastAsia="Calibri" w:hAnsi="Arial" w:cs="Arial"/>
                <w:sz w:val="20"/>
                <w:szCs w:val="20"/>
              </w:rPr>
              <w:t>rail</w:t>
            </w:r>
            <w:r w:rsidRPr="002B3F36">
              <w:rPr>
                <w:rFonts w:ascii="Arial" w:eastAsia="Calibri" w:hAnsi="Arial" w:cs="Arial"/>
                <w:sz w:val="20"/>
                <w:szCs w:val="20"/>
              </w:rPr>
              <w:t xml:space="preserve">road construction works, open </w:t>
            </w:r>
            <w:r w:rsidRPr="002B3F36">
              <w:rPr>
                <w:rFonts w:ascii="Arial" w:eastAsia="Calibri" w:hAnsi="Arial" w:cs="Arial"/>
                <w:sz w:val="20"/>
                <w:szCs w:val="20"/>
              </w:rPr>
              <w:lastRenderedPageBreak/>
              <w:t xml:space="preserve">excavation, erection of bridges, operation of auxiliary facilities, and usage of temporary access roads/detours. </w:t>
            </w:r>
            <w:r w:rsidR="007472F8" w:rsidRPr="002B3F36">
              <w:rPr>
                <w:rFonts w:ascii="Arial" w:eastAsia="Calibri" w:hAnsi="Arial" w:cs="Arial"/>
                <w:sz w:val="20"/>
                <w:szCs w:val="20"/>
              </w:rPr>
              <w:t>Specifically:</w:t>
            </w:r>
            <w:r w:rsidR="007472F8" w:rsidRPr="002B3F36">
              <w:rPr>
                <w:rFonts w:ascii="Arial" w:eastAsia="Calibri" w:hAnsi="Arial" w:cs="Arial"/>
                <w:sz w:val="20"/>
                <w:szCs w:val="20"/>
              </w:rPr>
              <w:br/>
              <w:t xml:space="preserve">•Increased traffic and heavy equipment movements </w:t>
            </w:r>
          </w:p>
          <w:p w14:paraId="0C884477" w14:textId="01E509A1" w:rsidR="007472F8" w:rsidRPr="002B3F36" w:rsidRDefault="007472F8" w:rsidP="007472F8">
            <w:pPr>
              <w:rPr>
                <w:rFonts w:ascii="Arial" w:eastAsia="Calibri" w:hAnsi="Arial" w:cs="Arial"/>
                <w:sz w:val="20"/>
                <w:szCs w:val="20"/>
              </w:rPr>
            </w:pPr>
            <w:r w:rsidRPr="002B3F36">
              <w:rPr>
                <w:rFonts w:ascii="Arial" w:eastAsia="Calibri" w:hAnsi="Arial" w:cs="Arial"/>
                <w:sz w:val="20"/>
                <w:szCs w:val="20"/>
              </w:rPr>
              <w:t>•Railroad construction activities</w:t>
            </w:r>
          </w:p>
          <w:p w14:paraId="62B74E16" w14:textId="4251B503" w:rsidR="007472F8" w:rsidRPr="002B3F36" w:rsidRDefault="007472F8" w:rsidP="007472F8">
            <w:pPr>
              <w:rPr>
                <w:rFonts w:ascii="Arial" w:eastAsia="Calibri" w:hAnsi="Arial" w:cs="Arial"/>
                <w:sz w:val="20"/>
                <w:szCs w:val="20"/>
              </w:rPr>
            </w:pPr>
            <w:r w:rsidRPr="002B3F36">
              <w:rPr>
                <w:rFonts w:ascii="Arial" w:eastAsia="Calibri" w:hAnsi="Arial" w:cs="Arial"/>
                <w:sz w:val="20"/>
                <w:szCs w:val="20"/>
              </w:rPr>
              <w:t>•Auxiliary facility operations</w:t>
            </w:r>
          </w:p>
          <w:p w14:paraId="499A2B18" w14:textId="3BEA3B8F" w:rsidR="00F61F8E" w:rsidRPr="002B3F36" w:rsidRDefault="007472F8" w:rsidP="007472F8">
            <w:pPr>
              <w:rPr>
                <w:rFonts w:ascii="Arial" w:eastAsia="Calibri" w:hAnsi="Arial" w:cs="Arial"/>
                <w:sz w:val="20"/>
                <w:szCs w:val="20"/>
              </w:rPr>
            </w:pPr>
            <w:r w:rsidRPr="002B3F36">
              <w:rPr>
                <w:rFonts w:ascii="Arial" w:eastAsia="Calibri" w:hAnsi="Arial" w:cs="Arial"/>
                <w:sz w:val="20"/>
                <w:szCs w:val="20"/>
              </w:rPr>
              <w:t>•Exposed hazards</w:t>
            </w:r>
          </w:p>
          <w:p w14:paraId="3A741920" w14:textId="77777777" w:rsidR="00F61F8E" w:rsidRPr="002B3F36" w:rsidRDefault="00F61F8E">
            <w:pPr>
              <w:shd w:val="clear" w:color="auto" w:fill="FFFFFF"/>
              <w:suppressAutoHyphens/>
              <w:ind w:right="34"/>
              <w:jc w:val="both"/>
              <w:rPr>
                <w:rFonts w:ascii="Arial" w:eastAsia="Calibri" w:hAnsi="Arial" w:cs="Arial"/>
                <w:sz w:val="20"/>
                <w:szCs w:val="20"/>
              </w:rPr>
            </w:pPr>
          </w:p>
        </w:tc>
        <w:tc>
          <w:tcPr>
            <w:tcW w:w="5822" w:type="dxa"/>
          </w:tcPr>
          <w:p w14:paraId="50CCEEE5" w14:textId="77777777" w:rsidR="007472F8" w:rsidRPr="002B3F36" w:rsidRDefault="007472F8" w:rsidP="007472F8">
            <w:pPr>
              <w:pStyle w:val="BulletTable"/>
              <w:numPr>
                <w:ilvl w:val="0"/>
                <w:numId w:val="0"/>
              </w:numPr>
              <w:ind w:left="317" w:hanging="317"/>
              <w:rPr>
                <w:sz w:val="20"/>
                <w:szCs w:val="20"/>
              </w:rPr>
            </w:pPr>
            <w:r w:rsidRPr="002B3F36">
              <w:rPr>
                <w:b/>
                <w:sz w:val="20"/>
                <w:szCs w:val="20"/>
              </w:rPr>
              <w:lastRenderedPageBreak/>
              <w:t>Traffic and Access Management</w:t>
            </w:r>
          </w:p>
          <w:p w14:paraId="60F5B197" w14:textId="77777777" w:rsidR="007472F8" w:rsidRPr="002B3F36" w:rsidRDefault="007472F8" w:rsidP="007472F8">
            <w:pPr>
              <w:pStyle w:val="BulletTable"/>
              <w:rPr>
                <w:sz w:val="20"/>
                <w:szCs w:val="20"/>
              </w:rPr>
            </w:pPr>
            <w:r w:rsidRPr="002B3F36">
              <w:rPr>
                <w:sz w:val="20"/>
                <w:szCs w:val="20"/>
              </w:rPr>
              <w:t xml:space="preserve">Develop and implement a </w:t>
            </w:r>
            <w:r w:rsidRPr="002B3F36">
              <w:rPr>
                <w:b/>
                <w:sz w:val="20"/>
                <w:szCs w:val="20"/>
              </w:rPr>
              <w:t>site-specific Traffic Management Plan (TMP)</w:t>
            </w:r>
            <w:r w:rsidRPr="002B3F36">
              <w:rPr>
                <w:sz w:val="20"/>
                <w:szCs w:val="20"/>
              </w:rPr>
              <w:t xml:space="preserve"> prior to commencing civil works.</w:t>
            </w:r>
          </w:p>
          <w:p w14:paraId="4CAAC4FF" w14:textId="77777777" w:rsidR="007472F8" w:rsidRPr="002B3F36" w:rsidRDefault="007472F8" w:rsidP="007472F8">
            <w:pPr>
              <w:pStyle w:val="BulletTable"/>
              <w:rPr>
                <w:sz w:val="20"/>
                <w:szCs w:val="20"/>
              </w:rPr>
            </w:pPr>
            <w:r w:rsidRPr="002B3F36">
              <w:rPr>
                <w:sz w:val="20"/>
                <w:szCs w:val="20"/>
              </w:rPr>
              <w:lastRenderedPageBreak/>
              <w:t xml:space="preserve">Establish an </w:t>
            </w:r>
            <w:r w:rsidRPr="002B3F36">
              <w:rPr>
                <w:b/>
                <w:sz w:val="20"/>
                <w:szCs w:val="20"/>
              </w:rPr>
              <w:t>Access and Circulation Management Strategy</w:t>
            </w:r>
            <w:r w:rsidRPr="002B3F36">
              <w:rPr>
                <w:sz w:val="20"/>
                <w:szCs w:val="20"/>
              </w:rPr>
              <w:t xml:space="preserve"> for adjacent communities as part of the Community Health and Safety Plan.</w:t>
            </w:r>
          </w:p>
          <w:p w14:paraId="4E544DFE" w14:textId="77777777" w:rsidR="007472F8" w:rsidRPr="002B3F36" w:rsidRDefault="007472F8" w:rsidP="007472F8">
            <w:pPr>
              <w:pStyle w:val="BulletTable"/>
              <w:rPr>
                <w:sz w:val="20"/>
                <w:szCs w:val="20"/>
              </w:rPr>
            </w:pPr>
            <w:r w:rsidRPr="002B3F36">
              <w:rPr>
                <w:sz w:val="20"/>
                <w:szCs w:val="20"/>
              </w:rPr>
              <w:t>Enforce safe driving practices, vehicle inspections, and defined haul routes with speed limits and restrictions on horn use.</w:t>
            </w:r>
          </w:p>
          <w:p w14:paraId="1340DD92" w14:textId="77777777" w:rsidR="007472F8" w:rsidRPr="002B3F36" w:rsidRDefault="007472F8" w:rsidP="007472F8">
            <w:pPr>
              <w:pStyle w:val="BulletTable"/>
              <w:rPr>
                <w:sz w:val="20"/>
                <w:szCs w:val="20"/>
              </w:rPr>
            </w:pPr>
            <w:r w:rsidRPr="002B3F36">
              <w:rPr>
                <w:sz w:val="20"/>
                <w:szCs w:val="20"/>
              </w:rPr>
              <w:t xml:space="preserve">Require that suppliers’ vehicles are also maintained in safe operating condition, with </w:t>
            </w:r>
            <w:r w:rsidRPr="002B3F36">
              <w:rPr>
                <w:b/>
                <w:sz w:val="20"/>
                <w:szCs w:val="20"/>
              </w:rPr>
              <w:t>loads secured and covered</w:t>
            </w:r>
            <w:r w:rsidRPr="002B3F36">
              <w:rPr>
                <w:sz w:val="20"/>
                <w:szCs w:val="20"/>
              </w:rPr>
              <w:t xml:space="preserve"> (especially fugitive materials like sand, soil, or aggregates).</w:t>
            </w:r>
          </w:p>
          <w:p w14:paraId="3A80EAC7" w14:textId="77777777" w:rsidR="007472F8" w:rsidRPr="002B3F36" w:rsidRDefault="007472F8" w:rsidP="007472F8">
            <w:pPr>
              <w:pStyle w:val="BulletTable"/>
              <w:numPr>
                <w:ilvl w:val="0"/>
                <w:numId w:val="0"/>
              </w:numPr>
              <w:ind w:left="-43"/>
              <w:rPr>
                <w:sz w:val="20"/>
                <w:szCs w:val="20"/>
              </w:rPr>
            </w:pPr>
            <w:r w:rsidRPr="002B3F36">
              <w:rPr>
                <w:b/>
                <w:sz w:val="20"/>
                <w:szCs w:val="20"/>
              </w:rPr>
              <w:t>Worksite Safety</w:t>
            </w:r>
          </w:p>
          <w:p w14:paraId="7EBBABBB" w14:textId="77777777" w:rsidR="007472F8" w:rsidRPr="002B3F36" w:rsidRDefault="007472F8" w:rsidP="007472F8">
            <w:pPr>
              <w:pStyle w:val="BulletTable"/>
              <w:rPr>
                <w:sz w:val="20"/>
                <w:szCs w:val="20"/>
              </w:rPr>
            </w:pPr>
            <w:r w:rsidRPr="002B3F36">
              <w:rPr>
                <w:sz w:val="20"/>
                <w:szCs w:val="20"/>
              </w:rPr>
              <w:t xml:space="preserve">Secure all </w:t>
            </w:r>
            <w:r w:rsidRPr="002B3F36">
              <w:rPr>
                <w:b/>
                <w:sz w:val="20"/>
                <w:szCs w:val="20"/>
              </w:rPr>
              <w:t>excavations, embankments, and bridge sites</w:t>
            </w:r>
            <w:r w:rsidRPr="002B3F36">
              <w:rPr>
                <w:sz w:val="20"/>
                <w:szCs w:val="20"/>
              </w:rPr>
              <w:t xml:space="preserve"> with fencing, barriers, and warning signage.</w:t>
            </w:r>
          </w:p>
          <w:p w14:paraId="00B8242B" w14:textId="77777777" w:rsidR="007472F8" w:rsidRPr="002B3F36" w:rsidRDefault="007472F8" w:rsidP="007472F8">
            <w:pPr>
              <w:pStyle w:val="BulletTable"/>
              <w:rPr>
                <w:sz w:val="20"/>
                <w:szCs w:val="20"/>
              </w:rPr>
            </w:pPr>
            <w:r w:rsidRPr="002B3F36">
              <w:rPr>
                <w:sz w:val="20"/>
                <w:szCs w:val="20"/>
              </w:rPr>
              <w:t xml:space="preserve">Install </w:t>
            </w:r>
            <w:r w:rsidRPr="002B3F36">
              <w:rPr>
                <w:b/>
                <w:sz w:val="20"/>
                <w:szCs w:val="20"/>
              </w:rPr>
              <w:t>cordons and safety fencing</w:t>
            </w:r>
            <w:r w:rsidRPr="002B3F36">
              <w:rPr>
                <w:sz w:val="20"/>
                <w:szCs w:val="20"/>
              </w:rPr>
              <w:t xml:space="preserve"> around auxiliary facilities and high-risk zones (plants, quarries, camps).</w:t>
            </w:r>
          </w:p>
          <w:p w14:paraId="33502338" w14:textId="77777777" w:rsidR="007472F8" w:rsidRPr="002B3F36" w:rsidRDefault="007472F8" w:rsidP="007472F8">
            <w:pPr>
              <w:pStyle w:val="BulletTable"/>
              <w:rPr>
                <w:sz w:val="20"/>
                <w:szCs w:val="20"/>
              </w:rPr>
            </w:pPr>
            <w:r w:rsidRPr="002B3F36">
              <w:rPr>
                <w:sz w:val="20"/>
                <w:szCs w:val="20"/>
              </w:rPr>
              <w:t xml:space="preserve">Clearly mark and signpost hazardous areas, including </w:t>
            </w:r>
            <w:r w:rsidRPr="002B3F36">
              <w:rPr>
                <w:b/>
                <w:sz w:val="20"/>
                <w:szCs w:val="20"/>
              </w:rPr>
              <w:t>temporary detours, work zones, and storage sites</w:t>
            </w:r>
            <w:r w:rsidRPr="002B3F36">
              <w:rPr>
                <w:sz w:val="20"/>
                <w:szCs w:val="20"/>
              </w:rPr>
              <w:t>.</w:t>
            </w:r>
          </w:p>
          <w:p w14:paraId="2463EB85" w14:textId="77777777" w:rsidR="007472F8" w:rsidRPr="002B3F36" w:rsidRDefault="007472F8" w:rsidP="007472F8">
            <w:pPr>
              <w:pStyle w:val="BulletTable"/>
              <w:rPr>
                <w:sz w:val="20"/>
                <w:szCs w:val="20"/>
              </w:rPr>
            </w:pPr>
            <w:r w:rsidRPr="002B3F36">
              <w:rPr>
                <w:sz w:val="20"/>
                <w:szCs w:val="20"/>
              </w:rPr>
              <w:t xml:space="preserve">Ensure that any introduced structures or machinery are adequately </w:t>
            </w:r>
            <w:r w:rsidRPr="002B3F36">
              <w:rPr>
                <w:b/>
                <w:sz w:val="20"/>
                <w:szCs w:val="20"/>
              </w:rPr>
              <w:t>sheltered, fenced, or signposted</w:t>
            </w:r>
            <w:r w:rsidRPr="002B3F36">
              <w:rPr>
                <w:sz w:val="20"/>
                <w:szCs w:val="20"/>
              </w:rPr>
              <w:t xml:space="preserve"> to prevent unauthorized access.</w:t>
            </w:r>
          </w:p>
          <w:p w14:paraId="284F19EF" w14:textId="77777777" w:rsidR="007472F8" w:rsidRPr="002B3F36" w:rsidRDefault="007472F8" w:rsidP="007472F8">
            <w:pPr>
              <w:pStyle w:val="BulletTable"/>
              <w:numPr>
                <w:ilvl w:val="0"/>
                <w:numId w:val="0"/>
              </w:numPr>
              <w:ind w:left="-43"/>
              <w:rPr>
                <w:sz w:val="20"/>
                <w:szCs w:val="20"/>
              </w:rPr>
            </w:pPr>
            <w:r w:rsidRPr="002B3F36">
              <w:rPr>
                <w:b/>
                <w:sz w:val="20"/>
                <w:szCs w:val="20"/>
              </w:rPr>
              <w:t>Community Protection and Engagement</w:t>
            </w:r>
          </w:p>
          <w:p w14:paraId="7DA2A207" w14:textId="77777777" w:rsidR="007472F8" w:rsidRPr="002B3F36" w:rsidRDefault="007472F8" w:rsidP="007472F8">
            <w:pPr>
              <w:pStyle w:val="BulletTable"/>
              <w:rPr>
                <w:sz w:val="20"/>
                <w:szCs w:val="20"/>
              </w:rPr>
            </w:pPr>
            <w:r w:rsidRPr="002B3F36">
              <w:rPr>
                <w:sz w:val="20"/>
                <w:szCs w:val="20"/>
              </w:rPr>
              <w:t>Provide early notification to communities about high-risk activities, detours, or night works.</w:t>
            </w:r>
          </w:p>
          <w:p w14:paraId="632ED194" w14:textId="77777777" w:rsidR="007472F8" w:rsidRPr="002B3F36" w:rsidRDefault="007472F8" w:rsidP="007472F8">
            <w:pPr>
              <w:pStyle w:val="BulletTable"/>
              <w:rPr>
                <w:sz w:val="20"/>
                <w:szCs w:val="20"/>
              </w:rPr>
            </w:pPr>
            <w:r w:rsidRPr="002B3F36">
              <w:rPr>
                <w:sz w:val="20"/>
                <w:szCs w:val="20"/>
              </w:rPr>
              <w:t>Engage with community leaders, local authorities, and vulnerable groups to explain hazards, safe behavior, and complaint channels.</w:t>
            </w:r>
          </w:p>
          <w:p w14:paraId="162AF3B5" w14:textId="77777777" w:rsidR="007472F8" w:rsidRPr="002B3F36" w:rsidRDefault="007472F8" w:rsidP="007472F8">
            <w:pPr>
              <w:pStyle w:val="BulletTable"/>
              <w:rPr>
                <w:sz w:val="20"/>
                <w:szCs w:val="20"/>
              </w:rPr>
            </w:pPr>
            <w:r w:rsidRPr="002B3F36">
              <w:rPr>
                <w:sz w:val="20"/>
                <w:szCs w:val="20"/>
              </w:rPr>
              <w:t xml:space="preserve">Integrate safety awareness into the </w:t>
            </w:r>
            <w:r w:rsidRPr="002B3F36">
              <w:rPr>
                <w:b/>
                <w:sz w:val="20"/>
                <w:szCs w:val="20"/>
              </w:rPr>
              <w:t>Stakeholder Engagement Plan (SEP)</w:t>
            </w:r>
            <w:r w:rsidRPr="002B3F36">
              <w:rPr>
                <w:sz w:val="20"/>
                <w:szCs w:val="20"/>
              </w:rPr>
              <w:t>, including culturally appropriate outreach.</w:t>
            </w:r>
          </w:p>
          <w:p w14:paraId="08D43189" w14:textId="77777777" w:rsidR="007472F8" w:rsidRPr="002B3F36" w:rsidRDefault="007472F8" w:rsidP="007472F8">
            <w:pPr>
              <w:pStyle w:val="BulletTable"/>
              <w:numPr>
                <w:ilvl w:val="0"/>
                <w:numId w:val="0"/>
              </w:numPr>
              <w:ind w:left="-43"/>
              <w:rPr>
                <w:sz w:val="20"/>
                <w:szCs w:val="20"/>
              </w:rPr>
            </w:pPr>
            <w:r w:rsidRPr="002B3F36">
              <w:rPr>
                <w:b/>
                <w:sz w:val="20"/>
                <w:szCs w:val="20"/>
              </w:rPr>
              <w:t>Monitoring and Enforcement</w:t>
            </w:r>
          </w:p>
          <w:p w14:paraId="4F7D12E2" w14:textId="42EC3CA8" w:rsidR="007472F8" w:rsidRPr="002B3F36" w:rsidRDefault="007472F8" w:rsidP="007472F8">
            <w:pPr>
              <w:pStyle w:val="BulletTable"/>
              <w:rPr>
                <w:sz w:val="20"/>
                <w:szCs w:val="20"/>
              </w:rPr>
            </w:pPr>
            <w:r w:rsidRPr="002B3F36">
              <w:rPr>
                <w:sz w:val="20"/>
                <w:szCs w:val="20"/>
              </w:rPr>
              <w:t xml:space="preserve">Regular inspections of safety barriers, signage, and traffic management arrangements by the Engineer and </w:t>
            </w:r>
            <w:r w:rsidR="00464922" w:rsidRPr="002B3F36">
              <w:rPr>
                <w:sz w:val="20"/>
                <w:szCs w:val="20"/>
              </w:rPr>
              <w:t>KTZ</w:t>
            </w:r>
            <w:r w:rsidRPr="002B3F36">
              <w:rPr>
                <w:sz w:val="20"/>
                <w:szCs w:val="20"/>
              </w:rPr>
              <w:t>.</w:t>
            </w:r>
          </w:p>
          <w:p w14:paraId="0C4A5833" w14:textId="77777777" w:rsidR="007472F8" w:rsidRPr="002B3F36" w:rsidRDefault="007472F8" w:rsidP="007472F8">
            <w:pPr>
              <w:pStyle w:val="BulletTable"/>
              <w:rPr>
                <w:sz w:val="20"/>
                <w:szCs w:val="20"/>
              </w:rPr>
            </w:pPr>
            <w:r w:rsidRPr="002B3F36">
              <w:rPr>
                <w:sz w:val="20"/>
                <w:szCs w:val="20"/>
              </w:rPr>
              <w:t>Use of KPIs such as accident rates, number of community complaints, and response times.</w:t>
            </w:r>
          </w:p>
          <w:p w14:paraId="1B2645D1" w14:textId="77777777" w:rsidR="007472F8" w:rsidRPr="002B3F36" w:rsidRDefault="007472F8" w:rsidP="007472F8">
            <w:pPr>
              <w:pStyle w:val="BulletTable"/>
              <w:rPr>
                <w:sz w:val="20"/>
                <w:szCs w:val="20"/>
              </w:rPr>
            </w:pPr>
            <w:r w:rsidRPr="002B3F36">
              <w:rPr>
                <w:sz w:val="20"/>
                <w:szCs w:val="20"/>
              </w:rPr>
              <w:t>Contractor performance linked to enforcement clauses, with penalties for repeated non-compliance.</w:t>
            </w:r>
          </w:p>
          <w:p w14:paraId="0C547B85" w14:textId="77777777" w:rsidR="00F61F8E" w:rsidRPr="002B3F36" w:rsidRDefault="00F61F8E">
            <w:pPr>
              <w:pStyle w:val="BulletTable"/>
              <w:numPr>
                <w:ilvl w:val="0"/>
                <w:numId w:val="0"/>
              </w:numPr>
              <w:ind w:left="356"/>
              <w:rPr>
                <w:color w:val="auto"/>
                <w:sz w:val="20"/>
                <w:szCs w:val="20"/>
              </w:rPr>
            </w:pPr>
          </w:p>
        </w:tc>
        <w:tc>
          <w:tcPr>
            <w:tcW w:w="1751" w:type="dxa"/>
          </w:tcPr>
          <w:p w14:paraId="2013591D"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w:t>
            </w:r>
            <w:r w:rsidRPr="002B3F36">
              <w:rPr>
                <w:rFonts w:ascii="Arial" w:eastAsia="Arial" w:hAnsi="Arial" w:cs="Arial"/>
                <w:sz w:val="20"/>
                <w:szCs w:val="20"/>
                <w:lang w:val="en-AU"/>
              </w:rPr>
              <w:lastRenderedPageBreak/>
              <w:t xml:space="preserve">implement </w:t>
            </w:r>
          </w:p>
        </w:tc>
        <w:tc>
          <w:tcPr>
            <w:tcW w:w="1332" w:type="dxa"/>
          </w:tcPr>
          <w:p w14:paraId="214E5F11"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lastRenderedPageBreak/>
              <w:t>During construction Stage (</w:t>
            </w:r>
            <w:r w:rsidRPr="002B3F36">
              <w:rPr>
                <w:rFonts w:ascii="Arial" w:eastAsia="Calibri" w:hAnsi="Arial" w:cs="Arial"/>
                <w:sz w:val="20"/>
                <w:szCs w:val="20"/>
              </w:rPr>
              <w:t xml:space="preserve">Budget part of </w:t>
            </w:r>
            <w:r w:rsidRPr="002B3F36">
              <w:rPr>
                <w:rFonts w:ascii="Arial" w:eastAsia="Calibri" w:hAnsi="Arial" w:cs="Arial"/>
                <w:sz w:val="20"/>
                <w:szCs w:val="20"/>
              </w:rPr>
              <w:lastRenderedPageBreak/>
              <w:t>supervision contract; part of operational cost of Contractor)</w:t>
            </w:r>
          </w:p>
        </w:tc>
      </w:tr>
      <w:tr w:rsidR="00F61F8E" w:rsidRPr="002B3F36" w14:paraId="107CE98C" w14:textId="77777777" w:rsidTr="0089733D">
        <w:tc>
          <w:tcPr>
            <w:tcW w:w="1180" w:type="dxa"/>
          </w:tcPr>
          <w:p w14:paraId="17142E13" w14:textId="77777777" w:rsidR="00F61F8E" w:rsidRPr="002B3F36" w:rsidRDefault="00F61F8E">
            <w:pPr>
              <w:shd w:val="clear" w:color="auto" w:fill="FFFFFF"/>
              <w:suppressAutoHyphens/>
              <w:jc w:val="center"/>
              <w:rPr>
                <w:rFonts w:ascii="Arial" w:eastAsia="Calibri" w:hAnsi="Arial" w:cs="Arial"/>
                <w:sz w:val="20"/>
                <w:szCs w:val="20"/>
              </w:rPr>
            </w:pPr>
          </w:p>
        </w:tc>
        <w:tc>
          <w:tcPr>
            <w:tcW w:w="1180" w:type="dxa"/>
          </w:tcPr>
          <w:p w14:paraId="7C385362"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9047" w:type="dxa"/>
            <w:gridSpan w:val="2"/>
          </w:tcPr>
          <w:p w14:paraId="17E3D78E" w14:textId="506DC402" w:rsidR="00F61F8E" w:rsidRPr="002B3F36" w:rsidRDefault="000F264B">
            <w:pPr>
              <w:shd w:val="clear" w:color="auto" w:fill="FFFFFF"/>
              <w:suppressAutoHyphens/>
              <w:ind w:right="34"/>
              <w:jc w:val="both"/>
              <w:rPr>
                <w:rFonts w:ascii="Arial" w:hAnsi="Arial" w:cs="Arial"/>
                <w:b/>
                <w:bCs/>
                <w:sz w:val="20"/>
                <w:szCs w:val="20"/>
              </w:rPr>
            </w:pPr>
            <w:r w:rsidRPr="002B3F36">
              <w:rPr>
                <w:rFonts w:ascii="Arial" w:hAnsi="Arial" w:cs="Arial"/>
                <w:b/>
                <w:bCs/>
                <w:sz w:val="20"/>
                <w:szCs w:val="20"/>
              </w:rPr>
              <w:t>During Construction Phase (</w:t>
            </w:r>
            <w:r w:rsidR="000C7CC2" w:rsidRPr="002B3F36">
              <w:rPr>
                <w:rFonts w:ascii="Arial" w:hAnsi="Arial" w:cs="Arial"/>
                <w:b/>
                <w:bCs/>
                <w:sz w:val="20"/>
                <w:szCs w:val="20"/>
              </w:rPr>
              <w:t>PS</w:t>
            </w:r>
            <w:r w:rsidRPr="002B3F36">
              <w:rPr>
                <w:rFonts w:ascii="Arial" w:hAnsi="Arial" w:cs="Arial"/>
                <w:b/>
                <w:bCs/>
                <w:sz w:val="20"/>
                <w:szCs w:val="20"/>
              </w:rPr>
              <w:t xml:space="preserve"> 5)</w:t>
            </w:r>
          </w:p>
        </w:tc>
        <w:tc>
          <w:tcPr>
            <w:tcW w:w="1751" w:type="dxa"/>
          </w:tcPr>
          <w:p w14:paraId="1AD12D4B"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332" w:type="dxa"/>
          </w:tcPr>
          <w:p w14:paraId="65C34D64"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r>
      <w:tr w:rsidR="00F61F8E" w:rsidRPr="002B3F36" w14:paraId="47970965" w14:textId="77777777" w:rsidTr="0089733D">
        <w:tc>
          <w:tcPr>
            <w:tcW w:w="1180" w:type="dxa"/>
          </w:tcPr>
          <w:p w14:paraId="231848C6"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 xml:space="preserve">Land </w:t>
            </w:r>
            <w:r w:rsidRPr="002B3F36">
              <w:rPr>
                <w:rFonts w:ascii="Arial" w:hAnsi="Arial" w:cs="Arial"/>
                <w:sz w:val="20"/>
                <w:szCs w:val="20"/>
              </w:rPr>
              <w:lastRenderedPageBreak/>
              <w:t>Acquisition, Resettlements</w:t>
            </w:r>
          </w:p>
        </w:tc>
        <w:tc>
          <w:tcPr>
            <w:tcW w:w="1180" w:type="dxa"/>
          </w:tcPr>
          <w:p w14:paraId="75AC8E25"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lastRenderedPageBreak/>
              <w:t>Implement</w:t>
            </w:r>
            <w:r w:rsidRPr="002B3F36">
              <w:rPr>
                <w:rFonts w:ascii="Arial" w:hAnsi="Arial" w:cs="Arial"/>
                <w:sz w:val="20"/>
                <w:szCs w:val="20"/>
              </w:rPr>
              <w:lastRenderedPageBreak/>
              <w:t xml:space="preserve">ation Design for the project </w:t>
            </w:r>
          </w:p>
        </w:tc>
        <w:tc>
          <w:tcPr>
            <w:tcW w:w="3225" w:type="dxa"/>
          </w:tcPr>
          <w:p w14:paraId="77D626D0" w14:textId="77777777" w:rsidR="00F61F8E" w:rsidRPr="002B3F36" w:rsidRDefault="000F264B">
            <w:pPr>
              <w:shd w:val="clear" w:color="auto" w:fill="FFFFFF"/>
              <w:suppressAutoHyphens/>
              <w:ind w:right="34"/>
              <w:jc w:val="both"/>
              <w:rPr>
                <w:rFonts w:ascii="Arial" w:eastAsia="Calibri" w:hAnsi="Arial" w:cs="Arial"/>
                <w:sz w:val="20"/>
                <w:szCs w:val="20"/>
              </w:rPr>
            </w:pPr>
            <w:r w:rsidRPr="002B3F36">
              <w:rPr>
                <w:rFonts w:ascii="Arial" w:eastAsia="Calibri" w:hAnsi="Arial" w:cs="Arial"/>
                <w:sz w:val="20"/>
                <w:szCs w:val="20"/>
              </w:rPr>
              <w:lastRenderedPageBreak/>
              <w:t xml:space="preserve">Land takings and resettlement of </w:t>
            </w:r>
            <w:r w:rsidRPr="002B3F36">
              <w:rPr>
                <w:rFonts w:ascii="Arial" w:eastAsia="Calibri" w:hAnsi="Arial" w:cs="Arial"/>
                <w:sz w:val="20"/>
                <w:szCs w:val="20"/>
              </w:rPr>
              <w:lastRenderedPageBreak/>
              <w:t>affected people</w:t>
            </w:r>
          </w:p>
        </w:tc>
        <w:tc>
          <w:tcPr>
            <w:tcW w:w="5822" w:type="dxa"/>
          </w:tcPr>
          <w:p w14:paraId="71E8741E" w14:textId="77777777" w:rsidR="00F61F8E" w:rsidRPr="002B3F36" w:rsidRDefault="000F264B">
            <w:p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lastRenderedPageBreak/>
              <w:t xml:space="preserve">Implement </w:t>
            </w:r>
            <w:r w:rsidR="002E585D" w:rsidRPr="002B3F36">
              <w:rPr>
                <w:rFonts w:ascii="Arial" w:eastAsia="Calibri" w:hAnsi="Arial" w:cs="Arial"/>
                <w:sz w:val="20"/>
                <w:szCs w:val="20"/>
              </w:rPr>
              <w:t>LA</w:t>
            </w:r>
            <w:r w:rsidRPr="002B3F36">
              <w:rPr>
                <w:rFonts w:ascii="Arial" w:eastAsia="Calibri" w:hAnsi="Arial" w:cs="Arial"/>
                <w:sz w:val="20"/>
                <w:szCs w:val="20"/>
              </w:rPr>
              <w:t>RAP properly</w:t>
            </w:r>
          </w:p>
          <w:p w14:paraId="55838108" w14:textId="77777777" w:rsidR="00020151" w:rsidRPr="002B3F36" w:rsidRDefault="00020151" w:rsidP="00020151">
            <w:p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lastRenderedPageBreak/>
              <w:t>Planning and Process</w:t>
            </w:r>
          </w:p>
          <w:p w14:paraId="30FA0013" w14:textId="77777777" w:rsidR="00020151" w:rsidRPr="002B3F36" w:rsidRDefault="00020151" w:rsidP="009B4CDB">
            <w:pPr>
              <w:numPr>
                <w:ilvl w:val="0"/>
                <w:numId w:val="169"/>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Establish and publicly disclose a </w:t>
            </w:r>
            <w:r w:rsidRPr="002B3F36">
              <w:rPr>
                <w:rFonts w:ascii="Arial" w:eastAsia="Calibri" w:hAnsi="Arial" w:cs="Arial"/>
                <w:b/>
                <w:sz w:val="20"/>
                <w:szCs w:val="20"/>
              </w:rPr>
              <w:t>cut-off date</w:t>
            </w:r>
            <w:r w:rsidRPr="002B3F36">
              <w:rPr>
                <w:rFonts w:ascii="Arial" w:eastAsia="Calibri" w:hAnsi="Arial" w:cs="Arial"/>
                <w:sz w:val="20"/>
                <w:szCs w:val="20"/>
              </w:rPr>
              <w:t>, ensuring eligibility is clear and preventing speculative claims.</w:t>
            </w:r>
          </w:p>
          <w:p w14:paraId="01E1AF86" w14:textId="77777777" w:rsidR="00020151" w:rsidRPr="002B3F36" w:rsidRDefault="00020151" w:rsidP="009B4CDB">
            <w:pPr>
              <w:numPr>
                <w:ilvl w:val="0"/>
                <w:numId w:val="169"/>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Conduct a </w:t>
            </w:r>
            <w:r w:rsidRPr="002B3F36">
              <w:rPr>
                <w:rFonts w:ascii="Arial" w:eastAsia="Calibri" w:hAnsi="Arial" w:cs="Arial"/>
                <w:b/>
                <w:sz w:val="20"/>
                <w:szCs w:val="20"/>
              </w:rPr>
              <w:t>census and socio-economic survey</w:t>
            </w:r>
            <w:r w:rsidRPr="002B3F36">
              <w:rPr>
                <w:rFonts w:ascii="Arial" w:eastAsia="Calibri" w:hAnsi="Arial" w:cs="Arial"/>
                <w:sz w:val="20"/>
                <w:szCs w:val="20"/>
              </w:rPr>
              <w:t xml:space="preserve"> to identify all PAPs, including vulnerable groups and informal users.</w:t>
            </w:r>
          </w:p>
          <w:p w14:paraId="4A175A42" w14:textId="77777777" w:rsidR="00020151" w:rsidRPr="002B3F36" w:rsidRDefault="00020151" w:rsidP="009B4CDB">
            <w:pPr>
              <w:numPr>
                <w:ilvl w:val="0"/>
                <w:numId w:val="169"/>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Apply </w:t>
            </w:r>
            <w:r w:rsidRPr="002B3F36">
              <w:rPr>
                <w:rFonts w:ascii="Arial" w:eastAsia="Calibri" w:hAnsi="Arial" w:cs="Arial"/>
                <w:b/>
                <w:sz w:val="20"/>
                <w:szCs w:val="20"/>
              </w:rPr>
              <w:t>independent valuation at full replacement cost</w:t>
            </w:r>
            <w:r w:rsidRPr="002B3F36">
              <w:rPr>
                <w:rFonts w:ascii="Arial" w:eastAsia="Calibri" w:hAnsi="Arial" w:cs="Arial"/>
                <w:sz w:val="20"/>
                <w:szCs w:val="20"/>
              </w:rPr>
              <w:t>, with project-financed top-ups if statutory rates fall short.</w:t>
            </w:r>
          </w:p>
          <w:p w14:paraId="6002C798" w14:textId="77777777" w:rsidR="00020151" w:rsidRPr="002B3F36" w:rsidRDefault="00020151" w:rsidP="00020151">
            <w:p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Compensation and Assistance</w:t>
            </w:r>
          </w:p>
          <w:p w14:paraId="65AFF93E" w14:textId="77777777" w:rsidR="00020151" w:rsidRPr="002B3F36" w:rsidRDefault="00020151" w:rsidP="009B4CDB">
            <w:pPr>
              <w:numPr>
                <w:ilvl w:val="0"/>
                <w:numId w:val="170"/>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Land-for-land or cash compensation</w:t>
            </w:r>
            <w:r w:rsidRPr="002B3F36">
              <w:rPr>
                <w:rFonts w:ascii="Arial" w:eastAsia="Calibri" w:hAnsi="Arial" w:cs="Arial"/>
                <w:sz w:val="20"/>
                <w:szCs w:val="20"/>
              </w:rPr>
              <w:t xml:space="preserve"> at replacement cost for agricultural and commercial plots; transaction costs, fees, and registration borne by the project.</w:t>
            </w:r>
          </w:p>
          <w:p w14:paraId="2AF9B65C" w14:textId="77777777" w:rsidR="00020151" w:rsidRPr="002B3F36" w:rsidRDefault="00020151" w:rsidP="009B4CDB">
            <w:pPr>
              <w:numPr>
                <w:ilvl w:val="0"/>
                <w:numId w:val="170"/>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Compensation for structures</w:t>
            </w:r>
            <w:r w:rsidRPr="002B3F36">
              <w:rPr>
                <w:rFonts w:ascii="Arial" w:eastAsia="Calibri" w:hAnsi="Arial" w:cs="Arial"/>
                <w:sz w:val="20"/>
                <w:szCs w:val="20"/>
              </w:rPr>
              <w:t xml:space="preserve"> at replacement cost with salvage rights, plus moving and transitional allowances.</w:t>
            </w:r>
          </w:p>
          <w:p w14:paraId="48D5C468" w14:textId="77777777" w:rsidR="00020151" w:rsidRPr="002B3F36" w:rsidRDefault="00020151" w:rsidP="009B4CDB">
            <w:pPr>
              <w:numPr>
                <w:ilvl w:val="0"/>
                <w:numId w:val="170"/>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Livelihood restoration measures</w:t>
            </w:r>
            <w:r w:rsidRPr="002B3F36">
              <w:rPr>
                <w:rFonts w:ascii="Arial" w:eastAsia="Calibri" w:hAnsi="Arial" w:cs="Arial"/>
                <w:sz w:val="20"/>
                <w:szCs w:val="20"/>
              </w:rPr>
              <w:t xml:space="preserve"> for farmers, herders, and small businesses (training, alternative grazing, market access support).</w:t>
            </w:r>
          </w:p>
          <w:p w14:paraId="4BDCB394" w14:textId="77777777" w:rsidR="00020151" w:rsidRPr="002B3F36" w:rsidRDefault="00020151" w:rsidP="009B4CDB">
            <w:pPr>
              <w:numPr>
                <w:ilvl w:val="0"/>
                <w:numId w:val="170"/>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Business interruption support – Not expected</w:t>
            </w:r>
            <w:r w:rsidRPr="002B3F36">
              <w:rPr>
                <w:rFonts w:ascii="Arial" w:eastAsia="Calibri" w:hAnsi="Arial" w:cs="Arial"/>
                <w:sz w:val="20"/>
                <w:szCs w:val="20"/>
              </w:rPr>
              <w:t xml:space="preserve"> (e.g., income loss for ≤3 months, access management, moving/re-establishment assistance).</w:t>
            </w:r>
          </w:p>
          <w:p w14:paraId="6CE220E2" w14:textId="77777777" w:rsidR="00020151" w:rsidRPr="002B3F36" w:rsidRDefault="00020151" w:rsidP="009B4CDB">
            <w:pPr>
              <w:numPr>
                <w:ilvl w:val="0"/>
                <w:numId w:val="170"/>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Temporary occupation agreements</w:t>
            </w:r>
            <w:r w:rsidRPr="002B3F36">
              <w:rPr>
                <w:rFonts w:ascii="Arial" w:eastAsia="Calibri" w:hAnsi="Arial" w:cs="Arial"/>
                <w:sz w:val="20"/>
                <w:szCs w:val="20"/>
              </w:rPr>
              <w:t xml:space="preserve"> in writing, with clear terms on rent, restoration, and damages.</w:t>
            </w:r>
          </w:p>
          <w:p w14:paraId="3FDC610C" w14:textId="77777777" w:rsidR="00020151" w:rsidRPr="002B3F36" w:rsidRDefault="00020151" w:rsidP="00020151">
            <w:p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Vulnerability and Gender</w:t>
            </w:r>
          </w:p>
          <w:p w14:paraId="0483CDD9" w14:textId="77777777" w:rsidR="00020151" w:rsidRPr="002B3F36" w:rsidRDefault="00020151" w:rsidP="009B4CDB">
            <w:pPr>
              <w:numPr>
                <w:ilvl w:val="0"/>
                <w:numId w:val="171"/>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Targeted assistance for </w:t>
            </w:r>
            <w:r w:rsidRPr="002B3F36">
              <w:rPr>
                <w:rFonts w:ascii="Arial" w:eastAsia="Calibri" w:hAnsi="Arial" w:cs="Arial"/>
                <w:b/>
                <w:sz w:val="20"/>
                <w:szCs w:val="20"/>
              </w:rPr>
              <w:t>vulnerable households</w:t>
            </w:r>
            <w:r w:rsidRPr="002B3F36">
              <w:rPr>
                <w:rFonts w:ascii="Arial" w:eastAsia="Calibri" w:hAnsi="Arial" w:cs="Arial"/>
                <w:sz w:val="20"/>
                <w:szCs w:val="20"/>
              </w:rPr>
              <w:t>: transport stipends, priority jobs, accompaniment during payments, or additional livelihood support.</w:t>
            </w:r>
          </w:p>
          <w:p w14:paraId="4F7CB20E" w14:textId="77777777" w:rsidR="00020151" w:rsidRPr="002B3F36" w:rsidRDefault="00020151" w:rsidP="009B4CDB">
            <w:pPr>
              <w:numPr>
                <w:ilvl w:val="0"/>
                <w:numId w:val="171"/>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Ensure </w:t>
            </w:r>
            <w:r w:rsidRPr="002B3F36">
              <w:rPr>
                <w:rFonts w:ascii="Arial" w:eastAsia="Calibri" w:hAnsi="Arial" w:cs="Arial"/>
                <w:b/>
                <w:sz w:val="20"/>
                <w:szCs w:val="20"/>
              </w:rPr>
              <w:t>women’s equal participation</w:t>
            </w:r>
            <w:r w:rsidRPr="002B3F36">
              <w:rPr>
                <w:rFonts w:ascii="Arial" w:eastAsia="Calibri" w:hAnsi="Arial" w:cs="Arial"/>
                <w:sz w:val="20"/>
                <w:szCs w:val="20"/>
              </w:rPr>
              <w:t xml:space="preserve"> and access to compensation, livelihood programs, and grievance processes.</w:t>
            </w:r>
          </w:p>
          <w:p w14:paraId="715439CE" w14:textId="77777777" w:rsidR="00020151" w:rsidRPr="002B3F36" w:rsidRDefault="00020151" w:rsidP="00020151">
            <w:p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Access and Community Measures</w:t>
            </w:r>
          </w:p>
          <w:p w14:paraId="473A8C3F" w14:textId="77777777" w:rsidR="00020151" w:rsidRPr="002B3F36" w:rsidRDefault="00020151" w:rsidP="009B4CDB">
            <w:pPr>
              <w:numPr>
                <w:ilvl w:val="0"/>
                <w:numId w:val="172"/>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Manage temporary disruptions with a </w:t>
            </w:r>
            <w:r w:rsidRPr="002B3F36">
              <w:rPr>
                <w:rFonts w:ascii="Arial" w:eastAsia="Calibri" w:hAnsi="Arial" w:cs="Arial"/>
                <w:b/>
                <w:sz w:val="20"/>
                <w:szCs w:val="20"/>
              </w:rPr>
              <w:t>Traffic and Access Management Plan</w:t>
            </w:r>
            <w:r w:rsidRPr="002B3F36">
              <w:rPr>
                <w:rFonts w:ascii="Arial" w:eastAsia="Calibri" w:hAnsi="Arial" w:cs="Arial"/>
                <w:sz w:val="20"/>
                <w:szCs w:val="20"/>
              </w:rPr>
              <w:t xml:space="preserve"> (temporary crossings, footbridges, signage, reinstatement).</w:t>
            </w:r>
          </w:p>
          <w:p w14:paraId="2C2322D5" w14:textId="77777777" w:rsidR="00020151" w:rsidRPr="002B3F36" w:rsidRDefault="00020151" w:rsidP="009B4CDB">
            <w:pPr>
              <w:numPr>
                <w:ilvl w:val="0"/>
                <w:numId w:val="172"/>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Replace or restore </w:t>
            </w:r>
            <w:r w:rsidRPr="002B3F36">
              <w:rPr>
                <w:rFonts w:ascii="Arial" w:eastAsia="Calibri" w:hAnsi="Arial" w:cs="Arial"/>
                <w:b/>
                <w:sz w:val="20"/>
                <w:szCs w:val="20"/>
              </w:rPr>
              <w:t>community/common property resources</w:t>
            </w:r>
            <w:r w:rsidRPr="002B3F36">
              <w:rPr>
                <w:rFonts w:ascii="Arial" w:eastAsia="Calibri" w:hAnsi="Arial" w:cs="Arial"/>
                <w:sz w:val="20"/>
                <w:szCs w:val="20"/>
              </w:rPr>
              <w:t xml:space="preserve"> (wells, grazing areas, cultural sites) in consultation with local stakeholders.</w:t>
            </w:r>
          </w:p>
          <w:p w14:paraId="117DC49A" w14:textId="77777777" w:rsidR="00020151" w:rsidRPr="002B3F36" w:rsidRDefault="00020151" w:rsidP="00020151">
            <w:p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Engagement and Grievance Redress</w:t>
            </w:r>
          </w:p>
          <w:p w14:paraId="20EC02B1" w14:textId="77777777" w:rsidR="00020151" w:rsidRPr="002B3F36" w:rsidRDefault="00020151" w:rsidP="009B4CDB">
            <w:pPr>
              <w:numPr>
                <w:ilvl w:val="0"/>
                <w:numId w:val="173"/>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lastRenderedPageBreak/>
              <w:t xml:space="preserve">Maintain continuous </w:t>
            </w:r>
            <w:r w:rsidRPr="002B3F36">
              <w:rPr>
                <w:rFonts w:ascii="Arial" w:eastAsia="Calibri" w:hAnsi="Arial" w:cs="Arial"/>
                <w:b/>
                <w:sz w:val="20"/>
                <w:szCs w:val="20"/>
              </w:rPr>
              <w:t>consultations</w:t>
            </w:r>
            <w:r w:rsidRPr="002B3F36">
              <w:rPr>
                <w:rFonts w:ascii="Arial" w:eastAsia="Calibri" w:hAnsi="Arial" w:cs="Arial"/>
                <w:sz w:val="20"/>
                <w:szCs w:val="20"/>
              </w:rPr>
              <w:t xml:space="preserve"> with PAPs, community leaders, and akimats throughout LARAP implementation.</w:t>
            </w:r>
          </w:p>
          <w:p w14:paraId="1930035D" w14:textId="77777777" w:rsidR="00020151" w:rsidRPr="002B3F36" w:rsidRDefault="00020151" w:rsidP="009B4CDB">
            <w:pPr>
              <w:numPr>
                <w:ilvl w:val="0"/>
                <w:numId w:val="173"/>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Operate a </w:t>
            </w:r>
            <w:r w:rsidRPr="002B3F36">
              <w:rPr>
                <w:rFonts w:ascii="Arial" w:eastAsia="Calibri" w:hAnsi="Arial" w:cs="Arial"/>
                <w:b/>
                <w:sz w:val="20"/>
                <w:szCs w:val="20"/>
              </w:rPr>
              <w:t>grievance redress mechanism (GRM)</w:t>
            </w:r>
            <w:r w:rsidRPr="002B3F36">
              <w:rPr>
                <w:rFonts w:ascii="Arial" w:eastAsia="Calibri" w:hAnsi="Arial" w:cs="Arial"/>
                <w:sz w:val="20"/>
                <w:szCs w:val="20"/>
              </w:rPr>
              <w:t xml:space="preserve"> with accessible and confidential channels, including dedicated staff for land and resettlement issues.</w:t>
            </w:r>
          </w:p>
          <w:p w14:paraId="6123E860" w14:textId="77777777" w:rsidR="00020151" w:rsidRPr="002B3F36" w:rsidRDefault="00020151" w:rsidP="00020151">
            <w:pPr>
              <w:shd w:val="clear" w:color="auto" w:fill="FFFFFF"/>
              <w:suppressAutoHyphens/>
              <w:contextualSpacing/>
              <w:jc w:val="both"/>
              <w:rPr>
                <w:rFonts w:ascii="Arial" w:eastAsia="Calibri" w:hAnsi="Arial" w:cs="Arial"/>
                <w:sz w:val="20"/>
                <w:szCs w:val="20"/>
              </w:rPr>
            </w:pPr>
            <w:r w:rsidRPr="002B3F36">
              <w:rPr>
                <w:rFonts w:ascii="Arial" w:eastAsia="Calibri" w:hAnsi="Arial" w:cs="Arial"/>
                <w:b/>
                <w:sz w:val="20"/>
                <w:szCs w:val="20"/>
              </w:rPr>
              <w:t>Monitoring and Compliance</w:t>
            </w:r>
          </w:p>
          <w:p w14:paraId="3996A0AA" w14:textId="7BDFC77A" w:rsidR="00020151" w:rsidRPr="002B3F36" w:rsidRDefault="00020151" w:rsidP="009B4CDB">
            <w:pPr>
              <w:numPr>
                <w:ilvl w:val="0"/>
                <w:numId w:val="174"/>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 xml:space="preserve">Internal monitoring by the </w:t>
            </w:r>
            <w:r w:rsidR="00464922" w:rsidRPr="002B3F36">
              <w:rPr>
                <w:rFonts w:ascii="Arial" w:eastAsia="Calibri" w:hAnsi="Arial" w:cs="Arial"/>
                <w:sz w:val="20"/>
                <w:szCs w:val="20"/>
              </w:rPr>
              <w:t>KTZ</w:t>
            </w:r>
            <w:r w:rsidRPr="002B3F36">
              <w:rPr>
                <w:rFonts w:ascii="Arial" w:eastAsia="Calibri" w:hAnsi="Arial" w:cs="Arial"/>
                <w:sz w:val="20"/>
                <w:szCs w:val="20"/>
              </w:rPr>
              <w:t xml:space="preserve"> and external completion audits (if displacement is significant) to verify restoration of livelihoods and living standards.</w:t>
            </w:r>
          </w:p>
          <w:p w14:paraId="629E61E9" w14:textId="77777777" w:rsidR="00020151" w:rsidRPr="002B3F36" w:rsidRDefault="00020151" w:rsidP="009B4CDB">
            <w:pPr>
              <w:numPr>
                <w:ilvl w:val="0"/>
                <w:numId w:val="174"/>
              </w:numPr>
              <w:shd w:val="clear" w:color="auto" w:fill="FFFFFF"/>
              <w:suppressAutoHyphens/>
              <w:contextualSpacing/>
              <w:jc w:val="both"/>
              <w:rPr>
                <w:rFonts w:ascii="Arial" w:eastAsia="Calibri" w:hAnsi="Arial" w:cs="Arial"/>
                <w:sz w:val="20"/>
                <w:szCs w:val="20"/>
              </w:rPr>
            </w:pPr>
            <w:r w:rsidRPr="002B3F36">
              <w:rPr>
                <w:rFonts w:ascii="Arial" w:eastAsia="Calibri" w:hAnsi="Arial" w:cs="Arial"/>
                <w:sz w:val="20"/>
                <w:szCs w:val="20"/>
              </w:rPr>
              <w:t>Documentation of payments, agreements, and restoration measures; corrective actions where targets are not met.</w:t>
            </w:r>
          </w:p>
          <w:p w14:paraId="6D9BDFB0" w14:textId="3C3C5728" w:rsidR="00020151" w:rsidRPr="002B3F36" w:rsidRDefault="00020151">
            <w:pPr>
              <w:shd w:val="clear" w:color="auto" w:fill="FFFFFF"/>
              <w:suppressAutoHyphens/>
              <w:contextualSpacing/>
              <w:jc w:val="both"/>
              <w:rPr>
                <w:rFonts w:ascii="Arial" w:eastAsia="Calibri" w:hAnsi="Arial" w:cs="Arial"/>
                <w:sz w:val="20"/>
                <w:szCs w:val="20"/>
              </w:rPr>
            </w:pPr>
          </w:p>
        </w:tc>
        <w:tc>
          <w:tcPr>
            <w:tcW w:w="1751" w:type="dxa"/>
          </w:tcPr>
          <w:p w14:paraId="0FE152F5"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 xml:space="preserve">KTZ and </w:t>
            </w:r>
            <w:r w:rsidRPr="002B3F36">
              <w:rPr>
                <w:rFonts w:ascii="Arial" w:eastAsia="Arial" w:hAnsi="Arial" w:cs="Arial"/>
                <w:sz w:val="20"/>
                <w:szCs w:val="20"/>
                <w:u w:val="single"/>
                <w:lang w:val="en-AU"/>
              </w:rPr>
              <w:t>Supervision Consultants</w:t>
            </w:r>
            <w:r w:rsidRPr="002B3F36">
              <w:rPr>
                <w:rFonts w:ascii="Arial" w:eastAsia="Arial" w:hAnsi="Arial" w:cs="Arial"/>
                <w:sz w:val="20"/>
                <w:szCs w:val="20"/>
                <w:lang w:val="en-AU"/>
              </w:rPr>
              <w:t xml:space="preserve"> to oversee; Contractor’s to implement</w:t>
            </w:r>
          </w:p>
          <w:p w14:paraId="523849C2"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Assistance from Akimat </w:t>
            </w:r>
          </w:p>
        </w:tc>
        <w:tc>
          <w:tcPr>
            <w:tcW w:w="1332" w:type="dxa"/>
          </w:tcPr>
          <w:p w14:paraId="54727FA0"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lastRenderedPageBreak/>
              <w:t xml:space="preserve">During </w:t>
            </w:r>
            <w:r w:rsidRPr="002B3F36">
              <w:rPr>
                <w:rFonts w:ascii="Arial" w:eastAsia="Arial" w:hAnsi="Arial" w:cs="Arial"/>
                <w:sz w:val="20"/>
                <w:szCs w:val="20"/>
                <w:lang w:val="en-AU"/>
              </w:rPr>
              <w:lastRenderedPageBreak/>
              <w:t>construction Stage (</w:t>
            </w:r>
            <w:r w:rsidRPr="002B3F36">
              <w:rPr>
                <w:rFonts w:ascii="Arial" w:eastAsia="Calibri" w:hAnsi="Arial" w:cs="Arial"/>
                <w:sz w:val="20"/>
                <w:szCs w:val="20"/>
              </w:rPr>
              <w:t>Budget part of supervision contract; part of operational cost of Contractor)</w:t>
            </w:r>
          </w:p>
        </w:tc>
      </w:tr>
      <w:tr w:rsidR="00F61F8E" w:rsidRPr="002B3F36" w14:paraId="6E4806F4" w14:textId="77777777" w:rsidTr="0089733D">
        <w:tc>
          <w:tcPr>
            <w:tcW w:w="1180" w:type="dxa"/>
          </w:tcPr>
          <w:p w14:paraId="08505398"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lastRenderedPageBreak/>
              <w:t>Constrained Access</w:t>
            </w:r>
          </w:p>
        </w:tc>
        <w:tc>
          <w:tcPr>
            <w:tcW w:w="1180" w:type="dxa"/>
          </w:tcPr>
          <w:p w14:paraId="0CA390EA" w14:textId="77777777" w:rsidR="00F61F8E" w:rsidRPr="002B3F36" w:rsidRDefault="000F264B">
            <w:pPr>
              <w:shd w:val="clear" w:color="auto" w:fill="FFFFFF"/>
              <w:suppressAutoHyphens/>
              <w:jc w:val="center"/>
              <w:rPr>
                <w:rFonts w:ascii="Arial" w:hAnsi="Arial" w:cs="Arial"/>
                <w:sz w:val="20"/>
                <w:szCs w:val="20"/>
              </w:rPr>
            </w:pPr>
            <w:r w:rsidRPr="002B3F36">
              <w:rPr>
                <w:rFonts w:ascii="Arial" w:hAnsi="Arial" w:cs="Arial"/>
                <w:sz w:val="20"/>
                <w:szCs w:val="20"/>
              </w:rPr>
              <w:t xml:space="preserve">Constrained Access during Construction </w:t>
            </w:r>
          </w:p>
          <w:p w14:paraId="79FB184D" w14:textId="77777777" w:rsidR="00F61F8E" w:rsidRPr="002B3F36" w:rsidRDefault="00F61F8E">
            <w:pPr>
              <w:shd w:val="clear" w:color="auto" w:fill="FFFFFF"/>
              <w:suppressAutoHyphens/>
              <w:jc w:val="center"/>
              <w:rPr>
                <w:rFonts w:ascii="Arial" w:hAnsi="Arial" w:cs="Arial"/>
                <w:sz w:val="20"/>
                <w:szCs w:val="20"/>
              </w:rPr>
            </w:pPr>
          </w:p>
        </w:tc>
        <w:tc>
          <w:tcPr>
            <w:tcW w:w="3225" w:type="dxa"/>
          </w:tcPr>
          <w:p w14:paraId="30E04420" w14:textId="74670F7A"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General </w:t>
            </w:r>
            <w:r w:rsidR="004758AA" w:rsidRPr="002B3F36">
              <w:rPr>
                <w:color w:val="auto"/>
                <w:sz w:val="20"/>
                <w:szCs w:val="20"/>
              </w:rPr>
              <w:t>rail</w:t>
            </w:r>
            <w:r w:rsidRPr="002B3F36">
              <w:rPr>
                <w:color w:val="auto"/>
                <w:sz w:val="20"/>
                <w:szCs w:val="20"/>
              </w:rPr>
              <w:t xml:space="preserve">road construction will affect existing traffic. </w:t>
            </w:r>
          </w:p>
          <w:p w14:paraId="26A246BC" w14:textId="189458AD"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Local </w:t>
            </w:r>
            <w:r w:rsidR="004758AA" w:rsidRPr="002B3F36">
              <w:rPr>
                <w:color w:val="auto"/>
                <w:sz w:val="20"/>
                <w:szCs w:val="20"/>
              </w:rPr>
              <w:t>rail</w:t>
            </w:r>
            <w:r w:rsidRPr="002B3F36">
              <w:rPr>
                <w:color w:val="auto"/>
                <w:sz w:val="20"/>
                <w:szCs w:val="20"/>
              </w:rPr>
              <w:t xml:space="preserve">roads to villages will also be affected. </w:t>
            </w:r>
          </w:p>
          <w:p w14:paraId="3A805C3C" w14:textId="2948E8C7" w:rsidR="00F61F8E" w:rsidRPr="002B3F36" w:rsidRDefault="000F264B">
            <w:pPr>
              <w:pStyle w:val="BulletTable"/>
              <w:tabs>
                <w:tab w:val="clear" w:pos="540"/>
                <w:tab w:val="clear" w:pos="542"/>
              </w:tabs>
              <w:rPr>
                <w:color w:val="auto"/>
                <w:sz w:val="20"/>
                <w:szCs w:val="20"/>
              </w:rPr>
            </w:pPr>
            <w:r w:rsidRPr="002B3F36">
              <w:rPr>
                <w:color w:val="auto"/>
                <w:sz w:val="20"/>
                <w:szCs w:val="20"/>
              </w:rPr>
              <w:t xml:space="preserve">Some detour </w:t>
            </w:r>
            <w:r w:rsidR="004758AA" w:rsidRPr="002B3F36">
              <w:rPr>
                <w:color w:val="auto"/>
                <w:sz w:val="20"/>
                <w:szCs w:val="20"/>
              </w:rPr>
              <w:t>rail</w:t>
            </w:r>
            <w:r w:rsidRPr="002B3F36">
              <w:rPr>
                <w:color w:val="auto"/>
                <w:sz w:val="20"/>
                <w:szCs w:val="20"/>
              </w:rPr>
              <w:t>roads will inconvenient local as well as through traffic.</w:t>
            </w:r>
          </w:p>
        </w:tc>
        <w:tc>
          <w:tcPr>
            <w:tcW w:w="5822" w:type="dxa"/>
          </w:tcPr>
          <w:p w14:paraId="3020021C" w14:textId="52F49A57" w:rsidR="00020151" w:rsidRPr="002B3F36" w:rsidRDefault="00020151" w:rsidP="00CC03AE">
            <w:pPr>
              <w:pStyle w:val="BulletTable"/>
            </w:pPr>
            <w:r w:rsidRPr="002B3F36">
              <w:rPr>
                <w:b/>
              </w:rPr>
              <w:t>Traffic and Access Management Plan</w:t>
            </w:r>
            <w:r w:rsidRPr="002B3F36">
              <w:t>: Contractor to prepare and submit a site-specific plan (as part of the C-ESMP), covering traffic diversions, access arrangements, safety measures, and responsibilities. The plan should be reviewed by the Engineer/</w:t>
            </w:r>
            <w:r w:rsidR="00464922" w:rsidRPr="002B3F36">
              <w:t>KTZ</w:t>
            </w:r>
            <w:r w:rsidRPr="002B3F36">
              <w:t xml:space="preserve"> and disclosed locally before works begin.</w:t>
            </w:r>
          </w:p>
          <w:p w14:paraId="56FDC808" w14:textId="77777777" w:rsidR="00020151" w:rsidRPr="002B3F36" w:rsidRDefault="00020151" w:rsidP="00CC03AE">
            <w:pPr>
              <w:pStyle w:val="BulletTable"/>
            </w:pPr>
            <w:r w:rsidRPr="002B3F36">
              <w:rPr>
                <w:b/>
              </w:rPr>
              <w:t>Temporary Detours:</w:t>
            </w:r>
            <w:r w:rsidRPr="002B3F36">
              <w:t xml:space="preserve"> All detours to be negotiated with landowners and approved by local authorities (akimats); written agreements must specify alignment, duration, and reinstatement standards. Detour routes to be maintained by the Contractor and restored to pre-project condition after use.</w:t>
            </w:r>
          </w:p>
          <w:p w14:paraId="60EFCF45" w14:textId="77777777" w:rsidR="00020151" w:rsidRPr="002B3F36" w:rsidRDefault="00020151" w:rsidP="00CC03AE">
            <w:pPr>
              <w:pStyle w:val="BulletTable"/>
            </w:pPr>
            <w:r w:rsidRPr="002B3F36">
              <w:rPr>
                <w:b/>
              </w:rPr>
              <w:t>Community Protection Measures</w:t>
            </w:r>
            <w:r w:rsidRPr="002B3F36">
              <w:t>: Provide advance public notices on construction schedules; install fencing, barriers, and clear signage at critical spots; enforce speed limits and safety rules for construction traffic near settlements.</w:t>
            </w:r>
          </w:p>
          <w:p w14:paraId="6AEF6746" w14:textId="25B9BEA1" w:rsidR="00020151" w:rsidRPr="002B3F36" w:rsidRDefault="00020151" w:rsidP="00CC03AE">
            <w:pPr>
              <w:pStyle w:val="BulletTable"/>
            </w:pPr>
            <w:r w:rsidRPr="002B3F36">
              <w:rPr>
                <w:b/>
              </w:rPr>
              <w:t>Maintaining Access:</w:t>
            </w:r>
            <w:r w:rsidRPr="002B3F36">
              <w:t xml:space="preserve"> Temporary driveways, pedestrian footbridges, and livestock crossings to be provided where construction cuts across existing access routes. Business access to be maintained where feasible, especially at commercial clusters.</w:t>
            </w:r>
          </w:p>
          <w:p w14:paraId="40A75862" w14:textId="77777777" w:rsidR="00CC03AE" w:rsidRPr="002B3F36" w:rsidRDefault="00CC03AE" w:rsidP="00CC03AE">
            <w:pPr>
              <w:pStyle w:val="BulletTable"/>
            </w:pPr>
            <w:r w:rsidRPr="002B3F36">
              <w:rPr>
                <w:b/>
              </w:rPr>
              <w:t>Pasture Connectivity and Community Assets</w:t>
            </w:r>
            <w:r w:rsidRPr="002B3F36">
              <w:t>. A dedicated Pasture Connectivity Plan will provide underpasses/culverts for livestock, controlled gates in fencing, and rehabilitation of pasture wells and community roads where affected. Community assets will be restored on a like-for-like or improved basis with community sign-off.</w:t>
            </w:r>
          </w:p>
          <w:p w14:paraId="7D59E721" w14:textId="77777777" w:rsidR="00020151" w:rsidRPr="002B3F36" w:rsidRDefault="00020151" w:rsidP="00CC03AE">
            <w:pPr>
              <w:pStyle w:val="BulletTable"/>
            </w:pPr>
            <w:r w:rsidRPr="002B3F36">
              <w:rPr>
                <w:b/>
              </w:rPr>
              <w:t>Short-term Compensation:</w:t>
            </w:r>
            <w:r w:rsidRPr="002B3F36">
              <w:t xml:space="preserve"> Where verifiable income losses occur due to temporary constrained access, PAPs will receive short-term </w:t>
            </w:r>
            <w:r w:rsidRPr="002B3F36">
              <w:lastRenderedPageBreak/>
              <w:t>income loss compensation in line with the LARAP entitlement matrix.</w:t>
            </w:r>
          </w:p>
          <w:p w14:paraId="7D04E32E" w14:textId="77777777" w:rsidR="00020151" w:rsidRPr="002B3F36" w:rsidRDefault="00020151" w:rsidP="00CC03AE">
            <w:pPr>
              <w:pStyle w:val="BulletTable"/>
            </w:pPr>
            <w:r w:rsidRPr="002B3F36">
              <w:rPr>
                <w:b/>
              </w:rPr>
              <w:t>Monitoring &amp; Grievance Redress:</w:t>
            </w:r>
            <w:r w:rsidRPr="002B3F36">
              <w:t xml:space="preserve"> Weekly site inspections to verify that access arrangements are functioning; 24/7 hotline and community GRM to capture complaints and ensure rapid corrective action.</w:t>
            </w:r>
          </w:p>
          <w:p w14:paraId="3F8C6834" w14:textId="0CD1E1BC" w:rsidR="00020151" w:rsidRPr="002B3F36" w:rsidRDefault="00020151" w:rsidP="00CC03AE">
            <w:pPr>
              <w:pStyle w:val="BulletTable"/>
            </w:pPr>
            <w:r w:rsidRPr="002B3F36">
              <w:rPr>
                <w:b/>
              </w:rPr>
              <w:t>Coordination:</w:t>
            </w:r>
            <w:r w:rsidRPr="002B3F36">
              <w:t xml:space="preserve"> Contractor, </w:t>
            </w:r>
            <w:r w:rsidR="00464922" w:rsidRPr="002B3F36">
              <w:t>KTZ</w:t>
            </w:r>
            <w:r w:rsidRPr="002B3F36">
              <w:t>, and akimats to coordinate on detour permits, temporary access measures, and community communications to minimize disruption and disputes.</w:t>
            </w:r>
          </w:p>
          <w:p w14:paraId="2D60D590" w14:textId="77777777" w:rsidR="00F61F8E" w:rsidRPr="002B3F36" w:rsidRDefault="00F61F8E">
            <w:pPr>
              <w:pStyle w:val="BulletTable"/>
              <w:numPr>
                <w:ilvl w:val="0"/>
                <w:numId w:val="0"/>
              </w:numPr>
              <w:ind w:left="430"/>
              <w:rPr>
                <w:color w:val="auto"/>
                <w:sz w:val="20"/>
                <w:szCs w:val="20"/>
              </w:rPr>
            </w:pPr>
          </w:p>
        </w:tc>
        <w:tc>
          <w:tcPr>
            <w:tcW w:w="1751" w:type="dxa"/>
          </w:tcPr>
          <w:p w14:paraId="76EDCE40"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1C0E5E65" w14:textId="77777777" w:rsidR="00F61F8E" w:rsidRPr="002B3F36" w:rsidRDefault="000F264B">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7D053D4B" w14:textId="77777777" w:rsidTr="0089733D">
        <w:tblPrEx>
          <w:jc w:val="center"/>
          <w:tblInd w:w="0" w:type="dxa"/>
        </w:tblPrEx>
        <w:trPr>
          <w:jc w:val="center"/>
        </w:trPr>
        <w:tc>
          <w:tcPr>
            <w:tcW w:w="1180" w:type="dxa"/>
          </w:tcPr>
          <w:p w14:paraId="5C3FBCAB"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180" w:type="dxa"/>
          </w:tcPr>
          <w:p w14:paraId="1435DA0B"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9047" w:type="dxa"/>
            <w:gridSpan w:val="2"/>
          </w:tcPr>
          <w:p w14:paraId="70FA9D61" w14:textId="4F0447B9" w:rsidR="00F61F8E" w:rsidRPr="002B3F36" w:rsidRDefault="000F264B">
            <w:pPr>
              <w:shd w:val="clear" w:color="auto" w:fill="FFFFFF"/>
              <w:suppressAutoHyphens/>
              <w:ind w:right="34"/>
              <w:jc w:val="both"/>
              <w:rPr>
                <w:rFonts w:ascii="Arial" w:hAnsi="Arial" w:cs="Arial"/>
                <w:b/>
                <w:bCs/>
                <w:sz w:val="20"/>
                <w:szCs w:val="20"/>
              </w:rPr>
            </w:pPr>
            <w:r w:rsidRPr="002B3F36">
              <w:rPr>
                <w:rFonts w:ascii="Arial" w:hAnsi="Arial" w:cs="Arial"/>
                <w:b/>
                <w:bCs/>
                <w:sz w:val="20"/>
                <w:szCs w:val="20"/>
              </w:rPr>
              <w:t>During Construction Phase (</w:t>
            </w:r>
            <w:r w:rsidR="000C7CC2" w:rsidRPr="002B3F36">
              <w:rPr>
                <w:rFonts w:ascii="Arial" w:hAnsi="Arial" w:cs="Arial"/>
                <w:b/>
                <w:bCs/>
                <w:sz w:val="20"/>
                <w:szCs w:val="20"/>
              </w:rPr>
              <w:t>PS</w:t>
            </w:r>
            <w:r w:rsidRPr="002B3F36">
              <w:rPr>
                <w:rFonts w:ascii="Arial" w:hAnsi="Arial" w:cs="Arial"/>
                <w:b/>
                <w:bCs/>
                <w:sz w:val="20"/>
                <w:szCs w:val="20"/>
              </w:rPr>
              <w:t xml:space="preserve"> 6)</w:t>
            </w:r>
          </w:p>
        </w:tc>
        <w:tc>
          <w:tcPr>
            <w:tcW w:w="1751" w:type="dxa"/>
          </w:tcPr>
          <w:p w14:paraId="597473B8"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332" w:type="dxa"/>
          </w:tcPr>
          <w:p w14:paraId="63883FD2"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r>
      <w:tr w:rsidR="00F61F8E" w:rsidRPr="002B3F36" w14:paraId="69D4E683" w14:textId="77777777" w:rsidTr="0089733D">
        <w:tblPrEx>
          <w:jc w:val="center"/>
          <w:tblInd w:w="0" w:type="dxa"/>
        </w:tblPrEx>
        <w:trPr>
          <w:jc w:val="center"/>
        </w:trPr>
        <w:tc>
          <w:tcPr>
            <w:tcW w:w="1180" w:type="dxa"/>
          </w:tcPr>
          <w:p w14:paraId="4D0D5690" w14:textId="77777777" w:rsidR="00F61F8E" w:rsidRPr="002B3F36" w:rsidRDefault="000F264B">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t>Flora</w:t>
            </w:r>
          </w:p>
        </w:tc>
        <w:tc>
          <w:tcPr>
            <w:tcW w:w="1180" w:type="dxa"/>
          </w:tcPr>
          <w:p w14:paraId="13BEB6F2" w14:textId="13514D23" w:rsidR="00F61F8E" w:rsidRPr="002B3F36" w:rsidRDefault="000F264B">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t xml:space="preserve">Floral </w:t>
            </w:r>
            <w:r w:rsidR="007A7DCA" w:rsidRPr="002B3F36">
              <w:rPr>
                <w:rFonts w:ascii="Arial" w:eastAsia="Arial" w:hAnsi="Arial" w:cs="Arial"/>
                <w:sz w:val="20"/>
                <w:szCs w:val="20"/>
              </w:rPr>
              <w:t xml:space="preserve">and Faunal </w:t>
            </w:r>
            <w:r w:rsidRPr="002B3F36">
              <w:rPr>
                <w:rFonts w:ascii="Arial" w:eastAsia="Arial" w:hAnsi="Arial" w:cs="Arial"/>
                <w:sz w:val="20"/>
                <w:szCs w:val="20"/>
              </w:rPr>
              <w:t>impacts by construction</w:t>
            </w:r>
          </w:p>
        </w:tc>
        <w:tc>
          <w:tcPr>
            <w:tcW w:w="3225" w:type="dxa"/>
          </w:tcPr>
          <w:p w14:paraId="176FD267" w14:textId="1C27DD96" w:rsidR="007A7DCA" w:rsidRPr="002B3F36" w:rsidRDefault="007A7DCA" w:rsidP="007A7DCA">
            <w:pPr>
              <w:pStyle w:val="BulletTable"/>
              <w:rPr>
                <w:sz w:val="20"/>
                <w:szCs w:val="20"/>
              </w:rPr>
            </w:pPr>
            <w:r w:rsidRPr="002B3F36">
              <w:rPr>
                <w:sz w:val="20"/>
                <w:szCs w:val="20"/>
              </w:rPr>
              <w:t xml:space="preserve">Habitat loss and degradation </w:t>
            </w:r>
          </w:p>
          <w:p w14:paraId="37E76926" w14:textId="406C934B" w:rsidR="007A7DCA" w:rsidRPr="002B3F36" w:rsidRDefault="007A7DCA" w:rsidP="007A7DCA">
            <w:pPr>
              <w:pStyle w:val="BulletTable"/>
              <w:rPr>
                <w:sz w:val="20"/>
                <w:szCs w:val="20"/>
              </w:rPr>
            </w:pPr>
            <w:r w:rsidRPr="002B3F36">
              <w:rPr>
                <w:sz w:val="20"/>
                <w:szCs w:val="20"/>
              </w:rPr>
              <w:t xml:space="preserve">Disturbance and displacement </w:t>
            </w:r>
          </w:p>
          <w:p w14:paraId="43B9A554" w14:textId="6147D4B5" w:rsidR="007A7DCA" w:rsidRPr="002B3F36" w:rsidRDefault="007A7DCA" w:rsidP="007A7DCA">
            <w:pPr>
              <w:pStyle w:val="BulletTable"/>
              <w:rPr>
                <w:sz w:val="20"/>
                <w:szCs w:val="20"/>
              </w:rPr>
            </w:pPr>
            <w:r w:rsidRPr="002B3F36">
              <w:rPr>
                <w:sz w:val="20"/>
                <w:szCs w:val="20"/>
              </w:rPr>
              <w:t xml:space="preserve">Fragmentation and barrier effects </w:t>
            </w:r>
          </w:p>
          <w:p w14:paraId="44086F24" w14:textId="1BB81D4A" w:rsidR="007A7DCA" w:rsidRPr="002B3F36" w:rsidRDefault="007A7DCA" w:rsidP="007A7DCA">
            <w:pPr>
              <w:pStyle w:val="BulletTable"/>
              <w:rPr>
                <w:sz w:val="20"/>
                <w:szCs w:val="20"/>
              </w:rPr>
            </w:pPr>
            <w:r w:rsidRPr="002B3F36">
              <w:rPr>
                <w:sz w:val="20"/>
                <w:szCs w:val="20"/>
              </w:rPr>
              <w:t xml:space="preserve">Pollution and contamination </w:t>
            </w:r>
          </w:p>
          <w:p w14:paraId="129C99F0" w14:textId="01486B31" w:rsidR="007A7DCA" w:rsidRPr="002B3F36" w:rsidRDefault="007A7DCA" w:rsidP="007A7DCA">
            <w:pPr>
              <w:pStyle w:val="BulletTable"/>
              <w:rPr>
                <w:sz w:val="20"/>
                <w:szCs w:val="20"/>
              </w:rPr>
            </w:pPr>
            <w:r w:rsidRPr="002B3F36">
              <w:rPr>
                <w:sz w:val="20"/>
                <w:szCs w:val="20"/>
              </w:rPr>
              <w:t xml:space="preserve">Direct mortality risks </w:t>
            </w:r>
          </w:p>
          <w:p w14:paraId="1CCA4835" w14:textId="5159129A" w:rsidR="007A7DCA" w:rsidRPr="002B3F36" w:rsidRDefault="007A7DCA" w:rsidP="007A7DCA">
            <w:pPr>
              <w:pStyle w:val="BulletTable"/>
              <w:rPr>
                <w:sz w:val="20"/>
                <w:szCs w:val="20"/>
              </w:rPr>
            </w:pPr>
            <w:r w:rsidRPr="002B3F36">
              <w:rPr>
                <w:sz w:val="20"/>
                <w:szCs w:val="20"/>
              </w:rPr>
              <w:t>Specific Impacts on existing habitats: natural and critical</w:t>
            </w:r>
          </w:p>
          <w:p w14:paraId="5B0B5A46" w14:textId="77777777" w:rsidR="00F61F8E" w:rsidRPr="002B3F36" w:rsidRDefault="00F61F8E">
            <w:pPr>
              <w:pStyle w:val="BulletTable"/>
              <w:numPr>
                <w:ilvl w:val="0"/>
                <w:numId w:val="0"/>
              </w:numPr>
              <w:ind w:left="338"/>
              <w:rPr>
                <w:color w:val="auto"/>
                <w:sz w:val="20"/>
                <w:szCs w:val="20"/>
              </w:rPr>
            </w:pPr>
          </w:p>
        </w:tc>
        <w:tc>
          <w:tcPr>
            <w:tcW w:w="5822" w:type="dxa"/>
          </w:tcPr>
          <w:p w14:paraId="29E8D14E" w14:textId="77777777" w:rsidR="007A7DCA" w:rsidRPr="002B3F36" w:rsidRDefault="007A7DCA" w:rsidP="007A7DCA">
            <w:pPr>
              <w:widowControl/>
              <w:autoSpaceDE/>
              <w:autoSpaceDN/>
              <w:jc w:val="both"/>
              <w:rPr>
                <w:rFonts w:ascii="Arial" w:eastAsia="Times New Roman" w:hAnsi="Arial" w:cs="Arial"/>
                <w:sz w:val="20"/>
                <w:szCs w:val="20"/>
              </w:rPr>
            </w:pPr>
            <w:r w:rsidRPr="002B3F36">
              <w:rPr>
                <w:rFonts w:ascii="Arial" w:eastAsia="Times New Roman" w:hAnsi="Arial" w:cs="Arial"/>
                <w:b/>
                <w:bCs/>
                <w:sz w:val="20"/>
                <w:szCs w:val="20"/>
              </w:rPr>
              <w:t>A. For Flora</w:t>
            </w:r>
          </w:p>
          <w:p w14:paraId="63B26EC8" w14:textId="77777777" w:rsidR="007A7DCA" w:rsidRPr="002B3F36" w:rsidRDefault="007A7DCA" w:rsidP="009B4CDB">
            <w:pPr>
              <w:widowControl/>
              <w:numPr>
                <w:ilvl w:val="0"/>
                <w:numId w:val="180"/>
              </w:numPr>
              <w:autoSpaceDE/>
              <w:autoSpaceDN/>
              <w:jc w:val="both"/>
              <w:rPr>
                <w:rFonts w:ascii="Arial" w:eastAsia="Times New Roman" w:hAnsi="Arial" w:cs="Arial"/>
                <w:sz w:val="20"/>
                <w:szCs w:val="20"/>
              </w:rPr>
            </w:pPr>
            <w:r w:rsidRPr="002B3F36">
              <w:rPr>
                <w:rFonts w:ascii="Arial" w:eastAsia="Times New Roman" w:hAnsi="Arial" w:cs="Arial"/>
                <w:sz w:val="20"/>
                <w:szCs w:val="20"/>
              </w:rPr>
              <w:t>Avoid clearing beyond the approved footprint; stake construction boundaries.</w:t>
            </w:r>
          </w:p>
          <w:p w14:paraId="4F50D981" w14:textId="1E2A6ED1" w:rsidR="007A7DCA" w:rsidRPr="002B3F36" w:rsidRDefault="004535A8" w:rsidP="009B4CDB">
            <w:pPr>
              <w:widowControl/>
              <w:numPr>
                <w:ilvl w:val="0"/>
                <w:numId w:val="180"/>
              </w:numPr>
              <w:autoSpaceDE/>
              <w:autoSpaceDN/>
              <w:jc w:val="both"/>
              <w:rPr>
                <w:rFonts w:ascii="Arial" w:eastAsia="Times New Roman" w:hAnsi="Arial" w:cs="Arial"/>
                <w:sz w:val="20"/>
                <w:szCs w:val="20"/>
              </w:rPr>
            </w:pPr>
            <w:r w:rsidRPr="002B3F36">
              <w:rPr>
                <w:rFonts w:ascii="Arial" w:eastAsia="Times New Roman" w:hAnsi="Arial" w:cs="Arial"/>
                <w:sz w:val="20"/>
                <w:szCs w:val="20"/>
              </w:rPr>
              <w:t>In case of encountering presence of mature trees, s</w:t>
            </w:r>
            <w:r w:rsidR="007A7DCA" w:rsidRPr="002B3F36">
              <w:rPr>
                <w:rFonts w:ascii="Arial" w:eastAsia="Times New Roman" w:hAnsi="Arial" w:cs="Arial"/>
                <w:sz w:val="20"/>
                <w:szCs w:val="20"/>
              </w:rPr>
              <w:t xml:space="preserve">ecure permits before tree cutting; comply with </w:t>
            </w:r>
            <w:r w:rsidR="003A184C">
              <w:rPr>
                <w:rFonts w:ascii="Arial" w:eastAsia="Times New Roman" w:hAnsi="Arial" w:cs="Arial"/>
                <w:sz w:val="20"/>
                <w:szCs w:val="20"/>
              </w:rPr>
              <w:t>Karagandy</w:t>
            </w:r>
            <w:r w:rsidR="007A7DCA" w:rsidRPr="002B3F36">
              <w:rPr>
                <w:rFonts w:ascii="Arial" w:eastAsia="Times New Roman" w:hAnsi="Arial" w:cs="Arial"/>
                <w:sz w:val="20"/>
                <w:szCs w:val="20"/>
              </w:rPr>
              <w:t xml:space="preserve"> maslikhat Decision No. 222 (29-Sep-2017) requiring </w:t>
            </w:r>
            <w:r w:rsidR="007A7DCA" w:rsidRPr="002B3F36">
              <w:rPr>
                <w:rFonts w:ascii="Arial" w:eastAsia="Times New Roman" w:hAnsi="Arial" w:cs="Arial"/>
                <w:b/>
                <w:bCs/>
                <w:sz w:val="20"/>
                <w:szCs w:val="20"/>
              </w:rPr>
              <w:t>10:1 compensatory planting</w:t>
            </w:r>
            <w:r w:rsidR="007A7DCA" w:rsidRPr="002B3F36">
              <w:rPr>
                <w:rFonts w:ascii="Arial" w:eastAsia="Times New Roman" w:hAnsi="Arial" w:cs="Arial"/>
                <w:sz w:val="20"/>
                <w:szCs w:val="20"/>
              </w:rPr>
              <w:t xml:space="preserve"> for each tree removed.</w:t>
            </w:r>
          </w:p>
          <w:p w14:paraId="6BB50473" w14:textId="77777777" w:rsidR="007A7DCA" w:rsidRPr="002B3F36" w:rsidRDefault="007A7DCA" w:rsidP="009B4CDB">
            <w:pPr>
              <w:widowControl/>
              <w:numPr>
                <w:ilvl w:val="0"/>
                <w:numId w:val="180"/>
              </w:numPr>
              <w:autoSpaceDE/>
              <w:autoSpaceDN/>
              <w:jc w:val="both"/>
              <w:rPr>
                <w:rFonts w:ascii="Arial" w:eastAsia="Times New Roman" w:hAnsi="Arial" w:cs="Arial"/>
                <w:sz w:val="20"/>
                <w:szCs w:val="20"/>
              </w:rPr>
            </w:pPr>
            <w:r w:rsidRPr="002B3F36">
              <w:rPr>
                <w:rFonts w:ascii="Arial" w:eastAsia="Times New Roman" w:hAnsi="Arial" w:cs="Arial"/>
                <w:sz w:val="20"/>
                <w:szCs w:val="20"/>
              </w:rPr>
              <w:t>Where feasible, transplant viable saplings/young trees; replant cleared areas with native steppe grasses and shrubs.</w:t>
            </w:r>
          </w:p>
          <w:p w14:paraId="1A78A0C6" w14:textId="77777777" w:rsidR="007A7DCA" w:rsidRPr="002B3F36" w:rsidRDefault="007A7DCA" w:rsidP="009B4CDB">
            <w:pPr>
              <w:widowControl/>
              <w:numPr>
                <w:ilvl w:val="0"/>
                <w:numId w:val="180"/>
              </w:numPr>
              <w:autoSpaceDE/>
              <w:autoSpaceDN/>
              <w:jc w:val="both"/>
              <w:rPr>
                <w:rFonts w:ascii="Arial" w:eastAsia="Times New Roman" w:hAnsi="Arial" w:cs="Arial"/>
                <w:sz w:val="20"/>
                <w:szCs w:val="20"/>
              </w:rPr>
            </w:pPr>
            <w:r w:rsidRPr="002B3F36">
              <w:rPr>
                <w:rFonts w:ascii="Arial" w:eastAsia="Times New Roman" w:hAnsi="Arial" w:cs="Arial"/>
                <w:sz w:val="20"/>
                <w:szCs w:val="20"/>
              </w:rPr>
              <w:t>Prohibit burning of dry grass and collection of wild berries or mushrooms by workers.</w:t>
            </w:r>
          </w:p>
          <w:p w14:paraId="20BC7C1C" w14:textId="77777777" w:rsidR="007A7DCA" w:rsidRPr="002B3F36" w:rsidRDefault="007A7DCA" w:rsidP="007A7DCA">
            <w:pPr>
              <w:widowControl/>
              <w:autoSpaceDE/>
              <w:autoSpaceDN/>
              <w:jc w:val="both"/>
              <w:rPr>
                <w:rFonts w:ascii="Arial" w:eastAsia="Times New Roman" w:hAnsi="Arial" w:cs="Arial"/>
                <w:sz w:val="20"/>
                <w:szCs w:val="20"/>
              </w:rPr>
            </w:pPr>
            <w:r w:rsidRPr="002B3F36">
              <w:rPr>
                <w:rFonts w:ascii="Arial" w:eastAsia="Times New Roman" w:hAnsi="Arial" w:cs="Arial"/>
                <w:b/>
                <w:bCs/>
                <w:sz w:val="20"/>
                <w:szCs w:val="20"/>
              </w:rPr>
              <w:t>B. For Fauna</w:t>
            </w:r>
          </w:p>
          <w:p w14:paraId="79F21024" w14:textId="77777777" w:rsidR="007A7DCA" w:rsidRPr="002B3F36" w:rsidRDefault="007A7DCA" w:rsidP="009B4CDB">
            <w:pPr>
              <w:widowControl/>
              <w:numPr>
                <w:ilvl w:val="0"/>
                <w:numId w:val="181"/>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Mammals (incl. Saiga)</w:t>
            </w:r>
            <w:r w:rsidRPr="002B3F36">
              <w:rPr>
                <w:rFonts w:ascii="Arial" w:eastAsia="Times New Roman" w:hAnsi="Arial" w:cs="Arial"/>
                <w:sz w:val="20"/>
                <w:szCs w:val="20"/>
              </w:rPr>
              <w:t>:</w:t>
            </w:r>
          </w:p>
          <w:p w14:paraId="56622A57"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Design and construct wildlife crossings (underpasses/overpasses/large culverts with natural substrate) at known saiga migration corridors, paired with guiding fencing and flattened embankment slopes (1:6–1:10).</w:t>
            </w:r>
          </w:p>
          <w:p w14:paraId="0EFF2FCA"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Install signage at crossing zones: bilingual warnings (“CAUTION! Possible crossing of wild animals!”) and enforce reduced speed limits (&lt;60 km/h).</w:t>
            </w:r>
          </w:p>
          <w:p w14:paraId="6ED9063D" w14:textId="77777777" w:rsidR="007A7DCA" w:rsidRPr="002B3F36" w:rsidRDefault="007A7DCA" w:rsidP="009B4CDB">
            <w:pPr>
              <w:widowControl/>
              <w:numPr>
                <w:ilvl w:val="0"/>
                <w:numId w:val="181"/>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Birds</w:t>
            </w:r>
            <w:r w:rsidRPr="002B3F36">
              <w:rPr>
                <w:rFonts w:ascii="Arial" w:eastAsia="Times New Roman" w:hAnsi="Arial" w:cs="Arial"/>
                <w:sz w:val="20"/>
                <w:szCs w:val="20"/>
              </w:rPr>
              <w:t>:</w:t>
            </w:r>
          </w:p>
          <w:p w14:paraId="16D1324C"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Schedule tree felling outside the nesting period (April–August). If unavoidable, conduct pre-clearance nest surveys.</w:t>
            </w:r>
          </w:p>
          <w:p w14:paraId="728342E1"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lastRenderedPageBreak/>
              <w:t xml:space="preserve">For every demolished raptor nest, install </w:t>
            </w:r>
            <w:r w:rsidRPr="002B3F36">
              <w:rPr>
                <w:rFonts w:ascii="Arial" w:eastAsia="Times New Roman" w:hAnsi="Arial" w:cs="Arial"/>
                <w:b/>
                <w:bCs/>
                <w:sz w:val="20"/>
                <w:szCs w:val="20"/>
              </w:rPr>
              <w:t>3 artificial nests</w:t>
            </w:r>
            <w:r w:rsidRPr="002B3F36">
              <w:rPr>
                <w:rFonts w:ascii="Arial" w:eastAsia="Times New Roman" w:hAnsi="Arial" w:cs="Arial"/>
                <w:sz w:val="20"/>
                <w:szCs w:val="20"/>
              </w:rPr>
              <w:t xml:space="preserve"> at safe locations ≥500 m from the alignment and 3–5 km apart.</w:t>
            </w:r>
          </w:p>
          <w:p w14:paraId="30A9B790"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Use bird-safe powerline designs (line marking, insulation, perch deterrents).</w:t>
            </w:r>
          </w:p>
          <w:p w14:paraId="79F3D2AB"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Adopt dark-sky compliant lighting: shielded LEDs, motion sensors, and curfew schedules during migration peaks.</w:t>
            </w:r>
          </w:p>
          <w:p w14:paraId="19E5F5A4" w14:textId="77777777" w:rsidR="007A7DCA" w:rsidRPr="002B3F36" w:rsidRDefault="007A7DCA" w:rsidP="009B4CDB">
            <w:pPr>
              <w:widowControl/>
              <w:numPr>
                <w:ilvl w:val="0"/>
                <w:numId w:val="181"/>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Reptiles/Amphibians</w:t>
            </w:r>
            <w:r w:rsidRPr="002B3F36">
              <w:rPr>
                <w:rFonts w:ascii="Arial" w:eastAsia="Times New Roman" w:hAnsi="Arial" w:cs="Arial"/>
                <w:sz w:val="20"/>
                <w:szCs w:val="20"/>
              </w:rPr>
              <w:t>:</w:t>
            </w:r>
          </w:p>
          <w:p w14:paraId="260D5073"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Coordinate works to avoid April–May breeding season.</w:t>
            </w:r>
          </w:p>
          <w:p w14:paraId="67D40445"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Inspect open trenches and pits daily; provide escape ramps and relocate trapped individuals to safe habitat.</w:t>
            </w:r>
          </w:p>
          <w:p w14:paraId="4BB4C99F" w14:textId="77777777" w:rsidR="007A7DCA" w:rsidRPr="002B3F36" w:rsidRDefault="007A7DCA" w:rsidP="009B4CDB">
            <w:pPr>
              <w:widowControl/>
              <w:numPr>
                <w:ilvl w:val="0"/>
                <w:numId w:val="181"/>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Fish and Aquatic Life</w:t>
            </w:r>
            <w:r w:rsidRPr="002B3F36">
              <w:rPr>
                <w:rFonts w:ascii="Arial" w:eastAsia="Times New Roman" w:hAnsi="Arial" w:cs="Arial"/>
                <w:sz w:val="20"/>
                <w:szCs w:val="20"/>
              </w:rPr>
              <w:t>:</w:t>
            </w:r>
          </w:p>
          <w:p w14:paraId="71A7AA95"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Fit intakes with fish-protection devices; avoid locating intakes at spawning/wintering grounds or juvenile feeding/migration areas.</w:t>
            </w:r>
          </w:p>
          <w:p w14:paraId="4847FD74"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Restrict abstraction during dusk/night feeding times.</w:t>
            </w:r>
          </w:p>
          <w:p w14:paraId="0CD33791" w14:textId="77777777" w:rsidR="007A7DCA" w:rsidRPr="002B3F36" w:rsidRDefault="007A7DCA" w:rsidP="009B4CDB">
            <w:pPr>
              <w:widowControl/>
              <w:numPr>
                <w:ilvl w:val="1"/>
                <w:numId w:val="181"/>
              </w:numPr>
              <w:autoSpaceDE/>
              <w:autoSpaceDN/>
              <w:jc w:val="both"/>
              <w:rPr>
                <w:rFonts w:ascii="Arial" w:eastAsia="Times New Roman" w:hAnsi="Arial" w:cs="Arial"/>
                <w:sz w:val="20"/>
                <w:szCs w:val="20"/>
              </w:rPr>
            </w:pPr>
            <w:r w:rsidRPr="002B3F36">
              <w:rPr>
                <w:rFonts w:ascii="Arial" w:eastAsia="Times New Roman" w:hAnsi="Arial" w:cs="Arial"/>
                <w:sz w:val="20"/>
                <w:szCs w:val="20"/>
              </w:rPr>
              <w:t>Prohibit washing/refueling in water protection zones; manage wastewater and spills away from riverbeds.</w:t>
            </w:r>
          </w:p>
          <w:p w14:paraId="1E0762C9" w14:textId="77777777" w:rsidR="007A7DCA" w:rsidRPr="002B3F36" w:rsidRDefault="007A7DCA" w:rsidP="007A7DCA">
            <w:pPr>
              <w:widowControl/>
              <w:autoSpaceDE/>
              <w:autoSpaceDN/>
              <w:jc w:val="both"/>
              <w:rPr>
                <w:rFonts w:ascii="Arial" w:eastAsia="Times New Roman" w:hAnsi="Arial" w:cs="Arial"/>
                <w:sz w:val="20"/>
                <w:szCs w:val="20"/>
              </w:rPr>
            </w:pPr>
            <w:r w:rsidRPr="002B3F36">
              <w:rPr>
                <w:rFonts w:ascii="Arial" w:eastAsia="Times New Roman" w:hAnsi="Arial" w:cs="Arial"/>
                <w:b/>
                <w:bCs/>
                <w:sz w:val="20"/>
                <w:szCs w:val="20"/>
              </w:rPr>
              <w:t>C. General Construction Controls</w:t>
            </w:r>
          </w:p>
          <w:p w14:paraId="1C6579D6" w14:textId="77777777" w:rsidR="007A7DCA" w:rsidRPr="002B3F36" w:rsidRDefault="007A7DCA" w:rsidP="009B4CDB">
            <w:pPr>
              <w:widowControl/>
              <w:numPr>
                <w:ilvl w:val="0"/>
                <w:numId w:val="182"/>
              </w:numPr>
              <w:autoSpaceDE/>
              <w:autoSpaceDN/>
              <w:jc w:val="both"/>
              <w:rPr>
                <w:rFonts w:ascii="Arial" w:eastAsia="Times New Roman" w:hAnsi="Arial" w:cs="Arial"/>
                <w:sz w:val="20"/>
                <w:szCs w:val="20"/>
              </w:rPr>
            </w:pPr>
            <w:r w:rsidRPr="002B3F36">
              <w:rPr>
                <w:rFonts w:ascii="Arial" w:eastAsia="Times New Roman" w:hAnsi="Arial" w:cs="Arial"/>
                <w:sz w:val="20"/>
                <w:szCs w:val="20"/>
              </w:rPr>
              <w:t>Enforce a strict no-hunting, no-trapping, and no-harvesting policy for workers.</w:t>
            </w:r>
          </w:p>
          <w:p w14:paraId="7BFFBEC9" w14:textId="77777777" w:rsidR="007A7DCA" w:rsidRPr="002B3F36" w:rsidRDefault="007A7DCA" w:rsidP="009B4CDB">
            <w:pPr>
              <w:widowControl/>
              <w:numPr>
                <w:ilvl w:val="0"/>
                <w:numId w:val="182"/>
              </w:numPr>
              <w:autoSpaceDE/>
              <w:autoSpaceDN/>
              <w:jc w:val="both"/>
              <w:rPr>
                <w:rFonts w:ascii="Arial" w:eastAsia="Times New Roman" w:hAnsi="Arial" w:cs="Arial"/>
                <w:sz w:val="20"/>
                <w:szCs w:val="20"/>
              </w:rPr>
            </w:pPr>
            <w:r w:rsidRPr="002B3F36">
              <w:rPr>
                <w:rFonts w:ascii="Arial" w:eastAsia="Times New Roman" w:hAnsi="Arial" w:cs="Arial"/>
                <w:sz w:val="20"/>
                <w:szCs w:val="20"/>
              </w:rPr>
              <w:t>Implement erosion, sediment, and spill prevention measures to protect habitats.</w:t>
            </w:r>
          </w:p>
          <w:p w14:paraId="1D472021" w14:textId="77777777" w:rsidR="007A7DCA" w:rsidRPr="002B3F36" w:rsidRDefault="007A7DCA" w:rsidP="009B4CDB">
            <w:pPr>
              <w:widowControl/>
              <w:numPr>
                <w:ilvl w:val="0"/>
                <w:numId w:val="182"/>
              </w:numPr>
              <w:autoSpaceDE/>
              <w:autoSpaceDN/>
              <w:jc w:val="both"/>
              <w:rPr>
                <w:rFonts w:ascii="Arial" w:eastAsia="Times New Roman" w:hAnsi="Arial" w:cs="Arial"/>
                <w:sz w:val="20"/>
                <w:szCs w:val="20"/>
              </w:rPr>
            </w:pPr>
            <w:r w:rsidRPr="002B3F36">
              <w:rPr>
                <w:rFonts w:ascii="Arial" w:eastAsia="Times New Roman" w:hAnsi="Arial" w:cs="Arial"/>
                <w:sz w:val="20"/>
                <w:szCs w:val="20"/>
              </w:rPr>
              <w:t>Locate temporary camps and workshops outside riparian protection zones.</w:t>
            </w:r>
          </w:p>
          <w:p w14:paraId="4CA8563F" w14:textId="77777777" w:rsidR="007A7DCA" w:rsidRPr="002B3F36" w:rsidRDefault="007A7DCA" w:rsidP="007A7DCA">
            <w:pPr>
              <w:widowControl/>
              <w:autoSpaceDE/>
              <w:autoSpaceDN/>
              <w:jc w:val="both"/>
              <w:rPr>
                <w:rFonts w:ascii="Arial" w:eastAsia="Times New Roman" w:hAnsi="Arial" w:cs="Arial"/>
                <w:b/>
                <w:bCs/>
                <w:sz w:val="20"/>
                <w:szCs w:val="20"/>
              </w:rPr>
            </w:pPr>
            <w:r w:rsidRPr="002B3F36">
              <w:rPr>
                <w:rFonts w:ascii="Arial" w:eastAsia="Times New Roman" w:hAnsi="Arial" w:cs="Arial"/>
                <w:b/>
                <w:bCs/>
                <w:sz w:val="20"/>
                <w:szCs w:val="20"/>
              </w:rPr>
              <w:t>D. Restoration &amp; Offsets</w:t>
            </w:r>
          </w:p>
          <w:p w14:paraId="71019AEE" w14:textId="77777777" w:rsidR="007A7DCA" w:rsidRPr="002B3F36" w:rsidRDefault="007A7DCA" w:rsidP="009B4CDB">
            <w:pPr>
              <w:widowControl/>
              <w:numPr>
                <w:ilvl w:val="0"/>
                <w:numId w:val="183"/>
              </w:numPr>
              <w:autoSpaceDE/>
              <w:autoSpaceDN/>
              <w:jc w:val="both"/>
              <w:rPr>
                <w:rFonts w:ascii="Arial" w:eastAsia="Times New Roman" w:hAnsi="Arial" w:cs="Arial"/>
                <w:sz w:val="20"/>
                <w:szCs w:val="20"/>
              </w:rPr>
            </w:pPr>
            <w:r w:rsidRPr="002B3F36">
              <w:rPr>
                <w:rFonts w:ascii="Arial" w:eastAsia="Times New Roman" w:hAnsi="Arial" w:cs="Arial"/>
                <w:sz w:val="20"/>
                <w:szCs w:val="20"/>
              </w:rPr>
              <w:t>Progressive restoration of disturbed areas with salvaged topsoil and reseeding of native species.</w:t>
            </w:r>
          </w:p>
          <w:p w14:paraId="65A199D0" w14:textId="77777777" w:rsidR="007A7DCA" w:rsidRPr="002B3F36" w:rsidRDefault="007A7DCA" w:rsidP="009B4CDB">
            <w:pPr>
              <w:widowControl/>
              <w:numPr>
                <w:ilvl w:val="0"/>
                <w:numId w:val="183"/>
              </w:numPr>
              <w:autoSpaceDE/>
              <w:autoSpaceDN/>
              <w:jc w:val="both"/>
              <w:rPr>
                <w:rFonts w:ascii="Arial" w:eastAsia="Times New Roman" w:hAnsi="Arial" w:cs="Arial"/>
                <w:sz w:val="20"/>
                <w:szCs w:val="20"/>
              </w:rPr>
            </w:pPr>
            <w:r w:rsidRPr="002B3F36">
              <w:rPr>
                <w:rFonts w:ascii="Arial" w:eastAsia="Times New Roman" w:hAnsi="Arial" w:cs="Arial"/>
                <w:sz w:val="20"/>
                <w:szCs w:val="20"/>
              </w:rPr>
              <w:t>Implement measurable vegetation recovery criteria (e.g., ≥70% cover within two growing seasons).</w:t>
            </w:r>
          </w:p>
          <w:p w14:paraId="0396BC6C" w14:textId="77777777" w:rsidR="007A7DCA" w:rsidRPr="002B3F36" w:rsidRDefault="007A7DCA" w:rsidP="009B4CDB">
            <w:pPr>
              <w:widowControl/>
              <w:numPr>
                <w:ilvl w:val="0"/>
                <w:numId w:val="183"/>
              </w:numPr>
              <w:autoSpaceDE/>
              <w:autoSpaceDN/>
              <w:jc w:val="both"/>
              <w:rPr>
                <w:rFonts w:ascii="Arial" w:eastAsia="Times New Roman" w:hAnsi="Arial" w:cs="Arial"/>
                <w:sz w:val="20"/>
                <w:szCs w:val="20"/>
              </w:rPr>
            </w:pPr>
            <w:r w:rsidRPr="002B3F36">
              <w:rPr>
                <w:rFonts w:ascii="Arial" w:eastAsia="Times New Roman" w:hAnsi="Arial" w:cs="Arial"/>
                <w:sz w:val="20"/>
                <w:szCs w:val="20"/>
              </w:rPr>
              <w:t xml:space="preserve">Where critical habitats are confirmed, adopt a </w:t>
            </w:r>
            <w:r w:rsidRPr="002B3F36">
              <w:rPr>
                <w:rFonts w:ascii="Arial" w:eastAsia="Times New Roman" w:hAnsi="Arial" w:cs="Arial"/>
                <w:b/>
                <w:bCs/>
                <w:sz w:val="20"/>
                <w:szCs w:val="20"/>
              </w:rPr>
              <w:t>No Net Loss/Net Gain</w:t>
            </w:r>
            <w:r w:rsidRPr="002B3F36">
              <w:rPr>
                <w:rFonts w:ascii="Arial" w:eastAsia="Times New Roman" w:hAnsi="Arial" w:cs="Arial"/>
                <w:sz w:val="20"/>
                <w:szCs w:val="20"/>
              </w:rPr>
              <w:t xml:space="preserve"> approach, including biodiversity offsets in consultation with authorities/NGOs.</w:t>
            </w:r>
          </w:p>
          <w:p w14:paraId="48C73860" w14:textId="77777777" w:rsidR="007A7DCA" w:rsidRPr="002B3F36" w:rsidRDefault="007A7DCA" w:rsidP="007A7DCA">
            <w:pPr>
              <w:widowControl/>
              <w:autoSpaceDE/>
              <w:autoSpaceDN/>
              <w:jc w:val="both"/>
              <w:rPr>
                <w:rFonts w:ascii="Arial" w:eastAsia="Times New Roman" w:hAnsi="Arial" w:cs="Arial"/>
                <w:b/>
                <w:bCs/>
                <w:sz w:val="20"/>
                <w:szCs w:val="20"/>
              </w:rPr>
            </w:pPr>
            <w:r w:rsidRPr="002B3F36">
              <w:rPr>
                <w:rFonts w:ascii="Arial" w:eastAsia="Times New Roman" w:hAnsi="Arial" w:cs="Arial"/>
                <w:b/>
                <w:bCs/>
                <w:sz w:val="20"/>
                <w:szCs w:val="20"/>
              </w:rPr>
              <w:lastRenderedPageBreak/>
              <w:t>E. Monitoring &amp; Adaptive Management</w:t>
            </w:r>
          </w:p>
          <w:p w14:paraId="1DCA9D1C" w14:textId="77777777" w:rsidR="007A7DCA" w:rsidRPr="002B3F36" w:rsidRDefault="007A7DCA" w:rsidP="009B4CDB">
            <w:pPr>
              <w:widowControl/>
              <w:numPr>
                <w:ilvl w:val="0"/>
                <w:numId w:val="184"/>
              </w:numPr>
              <w:autoSpaceDE/>
              <w:autoSpaceDN/>
              <w:jc w:val="both"/>
              <w:rPr>
                <w:rFonts w:ascii="Arial" w:eastAsia="Times New Roman" w:hAnsi="Arial" w:cs="Arial"/>
                <w:sz w:val="20"/>
                <w:szCs w:val="20"/>
              </w:rPr>
            </w:pPr>
            <w:r w:rsidRPr="002B3F36">
              <w:rPr>
                <w:rFonts w:ascii="Arial" w:eastAsia="Times New Roman" w:hAnsi="Arial" w:cs="Arial"/>
                <w:sz w:val="20"/>
                <w:szCs w:val="20"/>
              </w:rPr>
              <w:t>Conduct pre-construction biodiversity surveys to update species presence (e.g., nesting raptors, saiga routes, herpetofauna hotspots).</w:t>
            </w:r>
          </w:p>
          <w:p w14:paraId="00F9F3AC" w14:textId="77777777" w:rsidR="007A7DCA" w:rsidRPr="002B3F36" w:rsidRDefault="007A7DCA" w:rsidP="009B4CDB">
            <w:pPr>
              <w:widowControl/>
              <w:numPr>
                <w:ilvl w:val="0"/>
                <w:numId w:val="184"/>
              </w:numPr>
              <w:autoSpaceDE/>
              <w:autoSpaceDN/>
              <w:jc w:val="both"/>
              <w:rPr>
                <w:rFonts w:ascii="Arial" w:eastAsia="Times New Roman" w:hAnsi="Arial" w:cs="Arial"/>
                <w:sz w:val="20"/>
                <w:szCs w:val="20"/>
              </w:rPr>
            </w:pPr>
            <w:r w:rsidRPr="002B3F36">
              <w:rPr>
                <w:rFonts w:ascii="Arial" w:eastAsia="Times New Roman" w:hAnsi="Arial" w:cs="Arial"/>
                <w:sz w:val="20"/>
                <w:szCs w:val="20"/>
              </w:rPr>
              <w:t>Monitor wildlife passage usage with camera traps and track pads; adapt fencing and crossing design if utilization is low.</w:t>
            </w:r>
          </w:p>
          <w:p w14:paraId="1005BF51" w14:textId="77777777" w:rsidR="007A7DCA" w:rsidRPr="002B3F36" w:rsidRDefault="007A7DCA" w:rsidP="009B4CDB">
            <w:pPr>
              <w:widowControl/>
              <w:numPr>
                <w:ilvl w:val="0"/>
                <w:numId w:val="184"/>
              </w:numPr>
              <w:autoSpaceDE/>
              <w:autoSpaceDN/>
              <w:jc w:val="both"/>
              <w:rPr>
                <w:rFonts w:ascii="Arial" w:eastAsia="Times New Roman" w:hAnsi="Arial" w:cs="Arial"/>
                <w:sz w:val="20"/>
                <w:szCs w:val="20"/>
              </w:rPr>
            </w:pPr>
            <w:r w:rsidRPr="002B3F36">
              <w:rPr>
                <w:rFonts w:ascii="Arial" w:eastAsia="Times New Roman" w:hAnsi="Arial" w:cs="Arial"/>
                <w:sz w:val="20"/>
                <w:szCs w:val="20"/>
              </w:rPr>
              <w:t>Track revegetation success and invasive species control; adjust methods as needed.</w:t>
            </w:r>
          </w:p>
          <w:p w14:paraId="478931E3" w14:textId="77777777" w:rsidR="007A7DCA" w:rsidRPr="002B3F36" w:rsidRDefault="007A7DCA" w:rsidP="009B4CDB">
            <w:pPr>
              <w:widowControl/>
              <w:numPr>
                <w:ilvl w:val="0"/>
                <w:numId w:val="184"/>
              </w:numPr>
              <w:autoSpaceDE/>
              <w:autoSpaceDN/>
              <w:jc w:val="both"/>
              <w:rPr>
                <w:rFonts w:ascii="Arial" w:eastAsia="Times New Roman" w:hAnsi="Arial" w:cs="Arial"/>
                <w:sz w:val="20"/>
                <w:szCs w:val="20"/>
              </w:rPr>
            </w:pPr>
            <w:r w:rsidRPr="002B3F36">
              <w:rPr>
                <w:rFonts w:ascii="Arial" w:eastAsia="Times New Roman" w:hAnsi="Arial" w:cs="Arial"/>
                <w:sz w:val="20"/>
                <w:szCs w:val="20"/>
              </w:rPr>
              <w:t>Report on biodiversity KPIs in monthly/quarterly ESMP monitoring, including nest occupancy, trench fauna rescue records, and saiga crossing effectiveness.</w:t>
            </w:r>
          </w:p>
          <w:p w14:paraId="63645335" w14:textId="77777777" w:rsidR="00F61F8E" w:rsidRPr="002B3F36" w:rsidRDefault="00F61F8E" w:rsidP="007A7DCA">
            <w:pPr>
              <w:pStyle w:val="BulletTable"/>
              <w:numPr>
                <w:ilvl w:val="0"/>
                <w:numId w:val="0"/>
              </w:numPr>
              <w:tabs>
                <w:tab w:val="clear" w:pos="540"/>
                <w:tab w:val="clear" w:pos="542"/>
              </w:tabs>
              <w:ind w:left="317"/>
              <w:rPr>
                <w:color w:val="auto"/>
                <w:sz w:val="20"/>
                <w:szCs w:val="20"/>
              </w:rPr>
            </w:pPr>
          </w:p>
        </w:tc>
        <w:tc>
          <w:tcPr>
            <w:tcW w:w="1751" w:type="dxa"/>
          </w:tcPr>
          <w:p w14:paraId="1AD8F2EB" w14:textId="77777777" w:rsidR="00F61F8E" w:rsidRPr="002B3F36" w:rsidRDefault="000F264B">
            <w:pPr>
              <w:shd w:val="clear" w:color="auto" w:fill="FFFFFF"/>
              <w:suppressAutoHyphens/>
              <w:jc w:val="center"/>
              <w:rPr>
                <w:rFonts w:ascii="Arial" w:eastAsia="Arial" w:hAnsi="Arial" w:cs="Arial"/>
                <w:sz w:val="20"/>
                <w:szCs w:val="20"/>
                <w:u w:val="single"/>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0FEBF2F9" w14:textId="77777777" w:rsidR="00F61F8E" w:rsidRPr="002B3F36" w:rsidRDefault="000F264B">
            <w:pPr>
              <w:shd w:val="clear" w:color="auto" w:fill="FFFFFF"/>
              <w:suppressAutoHyphens/>
              <w:jc w:val="center"/>
              <w:rPr>
                <w:rFonts w:ascii="Arial" w:hAnsi="Arial" w:cs="Arial"/>
                <w:sz w:val="20"/>
                <w:szCs w:val="20"/>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0CE4DC78" w14:textId="77777777" w:rsidTr="0089733D">
        <w:tblPrEx>
          <w:jc w:val="center"/>
          <w:tblInd w:w="0" w:type="dxa"/>
        </w:tblPrEx>
        <w:trPr>
          <w:jc w:val="center"/>
        </w:trPr>
        <w:tc>
          <w:tcPr>
            <w:tcW w:w="1180" w:type="dxa"/>
          </w:tcPr>
          <w:p w14:paraId="7602DF6D" w14:textId="77777777" w:rsidR="00F61F8E" w:rsidRPr="002B3F36" w:rsidRDefault="000F264B">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lastRenderedPageBreak/>
              <w:t>Protected Areas</w:t>
            </w:r>
          </w:p>
        </w:tc>
        <w:tc>
          <w:tcPr>
            <w:tcW w:w="1180" w:type="dxa"/>
          </w:tcPr>
          <w:p w14:paraId="67425BA6" w14:textId="77777777" w:rsidR="00F61F8E" w:rsidRPr="002B3F36" w:rsidRDefault="000F264B">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t>Protected Areas impacts by construction</w:t>
            </w:r>
          </w:p>
        </w:tc>
        <w:tc>
          <w:tcPr>
            <w:tcW w:w="3225" w:type="dxa"/>
          </w:tcPr>
          <w:p w14:paraId="664E2B29" w14:textId="37FC4304" w:rsidR="0086386C" w:rsidRPr="002B3F36" w:rsidRDefault="0086386C" w:rsidP="0086386C">
            <w:pPr>
              <w:pStyle w:val="BulletTable"/>
              <w:rPr>
                <w:sz w:val="20"/>
                <w:szCs w:val="20"/>
              </w:rPr>
            </w:pPr>
            <w:r w:rsidRPr="002B3F36">
              <w:rPr>
                <w:sz w:val="20"/>
                <w:szCs w:val="20"/>
              </w:rPr>
              <w:t xml:space="preserve">Habitat loss and degradation </w:t>
            </w:r>
          </w:p>
          <w:p w14:paraId="5FDA9E55" w14:textId="63A3B35D" w:rsidR="0086386C" w:rsidRPr="002B3F36" w:rsidRDefault="0086386C" w:rsidP="0086386C">
            <w:pPr>
              <w:pStyle w:val="BulletTable"/>
              <w:rPr>
                <w:sz w:val="20"/>
                <w:szCs w:val="20"/>
              </w:rPr>
            </w:pPr>
            <w:r w:rsidRPr="002B3F36">
              <w:rPr>
                <w:sz w:val="20"/>
                <w:szCs w:val="20"/>
              </w:rPr>
              <w:t>Disturbance to nesting and migratory birds.</w:t>
            </w:r>
          </w:p>
          <w:p w14:paraId="60F905EF" w14:textId="12922E39" w:rsidR="0086386C" w:rsidRPr="002B3F36" w:rsidRDefault="0086386C" w:rsidP="0086386C">
            <w:pPr>
              <w:pStyle w:val="BulletTable"/>
              <w:rPr>
                <w:sz w:val="20"/>
                <w:szCs w:val="20"/>
              </w:rPr>
            </w:pPr>
            <w:r w:rsidRPr="002B3F36">
              <w:rPr>
                <w:sz w:val="20"/>
                <w:szCs w:val="20"/>
              </w:rPr>
              <w:t>Collision and electrocution</w:t>
            </w:r>
          </w:p>
          <w:p w14:paraId="4C65809C" w14:textId="11FE1C39" w:rsidR="0086386C" w:rsidRPr="002B3F36" w:rsidRDefault="0086386C" w:rsidP="0086386C">
            <w:pPr>
              <w:pStyle w:val="BulletTable"/>
              <w:rPr>
                <w:sz w:val="20"/>
                <w:szCs w:val="20"/>
              </w:rPr>
            </w:pPr>
            <w:r w:rsidRPr="002B3F36">
              <w:rPr>
                <w:sz w:val="20"/>
                <w:szCs w:val="20"/>
              </w:rPr>
              <w:t xml:space="preserve">Fragmentation and barrier effects </w:t>
            </w:r>
          </w:p>
          <w:p w14:paraId="40FE8827" w14:textId="5C8D7A4A" w:rsidR="00F61F8E" w:rsidRPr="002B3F36" w:rsidRDefault="0086386C" w:rsidP="0086386C">
            <w:pPr>
              <w:pStyle w:val="BulletTable"/>
              <w:rPr>
                <w:color w:val="auto"/>
                <w:sz w:val="20"/>
                <w:szCs w:val="20"/>
              </w:rPr>
            </w:pPr>
            <w:r w:rsidRPr="002B3F36">
              <w:rPr>
                <w:sz w:val="20"/>
                <w:szCs w:val="20"/>
              </w:rPr>
              <w:t xml:space="preserve">Pollution and hydrological alteration </w:t>
            </w:r>
          </w:p>
        </w:tc>
        <w:tc>
          <w:tcPr>
            <w:tcW w:w="5822" w:type="dxa"/>
          </w:tcPr>
          <w:p w14:paraId="70B71A5B" w14:textId="77777777" w:rsidR="00827137" w:rsidRPr="002B3F36" w:rsidRDefault="00827137" w:rsidP="0086386C">
            <w:pPr>
              <w:pStyle w:val="aff9"/>
              <w:spacing w:before="0" w:beforeAutospacing="0" w:after="0" w:afterAutospacing="0"/>
              <w:jc w:val="both"/>
              <w:rPr>
                <w:rFonts w:ascii="Arial" w:hAnsi="Arial" w:cs="Arial"/>
                <w:sz w:val="20"/>
                <w:szCs w:val="20"/>
              </w:rPr>
            </w:pPr>
            <w:r w:rsidRPr="002B3F36">
              <w:rPr>
                <w:rStyle w:val="affffb"/>
                <w:sz w:val="20"/>
                <w:szCs w:val="20"/>
              </w:rPr>
              <w:t>A) Avoidance &amp; Design Integration</w:t>
            </w:r>
          </w:p>
          <w:p w14:paraId="3B7B012E" w14:textId="77777777" w:rsidR="00827137" w:rsidRPr="002B3F36" w:rsidRDefault="00827137" w:rsidP="009B4CDB">
            <w:pPr>
              <w:pStyle w:val="aff9"/>
              <w:numPr>
                <w:ilvl w:val="0"/>
                <w:numId w:val="185"/>
              </w:numPr>
              <w:spacing w:before="0" w:beforeAutospacing="0" w:after="0" w:afterAutospacing="0"/>
              <w:jc w:val="both"/>
              <w:rPr>
                <w:rFonts w:ascii="Arial" w:hAnsi="Arial" w:cs="Arial"/>
                <w:sz w:val="20"/>
                <w:szCs w:val="20"/>
              </w:rPr>
            </w:pPr>
            <w:r w:rsidRPr="002B3F36">
              <w:rPr>
                <w:rStyle w:val="affffb"/>
                <w:sz w:val="20"/>
                <w:szCs w:val="20"/>
              </w:rPr>
              <w:t>Micro-siting/footprint discipline:</w:t>
            </w:r>
            <w:r w:rsidRPr="002B3F36">
              <w:rPr>
                <w:rFonts w:ascii="Arial" w:hAnsi="Arial" w:cs="Arial"/>
                <w:sz w:val="20"/>
                <w:szCs w:val="20"/>
              </w:rPr>
              <w:t xml:space="preserve"> Place camps/plants/laydown on previously disturbed land; minimize clearing in intact steppe/riparian patches and near nest trees.</w:t>
            </w:r>
          </w:p>
          <w:p w14:paraId="78E91FBE" w14:textId="77777777" w:rsidR="00827137" w:rsidRPr="002B3F36" w:rsidRDefault="00827137" w:rsidP="009B4CDB">
            <w:pPr>
              <w:pStyle w:val="aff9"/>
              <w:numPr>
                <w:ilvl w:val="0"/>
                <w:numId w:val="185"/>
              </w:numPr>
              <w:spacing w:before="0" w:beforeAutospacing="0" w:after="0" w:afterAutospacing="0"/>
              <w:jc w:val="both"/>
              <w:rPr>
                <w:rFonts w:ascii="Arial" w:hAnsi="Arial" w:cs="Arial"/>
                <w:sz w:val="20"/>
                <w:szCs w:val="20"/>
              </w:rPr>
            </w:pPr>
            <w:r w:rsidRPr="002B3F36">
              <w:rPr>
                <w:rStyle w:val="affffb"/>
                <w:sz w:val="20"/>
                <w:szCs w:val="20"/>
              </w:rPr>
              <w:t>Wildlife permeability:</w:t>
            </w:r>
            <w:r w:rsidRPr="002B3F36">
              <w:rPr>
                <w:rFonts w:ascii="Arial" w:hAnsi="Arial" w:cs="Arial"/>
                <w:sz w:val="20"/>
                <w:szCs w:val="20"/>
              </w:rPr>
              <w:t xml:space="preserve"> Provide </w:t>
            </w:r>
            <w:r w:rsidRPr="002B3F36">
              <w:rPr>
                <w:rStyle w:val="affffb"/>
                <w:sz w:val="20"/>
                <w:szCs w:val="20"/>
              </w:rPr>
              <w:t>wildlife passages</w:t>
            </w:r>
            <w:r w:rsidRPr="002B3F36">
              <w:rPr>
                <w:rFonts w:ascii="Arial" w:hAnsi="Arial" w:cs="Arial"/>
                <w:sz w:val="20"/>
                <w:szCs w:val="20"/>
              </w:rPr>
              <w:t xml:space="preserve"> (underpasses/large culverts with natural substrate; overpasses where justified) at mapped </w:t>
            </w:r>
            <w:r w:rsidRPr="002B3F36">
              <w:rPr>
                <w:rStyle w:val="affffb"/>
                <w:sz w:val="20"/>
                <w:szCs w:val="20"/>
              </w:rPr>
              <w:t>saiga and livestock corridors</w:t>
            </w:r>
            <w:r w:rsidRPr="002B3F36">
              <w:rPr>
                <w:rFonts w:ascii="Arial" w:hAnsi="Arial" w:cs="Arial"/>
                <w:sz w:val="20"/>
                <w:szCs w:val="20"/>
              </w:rPr>
              <w:t xml:space="preserve">; pair with </w:t>
            </w:r>
            <w:r w:rsidRPr="002B3F36">
              <w:rPr>
                <w:rStyle w:val="affffb"/>
                <w:sz w:val="20"/>
                <w:szCs w:val="20"/>
              </w:rPr>
              <w:t>funneling fencing (whenever practical and necessary)</w:t>
            </w:r>
            <w:r w:rsidRPr="002B3F36">
              <w:rPr>
                <w:rFonts w:ascii="Arial" w:hAnsi="Arial" w:cs="Arial"/>
                <w:sz w:val="20"/>
                <w:szCs w:val="20"/>
              </w:rPr>
              <w:t xml:space="preserve"> and </w:t>
            </w:r>
            <w:r w:rsidRPr="002B3F36">
              <w:rPr>
                <w:rStyle w:val="affffb"/>
                <w:sz w:val="20"/>
                <w:szCs w:val="20"/>
              </w:rPr>
              <w:t>flattened approach slopes</w:t>
            </w:r>
            <w:r w:rsidRPr="002B3F36">
              <w:rPr>
                <w:rFonts w:ascii="Arial" w:hAnsi="Arial" w:cs="Arial"/>
                <w:sz w:val="20"/>
                <w:szCs w:val="20"/>
              </w:rPr>
              <w:t xml:space="preserve"> (≈1:6–1:10) to guide crossings.</w:t>
            </w:r>
          </w:p>
          <w:p w14:paraId="2273BAA8" w14:textId="77777777" w:rsidR="00827137" w:rsidRPr="002B3F36" w:rsidRDefault="00827137" w:rsidP="009B4CDB">
            <w:pPr>
              <w:pStyle w:val="aff9"/>
              <w:numPr>
                <w:ilvl w:val="0"/>
                <w:numId w:val="185"/>
              </w:numPr>
              <w:spacing w:before="0" w:beforeAutospacing="0" w:after="0" w:afterAutospacing="0"/>
              <w:jc w:val="both"/>
              <w:rPr>
                <w:rFonts w:ascii="Arial" w:hAnsi="Arial" w:cs="Arial"/>
                <w:sz w:val="20"/>
                <w:szCs w:val="20"/>
              </w:rPr>
            </w:pPr>
            <w:r w:rsidRPr="002B3F36">
              <w:rPr>
                <w:rStyle w:val="affffb"/>
                <w:sz w:val="20"/>
                <w:szCs w:val="20"/>
              </w:rPr>
              <w:t>Avian-safe power lines:</w:t>
            </w:r>
            <w:r w:rsidRPr="002B3F36">
              <w:rPr>
                <w:rFonts w:ascii="Arial" w:hAnsi="Arial" w:cs="Arial"/>
                <w:sz w:val="20"/>
                <w:szCs w:val="20"/>
              </w:rPr>
              <w:t xml:space="preserve"> Fit line markers/diverters, insulate hazardous hardware, and use perch deterrents on sensitive spans.</w:t>
            </w:r>
          </w:p>
          <w:p w14:paraId="4CCC719B" w14:textId="77777777" w:rsidR="00827137" w:rsidRPr="002B3F36" w:rsidRDefault="00827137" w:rsidP="0086386C">
            <w:pPr>
              <w:pStyle w:val="aff9"/>
              <w:spacing w:before="0" w:beforeAutospacing="0" w:after="0" w:afterAutospacing="0"/>
              <w:jc w:val="both"/>
              <w:rPr>
                <w:rStyle w:val="affffb"/>
                <w:sz w:val="20"/>
                <w:szCs w:val="20"/>
              </w:rPr>
            </w:pPr>
            <w:r w:rsidRPr="002B3F36">
              <w:rPr>
                <w:rStyle w:val="affffb"/>
                <w:sz w:val="20"/>
                <w:szCs w:val="20"/>
              </w:rPr>
              <w:t>B) Time-of-Year Restrictions</w:t>
            </w:r>
          </w:p>
          <w:p w14:paraId="5A2F3873" w14:textId="77777777" w:rsidR="00827137" w:rsidRPr="002B3F36" w:rsidRDefault="00827137" w:rsidP="009B4CDB">
            <w:pPr>
              <w:pStyle w:val="aff9"/>
              <w:numPr>
                <w:ilvl w:val="0"/>
                <w:numId w:val="186"/>
              </w:numPr>
              <w:spacing w:before="0" w:beforeAutospacing="0" w:after="0" w:afterAutospacing="0"/>
              <w:jc w:val="both"/>
              <w:rPr>
                <w:rFonts w:ascii="Arial" w:hAnsi="Arial" w:cs="Arial"/>
                <w:sz w:val="20"/>
                <w:szCs w:val="20"/>
              </w:rPr>
            </w:pPr>
            <w:r w:rsidRPr="002B3F36">
              <w:rPr>
                <w:rStyle w:val="affffb"/>
                <w:sz w:val="20"/>
                <w:szCs w:val="20"/>
              </w:rPr>
              <w:t>Vegetation clearing:</w:t>
            </w:r>
            <w:r w:rsidRPr="002B3F36">
              <w:rPr>
                <w:rFonts w:ascii="Arial" w:hAnsi="Arial" w:cs="Arial"/>
                <w:sz w:val="20"/>
                <w:szCs w:val="20"/>
              </w:rPr>
              <w:t xml:space="preserve"> Outside </w:t>
            </w:r>
            <w:r w:rsidRPr="002B3F36">
              <w:rPr>
                <w:rStyle w:val="affffb"/>
                <w:sz w:val="20"/>
                <w:szCs w:val="20"/>
              </w:rPr>
              <w:t>April–August</w:t>
            </w:r>
            <w:r w:rsidRPr="002B3F36">
              <w:rPr>
                <w:rFonts w:ascii="Arial" w:hAnsi="Arial" w:cs="Arial"/>
                <w:sz w:val="20"/>
                <w:szCs w:val="20"/>
              </w:rPr>
              <w:t xml:space="preserve"> nesting season; if unavoidable, conduct pre-clearance nest surveys and implement species-specific buffers.</w:t>
            </w:r>
          </w:p>
          <w:p w14:paraId="60957841" w14:textId="77777777" w:rsidR="00827137" w:rsidRPr="002B3F36" w:rsidRDefault="00827137" w:rsidP="009B4CDB">
            <w:pPr>
              <w:pStyle w:val="aff9"/>
              <w:numPr>
                <w:ilvl w:val="0"/>
                <w:numId w:val="186"/>
              </w:numPr>
              <w:spacing w:before="0" w:beforeAutospacing="0" w:after="0" w:afterAutospacing="0"/>
              <w:jc w:val="both"/>
              <w:rPr>
                <w:rFonts w:ascii="Arial" w:hAnsi="Arial" w:cs="Arial"/>
                <w:sz w:val="20"/>
                <w:szCs w:val="20"/>
              </w:rPr>
            </w:pPr>
            <w:r w:rsidRPr="002B3F36">
              <w:rPr>
                <w:rStyle w:val="affffb"/>
                <w:sz w:val="20"/>
                <w:szCs w:val="20"/>
              </w:rPr>
              <w:t>Reptiles:</w:t>
            </w:r>
            <w:r w:rsidRPr="002B3F36">
              <w:rPr>
                <w:rFonts w:ascii="Arial" w:hAnsi="Arial" w:cs="Arial"/>
                <w:sz w:val="20"/>
                <w:szCs w:val="20"/>
              </w:rPr>
              <w:t xml:space="preserve"> Avoid </w:t>
            </w:r>
            <w:r w:rsidRPr="002B3F36">
              <w:rPr>
                <w:rStyle w:val="affffb"/>
                <w:sz w:val="20"/>
                <w:szCs w:val="20"/>
              </w:rPr>
              <w:t>April–May</w:t>
            </w:r>
            <w:r w:rsidRPr="002B3F36">
              <w:rPr>
                <w:rFonts w:ascii="Arial" w:hAnsi="Arial" w:cs="Arial"/>
                <w:sz w:val="20"/>
                <w:szCs w:val="20"/>
              </w:rPr>
              <w:t xml:space="preserve"> breeding where feasible.</w:t>
            </w:r>
          </w:p>
          <w:p w14:paraId="613345B4" w14:textId="77777777" w:rsidR="00827137" w:rsidRPr="002B3F36" w:rsidRDefault="00827137" w:rsidP="009B4CDB">
            <w:pPr>
              <w:pStyle w:val="aff9"/>
              <w:numPr>
                <w:ilvl w:val="0"/>
                <w:numId w:val="186"/>
              </w:numPr>
              <w:spacing w:before="0" w:beforeAutospacing="0" w:after="0" w:afterAutospacing="0"/>
              <w:jc w:val="both"/>
              <w:rPr>
                <w:rFonts w:ascii="Arial" w:hAnsi="Arial" w:cs="Arial"/>
                <w:sz w:val="20"/>
                <w:szCs w:val="20"/>
              </w:rPr>
            </w:pPr>
            <w:r w:rsidRPr="002B3F36">
              <w:rPr>
                <w:rStyle w:val="affffb"/>
                <w:sz w:val="20"/>
                <w:szCs w:val="20"/>
              </w:rPr>
              <w:t>Aquatic windows:</w:t>
            </w:r>
            <w:r w:rsidRPr="002B3F36">
              <w:rPr>
                <w:rFonts w:ascii="Arial" w:hAnsi="Arial" w:cs="Arial"/>
                <w:sz w:val="20"/>
                <w:szCs w:val="20"/>
              </w:rPr>
              <w:t xml:space="preserve"> Schedule in-channel works and turbidity-prone tasks away from spawning/juvenile periods; time </w:t>
            </w:r>
            <w:r w:rsidRPr="002B3F36">
              <w:rPr>
                <w:rStyle w:val="affffb"/>
                <w:sz w:val="20"/>
                <w:szCs w:val="20"/>
              </w:rPr>
              <w:t>abstraction</w:t>
            </w:r>
            <w:r w:rsidRPr="002B3F36">
              <w:rPr>
                <w:rFonts w:ascii="Arial" w:hAnsi="Arial" w:cs="Arial"/>
                <w:sz w:val="20"/>
                <w:szCs w:val="20"/>
              </w:rPr>
              <w:t xml:space="preserve"> to avoid dusk/night peaks for juvenile feeding/migration.</w:t>
            </w:r>
          </w:p>
          <w:p w14:paraId="07060068" w14:textId="77777777" w:rsidR="00827137" w:rsidRPr="002B3F36" w:rsidRDefault="00827137" w:rsidP="0086386C">
            <w:pPr>
              <w:pStyle w:val="aff9"/>
              <w:spacing w:before="0" w:beforeAutospacing="0" w:after="0" w:afterAutospacing="0"/>
              <w:jc w:val="both"/>
              <w:rPr>
                <w:rFonts w:ascii="Arial" w:hAnsi="Arial" w:cs="Arial"/>
                <w:sz w:val="20"/>
                <w:szCs w:val="20"/>
              </w:rPr>
            </w:pPr>
            <w:r w:rsidRPr="002B3F36">
              <w:rPr>
                <w:rStyle w:val="affffb"/>
                <w:sz w:val="20"/>
                <w:szCs w:val="20"/>
              </w:rPr>
              <w:t>C) Construction-Phase Controls</w:t>
            </w:r>
          </w:p>
          <w:p w14:paraId="0C4A4C7B" w14:textId="77777777" w:rsidR="00827137" w:rsidRPr="002B3F36" w:rsidRDefault="00827137" w:rsidP="009B4CDB">
            <w:pPr>
              <w:pStyle w:val="aff9"/>
              <w:numPr>
                <w:ilvl w:val="0"/>
                <w:numId w:val="187"/>
              </w:numPr>
              <w:spacing w:before="0" w:beforeAutospacing="0" w:after="0" w:afterAutospacing="0"/>
              <w:jc w:val="both"/>
              <w:rPr>
                <w:rFonts w:ascii="Arial" w:hAnsi="Arial" w:cs="Arial"/>
                <w:sz w:val="20"/>
                <w:szCs w:val="20"/>
              </w:rPr>
            </w:pPr>
            <w:r w:rsidRPr="002B3F36">
              <w:rPr>
                <w:rStyle w:val="affffb"/>
                <w:sz w:val="20"/>
                <w:szCs w:val="20"/>
              </w:rPr>
              <w:lastRenderedPageBreak/>
              <w:t>Access control:</w:t>
            </w:r>
            <w:r w:rsidRPr="002B3F36">
              <w:rPr>
                <w:rFonts w:ascii="Arial" w:hAnsi="Arial" w:cs="Arial"/>
                <w:sz w:val="20"/>
                <w:szCs w:val="20"/>
              </w:rPr>
              <w:t xml:space="preserve"> No off-corridor driving; stake work limits; enforce speed limits on access tracks.</w:t>
            </w:r>
          </w:p>
          <w:p w14:paraId="1964D517" w14:textId="77777777" w:rsidR="00827137" w:rsidRPr="002B3F36" w:rsidRDefault="00827137" w:rsidP="009B4CDB">
            <w:pPr>
              <w:pStyle w:val="aff9"/>
              <w:numPr>
                <w:ilvl w:val="0"/>
                <w:numId w:val="187"/>
              </w:numPr>
              <w:spacing w:before="0" w:beforeAutospacing="0" w:after="0" w:afterAutospacing="0"/>
              <w:jc w:val="both"/>
              <w:rPr>
                <w:rFonts w:ascii="Arial" w:hAnsi="Arial" w:cs="Arial"/>
                <w:sz w:val="20"/>
                <w:szCs w:val="20"/>
              </w:rPr>
            </w:pPr>
            <w:r w:rsidRPr="002B3F36">
              <w:rPr>
                <w:rStyle w:val="affffb"/>
                <w:sz w:val="20"/>
                <w:szCs w:val="20"/>
              </w:rPr>
              <w:t>Trench/pit safety:</w:t>
            </w:r>
            <w:r w:rsidRPr="002B3F36">
              <w:rPr>
                <w:rFonts w:ascii="Arial" w:hAnsi="Arial" w:cs="Arial"/>
                <w:sz w:val="20"/>
                <w:szCs w:val="20"/>
              </w:rPr>
              <w:t xml:space="preserve"> Daily inspections; install escape ramps; relocate trapped reptiles/amphibians to safe habitat.</w:t>
            </w:r>
          </w:p>
          <w:p w14:paraId="4C4F94FE" w14:textId="77777777" w:rsidR="00827137" w:rsidRPr="002B3F36" w:rsidRDefault="00827137" w:rsidP="009B4CDB">
            <w:pPr>
              <w:pStyle w:val="aff9"/>
              <w:numPr>
                <w:ilvl w:val="0"/>
                <w:numId w:val="187"/>
              </w:numPr>
              <w:spacing w:before="0" w:beforeAutospacing="0" w:after="0" w:afterAutospacing="0"/>
              <w:jc w:val="both"/>
              <w:rPr>
                <w:rFonts w:ascii="Arial" w:hAnsi="Arial" w:cs="Arial"/>
                <w:sz w:val="20"/>
                <w:szCs w:val="20"/>
              </w:rPr>
            </w:pPr>
            <w:r w:rsidRPr="002B3F36">
              <w:rPr>
                <w:rStyle w:val="affffb"/>
                <w:sz w:val="20"/>
                <w:szCs w:val="20"/>
              </w:rPr>
              <w:t>Sediment/spill control:</w:t>
            </w:r>
            <w:r w:rsidRPr="002B3F36">
              <w:rPr>
                <w:rFonts w:ascii="Arial" w:hAnsi="Arial" w:cs="Arial"/>
                <w:sz w:val="20"/>
                <w:szCs w:val="20"/>
              </w:rPr>
              <w:t xml:space="preserve"> Erosion/sediment measures; lined concrete washouts; </w:t>
            </w:r>
            <w:r w:rsidRPr="002B3F36">
              <w:rPr>
                <w:rStyle w:val="affffb"/>
                <w:sz w:val="20"/>
                <w:szCs w:val="20"/>
              </w:rPr>
              <w:t>bunded fuel/chemical storage</w:t>
            </w:r>
            <w:r w:rsidRPr="002B3F36">
              <w:rPr>
                <w:rFonts w:ascii="Arial" w:hAnsi="Arial" w:cs="Arial"/>
                <w:sz w:val="20"/>
                <w:szCs w:val="20"/>
              </w:rPr>
              <w:t>; spill kits and trained responders.</w:t>
            </w:r>
          </w:p>
          <w:p w14:paraId="2413B29C" w14:textId="37F47D97" w:rsidR="00827137" w:rsidRPr="002B3F36" w:rsidRDefault="00827137" w:rsidP="009B4CDB">
            <w:pPr>
              <w:pStyle w:val="aff9"/>
              <w:numPr>
                <w:ilvl w:val="0"/>
                <w:numId w:val="187"/>
              </w:numPr>
              <w:spacing w:before="0" w:beforeAutospacing="0" w:after="0" w:afterAutospacing="0"/>
              <w:jc w:val="both"/>
              <w:rPr>
                <w:rFonts w:ascii="Arial" w:hAnsi="Arial" w:cs="Arial"/>
                <w:sz w:val="20"/>
                <w:szCs w:val="20"/>
              </w:rPr>
            </w:pPr>
            <w:r w:rsidRPr="002B3F36">
              <w:rPr>
                <w:rStyle w:val="affffb"/>
                <w:sz w:val="20"/>
                <w:szCs w:val="20"/>
              </w:rPr>
              <w:t>Water intakes:</w:t>
            </w:r>
            <w:r w:rsidRPr="002B3F36">
              <w:rPr>
                <w:rFonts w:ascii="Arial" w:hAnsi="Arial" w:cs="Arial"/>
                <w:sz w:val="20"/>
                <w:szCs w:val="20"/>
              </w:rPr>
              <w:t xml:space="preserve"> Fit fish-protection screens; avoid spawning/wintering pits and juvenile feeding/migration zones; </w:t>
            </w:r>
            <w:r w:rsidRPr="002B3F36">
              <w:rPr>
                <w:rStyle w:val="affffb"/>
                <w:sz w:val="20"/>
                <w:szCs w:val="20"/>
              </w:rPr>
              <w:t xml:space="preserve">no </w:t>
            </w:r>
            <w:r w:rsidR="007503B5" w:rsidRPr="002B3F36">
              <w:rPr>
                <w:rStyle w:val="affffb"/>
                <w:sz w:val="20"/>
                <w:szCs w:val="20"/>
              </w:rPr>
              <w:t>refueling</w:t>
            </w:r>
            <w:r w:rsidRPr="002B3F36">
              <w:rPr>
                <w:rStyle w:val="affffb"/>
                <w:sz w:val="20"/>
                <w:szCs w:val="20"/>
              </w:rPr>
              <w:t>/washing</w:t>
            </w:r>
            <w:r w:rsidRPr="002B3F36">
              <w:rPr>
                <w:rFonts w:ascii="Arial" w:hAnsi="Arial" w:cs="Arial"/>
                <w:sz w:val="20"/>
                <w:szCs w:val="20"/>
              </w:rPr>
              <w:t xml:space="preserve"> in water-protection zones.</w:t>
            </w:r>
          </w:p>
          <w:p w14:paraId="22B7D873" w14:textId="77777777" w:rsidR="00827137" w:rsidRPr="002B3F36" w:rsidRDefault="00827137" w:rsidP="009B4CDB">
            <w:pPr>
              <w:pStyle w:val="aff9"/>
              <w:numPr>
                <w:ilvl w:val="0"/>
                <w:numId w:val="187"/>
              </w:numPr>
              <w:spacing w:before="0" w:beforeAutospacing="0" w:after="0" w:afterAutospacing="0"/>
              <w:jc w:val="both"/>
              <w:rPr>
                <w:rFonts w:ascii="Arial" w:hAnsi="Arial" w:cs="Arial"/>
                <w:sz w:val="20"/>
                <w:szCs w:val="20"/>
              </w:rPr>
            </w:pPr>
            <w:r w:rsidRPr="002B3F36">
              <w:rPr>
                <w:rStyle w:val="affffb"/>
                <w:sz w:val="20"/>
                <w:szCs w:val="20"/>
              </w:rPr>
              <w:t>Worker code of conduct (biodiversity):</w:t>
            </w:r>
            <w:r w:rsidRPr="002B3F36">
              <w:rPr>
                <w:rFonts w:ascii="Arial" w:hAnsi="Arial" w:cs="Arial"/>
                <w:sz w:val="20"/>
                <w:szCs w:val="20"/>
              </w:rPr>
              <w:t xml:space="preserve"> No hunting/trapping/poisoning; no nest/egg collection; no grass burning; no feeding wildlife; toolbox talks on sensitive areas and migration periods.</w:t>
            </w:r>
          </w:p>
          <w:p w14:paraId="01F77C16" w14:textId="77777777" w:rsidR="00827137" w:rsidRPr="002B3F36" w:rsidRDefault="00827137" w:rsidP="0086386C">
            <w:pPr>
              <w:pStyle w:val="aff9"/>
              <w:spacing w:before="0" w:beforeAutospacing="0" w:after="0" w:afterAutospacing="0"/>
              <w:jc w:val="both"/>
              <w:rPr>
                <w:rFonts w:ascii="Arial" w:hAnsi="Arial" w:cs="Arial"/>
                <w:sz w:val="20"/>
                <w:szCs w:val="20"/>
              </w:rPr>
            </w:pPr>
            <w:r w:rsidRPr="002B3F36">
              <w:rPr>
                <w:rStyle w:val="affffb"/>
                <w:sz w:val="20"/>
                <w:szCs w:val="20"/>
              </w:rPr>
              <w:t>D) Camps, Waste, and Air (operational good practice)</w:t>
            </w:r>
          </w:p>
          <w:p w14:paraId="0E601656" w14:textId="77777777" w:rsidR="00827137" w:rsidRPr="002B3F36" w:rsidRDefault="00827137" w:rsidP="009B4CDB">
            <w:pPr>
              <w:pStyle w:val="aff9"/>
              <w:numPr>
                <w:ilvl w:val="0"/>
                <w:numId w:val="188"/>
              </w:numPr>
              <w:spacing w:before="0" w:beforeAutospacing="0" w:after="0" w:afterAutospacing="0"/>
              <w:jc w:val="both"/>
              <w:rPr>
                <w:rFonts w:ascii="Arial" w:hAnsi="Arial" w:cs="Arial"/>
                <w:sz w:val="20"/>
                <w:szCs w:val="20"/>
              </w:rPr>
            </w:pPr>
            <w:r w:rsidRPr="002B3F36">
              <w:rPr>
                <w:rStyle w:val="affffb"/>
                <w:sz w:val="20"/>
                <w:szCs w:val="20"/>
              </w:rPr>
              <w:t>Camps/waste:</w:t>
            </w:r>
            <w:r w:rsidRPr="002B3F36">
              <w:rPr>
                <w:rFonts w:ascii="Arial" w:hAnsi="Arial" w:cs="Arial"/>
                <w:sz w:val="20"/>
                <w:szCs w:val="20"/>
              </w:rPr>
              <w:t xml:space="preserve"> Store all wastes in designated/contained areas; use </w:t>
            </w:r>
            <w:r w:rsidRPr="002B3F36">
              <w:rPr>
                <w:rStyle w:val="affffb"/>
                <w:sz w:val="20"/>
                <w:szCs w:val="20"/>
              </w:rPr>
              <w:t>lidded bins</w:t>
            </w:r>
            <w:r w:rsidRPr="002B3F36">
              <w:rPr>
                <w:rFonts w:ascii="Arial" w:hAnsi="Arial" w:cs="Arial"/>
                <w:sz w:val="20"/>
                <w:szCs w:val="20"/>
              </w:rPr>
              <w:t xml:space="preserve"> for MSW and </w:t>
            </w:r>
            <w:r w:rsidRPr="002B3F36">
              <w:rPr>
                <w:rStyle w:val="affffb"/>
                <w:sz w:val="20"/>
                <w:szCs w:val="20"/>
              </w:rPr>
              <w:t>lockable</w:t>
            </w:r>
            <w:r w:rsidRPr="002B3F36">
              <w:rPr>
                <w:rFonts w:ascii="Arial" w:hAnsi="Arial" w:cs="Arial"/>
                <w:sz w:val="20"/>
                <w:szCs w:val="20"/>
              </w:rPr>
              <w:t xml:space="preserve"> containers for oily rags/industrial wastes; remove by licensed operators only; </w:t>
            </w:r>
            <w:r w:rsidRPr="002B3F36">
              <w:rPr>
                <w:rStyle w:val="affffb"/>
                <w:sz w:val="20"/>
                <w:szCs w:val="20"/>
              </w:rPr>
              <w:t>no discharge</w:t>
            </w:r>
            <w:r w:rsidRPr="002B3F36">
              <w:rPr>
                <w:rFonts w:ascii="Arial" w:hAnsi="Arial" w:cs="Arial"/>
                <w:sz w:val="20"/>
                <w:szCs w:val="20"/>
              </w:rPr>
              <w:t xml:space="preserve"> of wastewater to land/water; provide </w:t>
            </w:r>
            <w:r w:rsidRPr="002B3F36">
              <w:rPr>
                <w:rStyle w:val="affffb"/>
                <w:sz w:val="20"/>
                <w:szCs w:val="20"/>
              </w:rPr>
              <w:t>dry/chemical toilets</w:t>
            </w:r>
            <w:r w:rsidRPr="002B3F36">
              <w:rPr>
                <w:rFonts w:ascii="Arial" w:hAnsi="Arial" w:cs="Arial"/>
                <w:sz w:val="20"/>
                <w:szCs w:val="20"/>
              </w:rPr>
              <w:t xml:space="preserve"> where needed.</w:t>
            </w:r>
          </w:p>
          <w:p w14:paraId="17459985" w14:textId="77777777" w:rsidR="00827137" w:rsidRPr="002B3F36" w:rsidRDefault="00827137" w:rsidP="009B4CDB">
            <w:pPr>
              <w:pStyle w:val="aff9"/>
              <w:numPr>
                <w:ilvl w:val="0"/>
                <w:numId w:val="188"/>
              </w:numPr>
              <w:spacing w:before="0" w:beforeAutospacing="0" w:after="0" w:afterAutospacing="0"/>
              <w:jc w:val="both"/>
              <w:rPr>
                <w:rFonts w:ascii="Arial" w:hAnsi="Arial" w:cs="Arial"/>
                <w:sz w:val="20"/>
                <w:szCs w:val="20"/>
              </w:rPr>
            </w:pPr>
            <w:r w:rsidRPr="002B3F36">
              <w:rPr>
                <w:rStyle w:val="affffb"/>
                <w:sz w:val="20"/>
                <w:szCs w:val="20"/>
              </w:rPr>
              <w:t>Air/dust:</w:t>
            </w:r>
            <w:r w:rsidRPr="002B3F36">
              <w:rPr>
                <w:rFonts w:ascii="Arial" w:hAnsi="Arial" w:cs="Arial"/>
                <w:sz w:val="20"/>
                <w:szCs w:val="20"/>
              </w:rPr>
              <w:t xml:space="preserve"> Irrigate unpaved access and stockpiles in dry/windy periods; harden primary access where justified; implement safe fuel/lubricants handling.</w:t>
            </w:r>
          </w:p>
          <w:p w14:paraId="1C971AA5" w14:textId="77777777" w:rsidR="00827137" w:rsidRPr="002B3F36" w:rsidRDefault="00827137" w:rsidP="0086386C">
            <w:pPr>
              <w:pStyle w:val="aff9"/>
              <w:spacing w:before="0" w:beforeAutospacing="0" w:after="0" w:afterAutospacing="0"/>
              <w:jc w:val="both"/>
              <w:rPr>
                <w:rFonts w:ascii="Arial" w:hAnsi="Arial" w:cs="Arial"/>
                <w:sz w:val="20"/>
                <w:szCs w:val="20"/>
              </w:rPr>
            </w:pPr>
            <w:r w:rsidRPr="002B3F36">
              <w:rPr>
                <w:rStyle w:val="affffb"/>
                <w:sz w:val="20"/>
                <w:szCs w:val="20"/>
              </w:rPr>
              <w:t>E) Restoration &amp; Compensatory Measures</w:t>
            </w:r>
          </w:p>
          <w:p w14:paraId="6BE5EC9A" w14:textId="77777777" w:rsidR="00827137" w:rsidRPr="002B3F36" w:rsidRDefault="00827137" w:rsidP="009B4CDB">
            <w:pPr>
              <w:pStyle w:val="aff9"/>
              <w:numPr>
                <w:ilvl w:val="0"/>
                <w:numId w:val="189"/>
              </w:numPr>
              <w:spacing w:before="0" w:beforeAutospacing="0" w:after="0" w:afterAutospacing="0"/>
              <w:jc w:val="both"/>
              <w:rPr>
                <w:rFonts w:ascii="Arial" w:hAnsi="Arial" w:cs="Arial"/>
                <w:sz w:val="20"/>
                <w:szCs w:val="20"/>
              </w:rPr>
            </w:pPr>
            <w:r w:rsidRPr="002B3F36">
              <w:rPr>
                <w:rStyle w:val="affffb"/>
                <w:sz w:val="20"/>
                <w:szCs w:val="20"/>
              </w:rPr>
              <w:t>Progressive restoration:</w:t>
            </w:r>
            <w:r w:rsidRPr="002B3F36">
              <w:rPr>
                <w:rFonts w:ascii="Arial" w:hAnsi="Arial" w:cs="Arial"/>
                <w:sz w:val="20"/>
                <w:szCs w:val="20"/>
              </w:rPr>
              <w:t xml:space="preserve"> Salvage topsoil; </w:t>
            </w:r>
            <w:r w:rsidRPr="002B3F36">
              <w:rPr>
                <w:rStyle w:val="affffb"/>
                <w:sz w:val="20"/>
                <w:szCs w:val="20"/>
              </w:rPr>
              <w:t>reseeding with native steppe species</w:t>
            </w:r>
            <w:r w:rsidRPr="002B3F36">
              <w:rPr>
                <w:rFonts w:ascii="Arial" w:hAnsi="Arial" w:cs="Arial"/>
                <w:sz w:val="20"/>
                <w:szCs w:val="20"/>
              </w:rPr>
              <w:t xml:space="preserve">; prevent invasives; success criteria (e.g., </w:t>
            </w:r>
            <w:r w:rsidRPr="002B3F36">
              <w:rPr>
                <w:rStyle w:val="affffb"/>
                <w:sz w:val="20"/>
                <w:szCs w:val="20"/>
              </w:rPr>
              <w:t>≥70% vegetative cover within two growing seasons</w:t>
            </w:r>
            <w:r w:rsidRPr="002B3F36">
              <w:rPr>
                <w:rFonts w:ascii="Arial" w:hAnsi="Arial" w:cs="Arial"/>
                <w:sz w:val="20"/>
                <w:szCs w:val="20"/>
              </w:rPr>
              <w:t xml:space="preserve"> and composition trending to reference).</w:t>
            </w:r>
          </w:p>
          <w:p w14:paraId="6EB2C6C7" w14:textId="1755D07B" w:rsidR="00827137" w:rsidRPr="002B3F36" w:rsidRDefault="00827137" w:rsidP="009B4CDB">
            <w:pPr>
              <w:pStyle w:val="aff9"/>
              <w:numPr>
                <w:ilvl w:val="0"/>
                <w:numId w:val="189"/>
              </w:numPr>
              <w:spacing w:before="0" w:beforeAutospacing="0" w:after="0" w:afterAutospacing="0"/>
              <w:jc w:val="both"/>
              <w:rPr>
                <w:rFonts w:ascii="Arial" w:hAnsi="Arial" w:cs="Arial"/>
                <w:sz w:val="20"/>
                <w:szCs w:val="20"/>
              </w:rPr>
            </w:pPr>
            <w:r w:rsidRPr="002B3F36">
              <w:rPr>
                <w:rStyle w:val="affffb"/>
                <w:sz w:val="20"/>
                <w:szCs w:val="20"/>
              </w:rPr>
              <w:t>Compensatory planting:</w:t>
            </w:r>
            <w:r w:rsidRPr="002B3F36">
              <w:rPr>
                <w:rFonts w:ascii="Arial" w:hAnsi="Arial" w:cs="Arial"/>
                <w:sz w:val="20"/>
                <w:szCs w:val="20"/>
              </w:rPr>
              <w:t xml:space="preserve"> </w:t>
            </w:r>
            <w:r w:rsidR="00FC6485" w:rsidRPr="002B3F36">
              <w:rPr>
                <w:rFonts w:ascii="Arial" w:hAnsi="Arial" w:cs="Arial"/>
                <w:sz w:val="20"/>
                <w:szCs w:val="20"/>
              </w:rPr>
              <w:t>When encountered, w</w:t>
            </w:r>
            <w:r w:rsidRPr="002B3F36">
              <w:rPr>
                <w:rFonts w:ascii="Arial" w:hAnsi="Arial" w:cs="Arial"/>
                <w:sz w:val="20"/>
                <w:szCs w:val="20"/>
              </w:rPr>
              <w:t xml:space="preserve">here tree removal is authorized, comply with </w:t>
            </w:r>
            <w:r w:rsidR="003A184C">
              <w:rPr>
                <w:rStyle w:val="affffb"/>
                <w:sz w:val="20"/>
                <w:szCs w:val="20"/>
              </w:rPr>
              <w:t>Karagandy</w:t>
            </w:r>
            <w:r w:rsidRPr="002B3F36">
              <w:rPr>
                <w:rStyle w:val="affffb"/>
                <w:sz w:val="20"/>
                <w:szCs w:val="20"/>
              </w:rPr>
              <w:t xml:space="preserve"> maslikhat Decision No. 222 (29-Sep-2017)</w:t>
            </w:r>
            <w:r w:rsidRPr="002B3F36">
              <w:rPr>
                <w:rFonts w:ascii="Arial" w:hAnsi="Arial" w:cs="Arial"/>
                <w:sz w:val="20"/>
                <w:szCs w:val="20"/>
              </w:rPr>
              <w:t xml:space="preserve"> requiring </w:t>
            </w:r>
            <w:r w:rsidRPr="002B3F36">
              <w:rPr>
                <w:rStyle w:val="affffb"/>
                <w:sz w:val="20"/>
                <w:szCs w:val="20"/>
              </w:rPr>
              <w:t>10:1</w:t>
            </w:r>
            <w:r w:rsidRPr="002B3F36">
              <w:rPr>
                <w:rFonts w:ascii="Arial" w:hAnsi="Arial" w:cs="Arial"/>
                <w:sz w:val="20"/>
                <w:szCs w:val="20"/>
              </w:rPr>
              <w:t xml:space="preserve"> replacement; transplant viable saplings where practicable.</w:t>
            </w:r>
          </w:p>
          <w:p w14:paraId="5B80C3CA" w14:textId="77777777" w:rsidR="00827137" w:rsidRPr="002B3F36" w:rsidRDefault="00827137" w:rsidP="009B4CDB">
            <w:pPr>
              <w:pStyle w:val="aff9"/>
              <w:numPr>
                <w:ilvl w:val="0"/>
                <w:numId w:val="189"/>
              </w:numPr>
              <w:spacing w:before="0" w:beforeAutospacing="0" w:after="0" w:afterAutospacing="0"/>
              <w:jc w:val="both"/>
              <w:rPr>
                <w:rFonts w:ascii="Arial" w:hAnsi="Arial" w:cs="Arial"/>
                <w:sz w:val="20"/>
                <w:szCs w:val="20"/>
              </w:rPr>
            </w:pPr>
            <w:r w:rsidRPr="002B3F36">
              <w:rPr>
                <w:rStyle w:val="affffb"/>
                <w:sz w:val="20"/>
                <w:szCs w:val="20"/>
              </w:rPr>
              <w:lastRenderedPageBreak/>
              <w:t>Critical habitat safeguard:</w:t>
            </w:r>
            <w:r w:rsidRPr="002B3F36">
              <w:rPr>
                <w:rFonts w:ascii="Arial" w:hAnsi="Arial" w:cs="Arial"/>
                <w:sz w:val="20"/>
                <w:szCs w:val="20"/>
              </w:rPr>
              <w:t xml:space="preserve"> If critical-habitat triggers are confirmed, commit to </w:t>
            </w:r>
            <w:r w:rsidRPr="002B3F36">
              <w:rPr>
                <w:rStyle w:val="affffb"/>
                <w:sz w:val="20"/>
                <w:szCs w:val="20"/>
              </w:rPr>
              <w:t>No Net Loss/Net Gain</w:t>
            </w:r>
            <w:r w:rsidRPr="002B3F36">
              <w:rPr>
                <w:rFonts w:ascii="Arial" w:hAnsi="Arial" w:cs="Arial"/>
                <w:sz w:val="20"/>
                <w:szCs w:val="20"/>
              </w:rPr>
              <w:t>, including offsets after exhausting on-site mitigation.</w:t>
            </w:r>
          </w:p>
          <w:p w14:paraId="75E41431" w14:textId="77777777" w:rsidR="00827137" w:rsidRPr="002B3F36" w:rsidRDefault="00827137" w:rsidP="0086386C">
            <w:pPr>
              <w:pStyle w:val="aff9"/>
              <w:spacing w:before="0" w:beforeAutospacing="0" w:after="0" w:afterAutospacing="0"/>
              <w:jc w:val="both"/>
              <w:rPr>
                <w:rFonts w:ascii="Arial" w:hAnsi="Arial" w:cs="Arial"/>
                <w:sz w:val="20"/>
                <w:szCs w:val="20"/>
              </w:rPr>
            </w:pPr>
            <w:r w:rsidRPr="002B3F36">
              <w:rPr>
                <w:rStyle w:val="affffb"/>
                <w:sz w:val="20"/>
                <w:szCs w:val="20"/>
              </w:rPr>
              <w:t>F) Operations Interface</w:t>
            </w:r>
          </w:p>
          <w:p w14:paraId="49E786A6" w14:textId="77777777" w:rsidR="00827137" w:rsidRPr="002B3F36" w:rsidRDefault="00827137" w:rsidP="009B4CDB">
            <w:pPr>
              <w:pStyle w:val="aff9"/>
              <w:numPr>
                <w:ilvl w:val="0"/>
                <w:numId w:val="190"/>
              </w:numPr>
              <w:spacing w:before="0" w:beforeAutospacing="0" w:after="0" w:afterAutospacing="0"/>
              <w:jc w:val="both"/>
              <w:rPr>
                <w:rFonts w:ascii="Arial" w:hAnsi="Arial" w:cs="Arial"/>
                <w:sz w:val="20"/>
                <w:szCs w:val="20"/>
              </w:rPr>
            </w:pPr>
            <w:r w:rsidRPr="002B3F36">
              <w:rPr>
                <w:rFonts w:ascii="Arial" w:hAnsi="Arial" w:cs="Arial"/>
                <w:sz w:val="20"/>
                <w:szCs w:val="20"/>
              </w:rPr>
              <w:t xml:space="preserve">Maintain and periodically audit </w:t>
            </w:r>
            <w:r w:rsidRPr="002B3F36">
              <w:rPr>
                <w:rStyle w:val="affffb"/>
                <w:sz w:val="20"/>
                <w:szCs w:val="20"/>
              </w:rPr>
              <w:t>wildlife crossings and fencing</w:t>
            </w:r>
            <w:r w:rsidRPr="002B3F36">
              <w:rPr>
                <w:rFonts w:ascii="Arial" w:hAnsi="Arial" w:cs="Arial"/>
                <w:sz w:val="20"/>
                <w:szCs w:val="20"/>
              </w:rPr>
              <w:t>; repair promptly; keep crossing substrates natural.</w:t>
            </w:r>
          </w:p>
          <w:p w14:paraId="5225690B" w14:textId="77777777" w:rsidR="00827137" w:rsidRPr="002B3F36" w:rsidRDefault="00827137" w:rsidP="009B4CDB">
            <w:pPr>
              <w:pStyle w:val="aff9"/>
              <w:numPr>
                <w:ilvl w:val="0"/>
                <w:numId w:val="190"/>
              </w:numPr>
              <w:spacing w:before="0" w:beforeAutospacing="0" w:after="0" w:afterAutospacing="0"/>
              <w:jc w:val="both"/>
              <w:rPr>
                <w:rFonts w:ascii="Arial" w:hAnsi="Arial" w:cs="Arial"/>
                <w:sz w:val="20"/>
                <w:szCs w:val="20"/>
              </w:rPr>
            </w:pPr>
            <w:r w:rsidRPr="002B3F36">
              <w:rPr>
                <w:rStyle w:val="affffb"/>
                <w:sz w:val="20"/>
                <w:szCs w:val="20"/>
              </w:rPr>
              <w:t>Train operator alerts/speed caution</w:t>
            </w:r>
            <w:r w:rsidRPr="002B3F36">
              <w:rPr>
                <w:rFonts w:ascii="Arial" w:hAnsi="Arial" w:cs="Arial"/>
                <w:sz w:val="20"/>
                <w:szCs w:val="20"/>
              </w:rPr>
              <w:t xml:space="preserve"> through high-use wildlife corridors based on monitoring results; assess wildlife-detection systems where justified.</w:t>
            </w:r>
          </w:p>
          <w:p w14:paraId="003BA391" w14:textId="77777777" w:rsidR="00827137" w:rsidRPr="002B3F36" w:rsidRDefault="00827137" w:rsidP="009B4CDB">
            <w:pPr>
              <w:pStyle w:val="aff9"/>
              <w:numPr>
                <w:ilvl w:val="0"/>
                <w:numId w:val="190"/>
              </w:numPr>
              <w:spacing w:before="0" w:beforeAutospacing="0" w:after="0" w:afterAutospacing="0"/>
              <w:jc w:val="both"/>
              <w:rPr>
                <w:rFonts w:ascii="Arial" w:hAnsi="Arial" w:cs="Arial"/>
                <w:sz w:val="20"/>
                <w:szCs w:val="20"/>
              </w:rPr>
            </w:pPr>
            <w:r w:rsidRPr="002B3F36">
              <w:rPr>
                <w:rFonts w:ascii="Arial" w:hAnsi="Arial" w:cs="Arial"/>
                <w:sz w:val="20"/>
                <w:szCs w:val="20"/>
              </w:rPr>
              <w:t xml:space="preserve">Maintain </w:t>
            </w:r>
            <w:r w:rsidRPr="002B3F36">
              <w:rPr>
                <w:rStyle w:val="affffb"/>
                <w:sz w:val="20"/>
                <w:szCs w:val="20"/>
              </w:rPr>
              <w:t>avian-safe fittings</w:t>
            </w:r>
            <w:r w:rsidRPr="002B3F36">
              <w:rPr>
                <w:rFonts w:ascii="Arial" w:hAnsi="Arial" w:cs="Arial"/>
                <w:sz w:val="20"/>
                <w:szCs w:val="20"/>
              </w:rPr>
              <w:t xml:space="preserve"> on power lines; keep lighting at operational minimums consistent with dark-sky plan.</w:t>
            </w:r>
          </w:p>
          <w:p w14:paraId="0AFE999E" w14:textId="77777777" w:rsidR="00827137" w:rsidRPr="002B3F36" w:rsidRDefault="00827137" w:rsidP="0086386C">
            <w:pPr>
              <w:pStyle w:val="aff9"/>
              <w:spacing w:before="0" w:beforeAutospacing="0" w:after="0" w:afterAutospacing="0"/>
              <w:jc w:val="both"/>
              <w:rPr>
                <w:rFonts w:ascii="Arial" w:hAnsi="Arial" w:cs="Arial"/>
                <w:sz w:val="20"/>
                <w:szCs w:val="20"/>
              </w:rPr>
            </w:pPr>
            <w:r w:rsidRPr="002B3F36">
              <w:rPr>
                <w:rStyle w:val="affffb"/>
                <w:sz w:val="20"/>
                <w:szCs w:val="20"/>
              </w:rPr>
              <w:t>G) Monitoring &amp; Adaptive Management</w:t>
            </w:r>
          </w:p>
          <w:p w14:paraId="6457EEC1" w14:textId="77777777" w:rsidR="00827137" w:rsidRPr="002B3F36" w:rsidRDefault="00827137" w:rsidP="009B4CDB">
            <w:pPr>
              <w:pStyle w:val="aff9"/>
              <w:numPr>
                <w:ilvl w:val="0"/>
                <w:numId w:val="191"/>
              </w:numPr>
              <w:spacing w:before="0" w:beforeAutospacing="0" w:after="0" w:afterAutospacing="0"/>
              <w:jc w:val="both"/>
              <w:rPr>
                <w:rFonts w:ascii="Arial" w:hAnsi="Arial" w:cs="Arial"/>
                <w:sz w:val="20"/>
                <w:szCs w:val="20"/>
              </w:rPr>
            </w:pPr>
            <w:r w:rsidRPr="002B3F36">
              <w:rPr>
                <w:rStyle w:val="affffb"/>
                <w:sz w:val="20"/>
                <w:szCs w:val="20"/>
              </w:rPr>
              <w:t>Pre-works:</w:t>
            </w:r>
            <w:r w:rsidRPr="002B3F36">
              <w:rPr>
                <w:rFonts w:ascii="Arial" w:hAnsi="Arial" w:cs="Arial"/>
                <w:sz w:val="20"/>
                <w:szCs w:val="20"/>
              </w:rPr>
              <w:t xml:space="preserve"> Confirm saiga routes; raptor/nest surveys; herpetofauna checks; aquatic baseline at crossings.</w:t>
            </w:r>
          </w:p>
          <w:p w14:paraId="1C6F5EB6" w14:textId="77777777" w:rsidR="00827137" w:rsidRPr="002B3F36" w:rsidRDefault="00827137" w:rsidP="009B4CDB">
            <w:pPr>
              <w:pStyle w:val="aff9"/>
              <w:numPr>
                <w:ilvl w:val="0"/>
                <w:numId w:val="191"/>
              </w:numPr>
              <w:spacing w:before="0" w:beforeAutospacing="0" w:after="0" w:afterAutospacing="0"/>
              <w:jc w:val="both"/>
              <w:rPr>
                <w:rFonts w:ascii="Arial" w:hAnsi="Arial" w:cs="Arial"/>
                <w:sz w:val="20"/>
                <w:szCs w:val="20"/>
              </w:rPr>
            </w:pPr>
            <w:r w:rsidRPr="002B3F36">
              <w:rPr>
                <w:rStyle w:val="affffb"/>
                <w:sz w:val="20"/>
                <w:szCs w:val="20"/>
              </w:rPr>
              <w:t>During works:</w:t>
            </w:r>
            <w:r w:rsidRPr="002B3F36">
              <w:rPr>
                <w:rFonts w:ascii="Arial" w:hAnsi="Arial" w:cs="Arial"/>
                <w:sz w:val="20"/>
                <w:szCs w:val="20"/>
              </w:rPr>
              <w:t xml:space="preserve"> Compliance checks for buffers, lighting shields, and ESC; trench-fauna rescue logs; turbidity/spill incident tracking.</w:t>
            </w:r>
          </w:p>
          <w:p w14:paraId="7791394A" w14:textId="77777777" w:rsidR="00827137" w:rsidRPr="002B3F36" w:rsidRDefault="00827137" w:rsidP="009B4CDB">
            <w:pPr>
              <w:pStyle w:val="aff9"/>
              <w:numPr>
                <w:ilvl w:val="0"/>
                <w:numId w:val="191"/>
              </w:numPr>
              <w:spacing w:before="0" w:beforeAutospacing="0" w:after="0" w:afterAutospacing="0"/>
              <w:jc w:val="both"/>
              <w:rPr>
                <w:rFonts w:ascii="Arial" w:hAnsi="Arial" w:cs="Arial"/>
                <w:sz w:val="20"/>
                <w:szCs w:val="20"/>
              </w:rPr>
            </w:pPr>
            <w:r w:rsidRPr="002B3F36">
              <w:rPr>
                <w:rStyle w:val="affffb"/>
                <w:sz w:val="20"/>
                <w:szCs w:val="20"/>
              </w:rPr>
              <w:t>Effectiveness:</w:t>
            </w:r>
            <w:r w:rsidRPr="002B3F36">
              <w:rPr>
                <w:rFonts w:ascii="Arial" w:hAnsi="Arial" w:cs="Arial"/>
                <w:sz w:val="20"/>
                <w:szCs w:val="20"/>
              </w:rPr>
              <w:t xml:space="preserve"> Camera traps/track pads at crossings; collision/entrapment logs; revegetation transects and invasive-species audits.</w:t>
            </w:r>
          </w:p>
          <w:p w14:paraId="41726D67" w14:textId="3C10EA96" w:rsidR="00F61F8E" w:rsidRPr="002B3F36" w:rsidRDefault="00827137" w:rsidP="009B4CDB">
            <w:pPr>
              <w:pStyle w:val="aff9"/>
              <w:numPr>
                <w:ilvl w:val="0"/>
                <w:numId w:val="191"/>
              </w:numPr>
              <w:spacing w:before="0" w:beforeAutospacing="0" w:after="0" w:afterAutospacing="0"/>
              <w:jc w:val="both"/>
              <w:rPr>
                <w:rFonts w:ascii="Arial" w:hAnsi="Arial" w:cs="Arial"/>
                <w:sz w:val="20"/>
                <w:szCs w:val="20"/>
              </w:rPr>
            </w:pPr>
            <w:r w:rsidRPr="002B3F36">
              <w:rPr>
                <w:rStyle w:val="affffb"/>
                <w:sz w:val="20"/>
                <w:szCs w:val="20"/>
              </w:rPr>
              <w:t>Adaptive actions:</w:t>
            </w:r>
            <w:r w:rsidRPr="002B3F36">
              <w:rPr>
                <w:rFonts w:ascii="Arial" w:hAnsi="Arial" w:cs="Arial"/>
                <w:sz w:val="20"/>
                <w:szCs w:val="20"/>
              </w:rPr>
              <w:t xml:space="preserve"> Add/modify guide fencing, adjust lighting curfews, retrofit crossings if utilization is low.</w:t>
            </w:r>
          </w:p>
        </w:tc>
        <w:tc>
          <w:tcPr>
            <w:tcW w:w="1751" w:type="dxa"/>
          </w:tcPr>
          <w:p w14:paraId="5DDBCF39" w14:textId="77777777" w:rsidR="00F61F8E" w:rsidRPr="002B3F36" w:rsidRDefault="000F264B">
            <w:pPr>
              <w:shd w:val="clear" w:color="auto" w:fill="FFFFFF"/>
              <w:suppressAutoHyphens/>
              <w:jc w:val="center"/>
              <w:rPr>
                <w:rFonts w:ascii="Arial" w:eastAsia="Arial" w:hAnsi="Arial" w:cs="Arial"/>
                <w:sz w:val="20"/>
                <w:szCs w:val="20"/>
                <w:u w:val="single"/>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54A9B07F" w14:textId="77777777" w:rsidR="00F61F8E" w:rsidRPr="002B3F36" w:rsidRDefault="000F264B">
            <w:pPr>
              <w:shd w:val="clear" w:color="auto" w:fill="FFFFFF"/>
              <w:suppressAutoHyphens/>
              <w:jc w:val="center"/>
              <w:rPr>
                <w:rFonts w:ascii="Arial" w:hAnsi="Arial" w:cs="Arial"/>
                <w:sz w:val="20"/>
                <w:szCs w:val="20"/>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89733D" w:rsidRPr="002B3F36" w14:paraId="76E89331" w14:textId="77777777" w:rsidTr="0089733D">
        <w:tblPrEx>
          <w:jc w:val="center"/>
          <w:tblInd w:w="0" w:type="dxa"/>
        </w:tblPrEx>
        <w:trPr>
          <w:jc w:val="center"/>
        </w:trPr>
        <w:tc>
          <w:tcPr>
            <w:tcW w:w="1180" w:type="dxa"/>
          </w:tcPr>
          <w:p w14:paraId="06D85139" w14:textId="77777777" w:rsidR="0089733D" w:rsidRPr="002B3F36" w:rsidRDefault="0089733D" w:rsidP="0089733D">
            <w:pPr>
              <w:shd w:val="clear" w:color="auto" w:fill="FFFFFF"/>
              <w:suppressAutoHyphens/>
              <w:jc w:val="center"/>
              <w:rPr>
                <w:rFonts w:ascii="Arial" w:eastAsia="Arial" w:hAnsi="Arial" w:cs="Arial"/>
                <w:sz w:val="20"/>
                <w:szCs w:val="20"/>
              </w:rPr>
            </w:pPr>
          </w:p>
        </w:tc>
        <w:tc>
          <w:tcPr>
            <w:tcW w:w="1180" w:type="dxa"/>
          </w:tcPr>
          <w:p w14:paraId="33B0B440" w14:textId="5A5937EE" w:rsidR="0089733D" w:rsidRPr="002B3F36" w:rsidRDefault="0089733D" w:rsidP="0089733D">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t>Cumulative Impacts</w:t>
            </w:r>
          </w:p>
        </w:tc>
        <w:tc>
          <w:tcPr>
            <w:tcW w:w="3225" w:type="dxa"/>
          </w:tcPr>
          <w:p w14:paraId="0545469D" w14:textId="10528E0F" w:rsidR="0089733D" w:rsidRPr="002B3F36" w:rsidRDefault="0089733D" w:rsidP="00670FA9">
            <w:pPr>
              <w:pStyle w:val="BulletTable"/>
              <w:jc w:val="left"/>
              <w:rPr>
                <w:sz w:val="20"/>
                <w:szCs w:val="20"/>
              </w:rPr>
            </w:pPr>
            <w:r w:rsidRPr="002B3F36">
              <w:rPr>
                <w:b/>
                <w:sz w:val="20"/>
                <w:szCs w:val="20"/>
              </w:rPr>
              <w:t>Corridor-wide (Flora &amp; Fauna):</w:t>
            </w:r>
            <w:r w:rsidRPr="002B3F36">
              <w:rPr>
                <w:sz w:val="20"/>
                <w:szCs w:val="20"/>
              </w:rPr>
              <w:t xml:space="preserve"> Loss/fragmentation of steppe &amp; riparian habitats; disturbance to mammals, birds, reptiles/amphibians, fish; trench entrapment of herpetofauna; wildlife–train collisions; bird strikes on power lines; turbidity/entrainment at water intakes and crossings.</w:t>
            </w:r>
          </w:p>
          <w:p w14:paraId="4DB2B852" w14:textId="2D44C283" w:rsidR="0089733D" w:rsidRPr="002B3F36" w:rsidRDefault="0089733D" w:rsidP="00670FA9">
            <w:pPr>
              <w:pStyle w:val="BulletTable"/>
              <w:jc w:val="left"/>
              <w:rPr>
                <w:sz w:val="20"/>
                <w:szCs w:val="20"/>
              </w:rPr>
            </w:pPr>
            <w:r w:rsidRPr="002B3F36">
              <w:rPr>
                <w:b/>
                <w:sz w:val="20"/>
                <w:szCs w:val="20"/>
              </w:rPr>
              <w:t>IBAs (Ortav Lowlands, Ayak-Bestau):</w:t>
            </w:r>
            <w:r w:rsidRPr="002B3F36">
              <w:rPr>
                <w:sz w:val="20"/>
                <w:szCs w:val="20"/>
              </w:rPr>
              <w:t xml:space="preserve"> Habitat fragmentation; disturbance to </w:t>
            </w:r>
            <w:r w:rsidRPr="002B3F36">
              <w:rPr>
                <w:sz w:val="20"/>
                <w:szCs w:val="20"/>
              </w:rPr>
              <w:lastRenderedPageBreak/>
              <w:t>nesting/migratory birds; collision/electrocution on power lines.</w:t>
            </w:r>
          </w:p>
          <w:p w14:paraId="5C55FFF9" w14:textId="0F88D112" w:rsidR="0089733D" w:rsidRPr="002B3F36" w:rsidRDefault="0089733D" w:rsidP="00670FA9">
            <w:pPr>
              <w:pStyle w:val="BulletTable"/>
              <w:jc w:val="left"/>
              <w:rPr>
                <w:sz w:val="20"/>
                <w:szCs w:val="20"/>
              </w:rPr>
            </w:pPr>
            <w:r w:rsidRPr="002B3F36">
              <w:rPr>
                <w:b/>
                <w:sz w:val="20"/>
                <w:szCs w:val="20"/>
              </w:rPr>
              <w:t>Andasai Sanctuary (Cluster 2):</w:t>
            </w:r>
            <w:r w:rsidRPr="002B3F36">
              <w:rPr>
                <w:sz w:val="20"/>
                <w:szCs w:val="20"/>
              </w:rPr>
              <w:t xml:space="preserve"> Barrier effects to wide-ranging fauna; displacement from works and lighting; wildlife–train collision risk along movement corridors.</w:t>
            </w:r>
          </w:p>
          <w:p w14:paraId="1CFFCC1A" w14:textId="77777777" w:rsidR="0089733D" w:rsidRPr="002B3F36" w:rsidRDefault="0089733D" w:rsidP="00A846C7">
            <w:pPr>
              <w:pStyle w:val="BulletTable"/>
              <w:jc w:val="left"/>
              <w:rPr>
                <w:sz w:val="20"/>
                <w:szCs w:val="20"/>
              </w:rPr>
            </w:pPr>
          </w:p>
        </w:tc>
        <w:tc>
          <w:tcPr>
            <w:tcW w:w="5822" w:type="dxa"/>
          </w:tcPr>
          <w:p w14:paraId="25DAF369" w14:textId="77777777" w:rsidR="0089733D" w:rsidRPr="002B3F36" w:rsidRDefault="0089733D" w:rsidP="00A846C7">
            <w:pPr>
              <w:pStyle w:val="Bullet12"/>
              <w:ind w:left="336"/>
              <w:rPr>
                <w:sz w:val="20"/>
                <w:szCs w:val="20"/>
              </w:rPr>
            </w:pPr>
            <w:r w:rsidRPr="002B3F36">
              <w:rPr>
                <w:b/>
                <w:sz w:val="20"/>
                <w:szCs w:val="20"/>
              </w:rPr>
              <w:lastRenderedPageBreak/>
              <w:t>Avoid/Minimize (Design &amp; Construction):</w:t>
            </w:r>
            <w:r w:rsidRPr="002B3F36">
              <w:rPr>
                <w:sz w:val="20"/>
                <w:szCs w:val="20"/>
              </w:rPr>
              <w:t xml:space="preserve"> </w:t>
            </w:r>
          </w:p>
          <w:p w14:paraId="5BB8C5E7" w14:textId="77777777" w:rsidR="0089733D" w:rsidRPr="002B3F36" w:rsidRDefault="0089733D" w:rsidP="00A846C7">
            <w:pPr>
              <w:pStyle w:val="DashBullet"/>
              <w:ind w:left="516"/>
              <w:rPr>
                <w:sz w:val="20"/>
              </w:rPr>
            </w:pPr>
            <w:r w:rsidRPr="002B3F36">
              <w:rPr>
                <w:sz w:val="20"/>
              </w:rPr>
              <w:t xml:space="preserve">Keep to approved boundaries; maintain riparian buffers. </w:t>
            </w:r>
          </w:p>
          <w:p w14:paraId="5A8D290D" w14:textId="77777777" w:rsidR="0089733D" w:rsidRPr="002B3F36" w:rsidRDefault="0089733D" w:rsidP="00A846C7">
            <w:pPr>
              <w:pStyle w:val="DashBullet"/>
              <w:ind w:left="516"/>
              <w:rPr>
                <w:sz w:val="20"/>
              </w:rPr>
            </w:pPr>
            <w:r w:rsidRPr="002B3F36">
              <w:rPr>
                <w:sz w:val="20"/>
              </w:rPr>
              <w:t xml:space="preserve">Provide wildlife permeability—under/overpasses or large culverts with natural substrate, where necessary paired with guide fencing and flatter approaches (≈1:6–1:10). </w:t>
            </w:r>
          </w:p>
          <w:p w14:paraId="746CB468" w14:textId="77777777" w:rsidR="0089733D" w:rsidRPr="002B3F36" w:rsidRDefault="0089733D" w:rsidP="00A846C7">
            <w:pPr>
              <w:pStyle w:val="DashBullet"/>
              <w:ind w:left="516"/>
              <w:rPr>
                <w:sz w:val="20"/>
              </w:rPr>
            </w:pPr>
            <w:r w:rsidRPr="002B3F36">
              <w:rPr>
                <w:sz w:val="20"/>
              </w:rPr>
              <w:t>Apply dark-sky lighting (shielding, curfews, motion sensors) and seasonal windows (avoid April–August nesting; avoid April–May herpetofauna breeding;</w:t>
            </w:r>
          </w:p>
          <w:p w14:paraId="0951EE13" w14:textId="77777777" w:rsidR="0089733D" w:rsidRPr="002B3F36" w:rsidRDefault="0089733D" w:rsidP="00A846C7">
            <w:pPr>
              <w:pStyle w:val="DashBullet"/>
              <w:ind w:left="516"/>
              <w:rPr>
                <w:sz w:val="20"/>
              </w:rPr>
            </w:pPr>
            <w:r w:rsidRPr="002B3F36">
              <w:rPr>
                <w:sz w:val="20"/>
              </w:rPr>
              <w:t xml:space="preserve">Schedule in-channel works outside spawning/juvenile periods). </w:t>
            </w:r>
          </w:p>
          <w:p w14:paraId="2726FEC9" w14:textId="77777777" w:rsidR="0089733D" w:rsidRPr="002B3F36" w:rsidRDefault="0089733D" w:rsidP="00A846C7">
            <w:pPr>
              <w:pStyle w:val="DashBullet"/>
              <w:ind w:left="516"/>
              <w:rPr>
                <w:sz w:val="20"/>
              </w:rPr>
            </w:pPr>
            <w:r w:rsidRPr="002B3F36">
              <w:rPr>
                <w:sz w:val="20"/>
              </w:rPr>
              <w:t xml:space="preserve">Use avian-safe power-line designs with markers/diverters and insulated hardware. </w:t>
            </w:r>
          </w:p>
          <w:p w14:paraId="1E091B1F" w14:textId="77777777" w:rsidR="0089733D" w:rsidRPr="002B3F36" w:rsidRDefault="0089733D" w:rsidP="00A846C7">
            <w:pPr>
              <w:pStyle w:val="DashBullet"/>
              <w:ind w:left="516"/>
              <w:rPr>
                <w:sz w:val="20"/>
              </w:rPr>
            </w:pPr>
            <w:r w:rsidRPr="002B3F36">
              <w:rPr>
                <w:sz w:val="20"/>
              </w:rPr>
              <w:t xml:space="preserve">Coordinate phasing to limit peak overlap; enforce a unified traffic/access plan and work-hour limits near sensitive </w:t>
            </w:r>
            <w:r w:rsidRPr="002B3F36">
              <w:rPr>
                <w:sz w:val="20"/>
              </w:rPr>
              <w:lastRenderedPageBreak/>
              <w:t xml:space="preserve">receptors. Inspect trenches daily and install escape ramps. </w:t>
            </w:r>
          </w:p>
          <w:p w14:paraId="5E622D48" w14:textId="77777777" w:rsidR="0089733D" w:rsidRPr="002B3F36" w:rsidRDefault="0089733D" w:rsidP="00A846C7">
            <w:pPr>
              <w:pStyle w:val="DashBullet"/>
              <w:ind w:left="516"/>
              <w:rPr>
                <w:sz w:val="20"/>
              </w:rPr>
            </w:pPr>
            <w:r w:rsidRPr="002B3F36">
              <w:rPr>
                <w:sz w:val="20"/>
              </w:rPr>
              <w:t>Implement erosion/sediment controls, lined washouts, bunded fuel/chemicals, spill kits, and non-community water sources.</w:t>
            </w:r>
          </w:p>
          <w:p w14:paraId="777005C2" w14:textId="77777777" w:rsidR="0089733D" w:rsidRPr="002B3F36" w:rsidRDefault="0089733D" w:rsidP="00A846C7">
            <w:pPr>
              <w:pStyle w:val="Bullet12"/>
              <w:ind w:left="336"/>
              <w:rPr>
                <w:sz w:val="20"/>
                <w:szCs w:val="20"/>
              </w:rPr>
            </w:pPr>
            <w:r w:rsidRPr="002B3F36">
              <w:rPr>
                <w:b/>
                <w:sz w:val="20"/>
                <w:szCs w:val="20"/>
              </w:rPr>
              <w:t>Restore/Offset:</w:t>
            </w:r>
            <w:r w:rsidRPr="002B3F36">
              <w:rPr>
                <w:sz w:val="20"/>
                <w:szCs w:val="20"/>
              </w:rPr>
              <w:t xml:space="preserve"> </w:t>
            </w:r>
          </w:p>
          <w:p w14:paraId="1F99E52E" w14:textId="77777777" w:rsidR="0089733D" w:rsidRPr="002B3F36" w:rsidRDefault="0089733D" w:rsidP="00A846C7">
            <w:pPr>
              <w:pStyle w:val="DashBullet"/>
              <w:ind w:left="516"/>
              <w:rPr>
                <w:sz w:val="20"/>
              </w:rPr>
            </w:pPr>
            <w:r w:rsidRPr="002B3F36">
              <w:rPr>
                <w:sz w:val="20"/>
              </w:rPr>
              <w:t xml:space="preserve">Progressive restoration with salvaged topsoil and native reseeding; replace permitted tree removals per local rules; </w:t>
            </w:r>
          </w:p>
          <w:p w14:paraId="6DF9D95E" w14:textId="77777777" w:rsidR="0089733D" w:rsidRPr="002B3F36" w:rsidRDefault="0089733D" w:rsidP="00A846C7">
            <w:pPr>
              <w:pStyle w:val="DashBullet"/>
              <w:ind w:left="516"/>
              <w:rPr>
                <w:sz w:val="20"/>
              </w:rPr>
            </w:pPr>
            <w:r w:rsidRPr="002B3F36">
              <w:rPr>
                <w:sz w:val="20"/>
              </w:rPr>
              <w:t>set clear success criteria (e.g., ≥70% cover within two growing seasons).</w:t>
            </w:r>
          </w:p>
          <w:p w14:paraId="2514EC2D" w14:textId="77777777" w:rsidR="0089733D" w:rsidRPr="002B3F36" w:rsidRDefault="0089733D" w:rsidP="00A846C7">
            <w:pPr>
              <w:pStyle w:val="DashBullet"/>
              <w:ind w:left="516"/>
              <w:rPr>
                <w:sz w:val="20"/>
              </w:rPr>
            </w:pPr>
            <w:r w:rsidRPr="002B3F36">
              <w:rPr>
                <w:sz w:val="20"/>
              </w:rPr>
              <w:t xml:space="preserve">Target </w:t>
            </w:r>
            <w:r w:rsidRPr="002B3F36">
              <w:rPr>
                <w:b/>
                <w:sz w:val="20"/>
              </w:rPr>
              <w:t>No Net Loss</w:t>
            </w:r>
            <w:r w:rsidRPr="002B3F36">
              <w:rPr>
                <w:sz w:val="20"/>
              </w:rPr>
              <w:t xml:space="preserve"> in natural habitat; </w:t>
            </w:r>
          </w:p>
          <w:p w14:paraId="2EB54C19" w14:textId="77777777" w:rsidR="0089733D" w:rsidRPr="002B3F36" w:rsidRDefault="0089733D" w:rsidP="00A846C7">
            <w:pPr>
              <w:pStyle w:val="DashBullet"/>
              <w:ind w:left="516"/>
              <w:rPr>
                <w:sz w:val="20"/>
              </w:rPr>
            </w:pPr>
            <w:r w:rsidRPr="002B3F36">
              <w:rPr>
                <w:sz w:val="20"/>
              </w:rPr>
              <w:t xml:space="preserve">where critical habitat conditions apply, pursue </w:t>
            </w:r>
            <w:r w:rsidRPr="002B3F36">
              <w:rPr>
                <w:b/>
                <w:sz w:val="20"/>
              </w:rPr>
              <w:t>Net Gain</w:t>
            </w:r>
            <w:r w:rsidRPr="002B3F36">
              <w:rPr>
                <w:sz w:val="20"/>
              </w:rPr>
              <w:t>, considering biodiversity offsets or additional conservation actions if residual effects remain.</w:t>
            </w:r>
          </w:p>
          <w:p w14:paraId="7C351513" w14:textId="77777777" w:rsidR="0089733D" w:rsidRPr="002B3F36" w:rsidRDefault="0089733D" w:rsidP="00A846C7">
            <w:pPr>
              <w:pStyle w:val="Bullet12"/>
              <w:ind w:left="336"/>
              <w:rPr>
                <w:sz w:val="20"/>
                <w:szCs w:val="20"/>
              </w:rPr>
            </w:pPr>
            <w:r w:rsidRPr="002B3F36">
              <w:rPr>
                <w:b/>
                <w:sz w:val="20"/>
                <w:szCs w:val="20"/>
              </w:rPr>
              <w:t>Monitoring &amp; Adaptive Management:</w:t>
            </w:r>
            <w:r w:rsidRPr="002B3F36">
              <w:rPr>
                <w:sz w:val="20"/>
                <w:szCs w:val="20"/>
              </w:rPr>
              <w:t xml:space="preserve"> </w:t>
            </w:r>
          </w:p>
          <w:p w14:paraId="1B766A5F" w14:textId="77777777" w:rsidR="0089733D" w:rsidRPr="002B3F36" w:rsidRDefault="0089733D" w:rsidP="00A846C7">
            <w:pPr>
              <w:pStyle w:val="DashBullet"/>
              <w:ind w:left="516"/>
              <w:rPr>
                <w:sz w:val="20"/>
              </w:rPr>
            </w:pPr>
            <w:r w:rsidRPr="002B3F36">
              <w:rPr>
                <w:sz w:val="20"/>
              </w:rPr>
              <w:t xml:space="preserve">Track PM and noise/vibration near communities; upstream/downstream turbidity and hydrocarbons; wildlife-passage use (cameras/track pads); </w:t>
            </w:r>
          </w:p>
          <w:p w14:paraId="28DB8AB7" w14:textId="77777777" w:rsidR="0089733D" w:rsidRPr="002B3F36" w:rsidRDefault="0089733D" w:rsidP="00A846C7">
            <w:pPr>
              <w:pStyle w:val="DashBullet"/>
              <w:ind w:left="516"/>
              <w:rPr>
                <w:sz w:val="20"/>
              </w:rPr>
            </w:pPr>
            <w:r w:rsidRPr="002B3F36">
              <w:rPr>
                <w:sz w:val="20"/>
              </w:rPr>
              <w:t xml:space="preserve">Collision/entrapment and nest-occupancy logs; </w:t>
            </w:r>
          </w:p>
          <w:p w14:paraId="09655DE8" w14:textId="77777777" w:rsidR="0089733D" w:rsidRPr="002B3F36" w:rsidRDefault="0089733D" w:rsidP="00A846C7">
            <w:pPr>
              <w:pStyle w:val="DashBullet"/>
              <w:ind w:left="516"/>
              <w:rPr>
                <w:sz w:val="20"/>
              </w:rPr>
            </w:pPr>
            <w:r w:rsidRPr="002B3F36">
              <w:rPr>
                <w:sz w:val="20"/>
              </w:rPr>
              <w:t xml:space="preserve">Revegetation and invasive-species control; grievance performance. </w:t>
            </w:r>
          </w:p>
          <w:p w14:paraId="10D05571" w14:textId="77777777" w:rsidR="0089733D" w:rsidRPr="002B3F36" w:rsidRDefault="0089733D" w:rsidP="00A846C7">
            <w:pPr>
              <w:pStyle w:val="DashBullet"/>
              <w:ind w:left="516"/>
              <w:rPr>
                <w:sz w:val="20"/>
              </w:rPr>
            </w:pPr>
            <w:r w:rsidRPr="002B3F36">
              <w:rPr>
                <w:sz w:val="20"/>
              </w:rPr>
              <w:t xml:space="preserve">Where necessary, adjust fencing, lighting curfews, and crossing designs based on results. </w:t>
            </w:r>
          </w:p>
          <w:p w14:paraId="236A8075" w14:textId="77777777" w:rsidR="0089733D" w:rsidRPr="002B3F36" w:rsidRDefault="0089733D" w:rsidP="00A846C7">
            <w:pPr>
              <w:pStyle w:val="DashBullet"/>
              <w:ind w:left="516"/>
              <w:rPr>
                <w:sz w:val="20"/>
              </w:rPr>
            </w:pPr>
            <w:r w:rsidRPr="002B3F36">
              <w:rPr>
                <w:sz w:val="20"/>
              </w:rPr>
              <w:t xml:space="preserve">Maintain node-specific engagement with two-week look-aheads, detours, quiet hours, and a single, accessible grievance channel. </w:t>
            </w:r>
          </w:p>
          <w:p w14:paraId="47CEC904" w14:textId="77777777" w:rsidR="0089733D" w:rsidRPr="002B3F36" w:rsidRDefault="0089733D" w:rsidP="00A846C7">
            <w:pPr>
              <w:pStyle w:val="DashBullet"/>
              <w:ind w:left="516"/>
              <w:rPr>
                <w:sz w:val="20"/>
              </w:rPr>
            </w:pPr>
            <w:r w:rsidRPr="002B3F36">
              <w:rPr>
                <w:sz w:val="20"/>
              </w:rPr>
              <w:t xml:space="preserve">With disciplined implementation, residual cumulative impacts are expected to fall to </w:t>
            </w:r>
            <w:r w:rsidRPr="002B3F36">
              <w:rPr>
                <w:b/>
                <w:sz w:val="20"/>
              </w:rPr>
              <w:t>Low–Moderate</w:t>
            </w:r>
            <w:r w:rsidRPr="002B3F36">
              <w:rPr>
                <w:sz w:val="20"/>
              </w:rPr>
              <w:t xml:space="preserve"> during construction and </w:t>
            </w:r>
            <w:r w:rsidRPr="002B3F36">
              <w:rPr>
                <w:b/>
                <w:sz w:val="20"/>
              </w:rPr>
              <w:t>Low</w:t>
            </w:r>
            <w:r w:rsidRPr="002B3F36">
              <w:rPr>
                <w:sz w:val="20"/>
              </w:rPr>
              <w:t xml:space="preserve"> in steady operations.</w:t>
            </w:r>
          </w:p>
          <w:p w14:paraId="1C45B48D" w14:textId="77777777" w:rsidR="0089733D" w:rsidRPr="002B3F36" w:rsidRDefault="0089733D" w:rsidP="00A846C7">
            <w:pPr>
              <w:pStyle w:val="aff9"/>
              <w:spacing w:before="0" w:beforeAutospacing="0" w:after="0" w:afterAutospacing="0"/>
              <w:ind w:left="336"/>
              <w:jc w:val="both"/>
              <w:rPr>
                <w:rStyle w:val="affffb"/>
                <w:rFonts w:eastAsia="SimSun"/>
                <w:bCs/>
                <w:color w:val="1C1C1C"/>
                <w:sz w:val="20"/>
                <w:szCs w:val="20"/>
                <w:lang w:eastAsia="zh-CN"/>
              </w:rPr>
            </w:pPr>
          </w:p>
        </w:tc>
        <w:tc>
          <w:tcPr>
            <w:tcW w:w="1751" w:type="dxa"/>
          </w:tcPr>
          <w:p w14:paraId="392C340E" w14:textId="53491EAC" w:rsidR="0089733D" w:rsidRPr="002B3F36" w:rsidRDefault="0089733D" w:rsidP="0089733D">
            <w:pPr>
              <w:shd w:val="clear" w:color="auto" w:fill="FFFFFF"/>
              <w:suppressAutoHyphens/>
              <w:jc w:val="center"/>
              <w:rPr>
                <w:rFonts w:ascii="Arial" w:eastAsia="Arial" w:hAnsi="Arial" w:cs="Arial"/>
                <w:sz w:val="20"/>
                <w:szCs w:val="20"/>
                <w:u w:val="single"/>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6FD5C4B7" w14:textId="372AA053" w:rsidR="0089733D" w:rsidRPr="002B3F36" w:rsidRDefault="0089733D" w:rsidP="0089733D">
            <w:pPr>
              <w:shd w:val="clear" w:color="auto" w:fill="FFFFFF"/>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Budget part of supervision contract; part of operational cost of Contractor)</w:t>
            </w:r>
          </w:p>
        </w:tc>
      </w:tr>
      <w:tr w:rsidR="00F61F8E" w:rsidRPr="002B3F36" w14:paraId="77049F27" w14:textId="77777777" w:rsidTr="0089733D">
        <w:tblPrEx>
          <w:jc w:val="center"/>
          <w:tblInd w:w="0" w:type="dxa"/>
        </w:tblPrEx>
        <w:trPr>
          <w:jc w:val="center"/>
        </w:trPr>
        <w:tc>
          <w:tcPr>
            <w:tcW w:w="1180" w:type="dxa"/>
          </w:tcPr>
          <w:p w14:paraId="42EAA363"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180" w:type="dxa"/>
          </w:tcPr>
          <w:p w14:paraId="3E8AE4DB"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9047" w:type="dxa"/>
            <w:gridSpan w:val="2"/>
          </w:tcPr>
          <w:p w14:paraId="717A81DE" w14:textId="2D899FD2" w:rsidR="00F61F8E" w:rsidRPr="002B3F36" w:rsidRDefault="000F264B">
            <w:pPr>
              <w:shd w:val="clear" w:color="auto" w:fill="FFFFFF"/>
              <w:suppressAutoHyphens/>
              <w:ind w:right="34"/>
              <w:jc w:val="both"/>
              <w:rPr>
                <w:rFonts w:ascii="Arial" w:hAnsi="Arial" w:cs="Arial"/>
                <w:b/>
                <w:bCs/>
                <w:sz w:val="20"/>
                <w:szCs w:val="20"/>
              </w:rPr>
            </w:pPr>
            <w:r w:rsidRPr="002B3F36">
              <w:rPr>
                <w:rFonts w:ascii="Arial" w:hAnsi="Arial" w:cs="Arial"/>
                <w:b/>
                <w:bCs/>
                <w:sz w:val="20"/>
                <w:szCs w:val="20"/>
              </w:rPr>
              <w:t>During Construction Phase (</w:t>
            </w:r>
            <w:r w:rsidR="000C7CC2" w:rsidRPr="002B3F36">
              <w:rPr>
                <w:rFonts w:ascii="Arial" w:hAnsi="Arial" w:cs="Arial"/>
                <w:b/>
                <w:bCs/>
                <w:sz w:val="20"/>
                <w:szCs w:val="20"/>
              </w:rPr>
              <w:t>PS</w:t>
            </w:r>
            <w:r w:rsidRPr="002B3F36">
              <w:rPr>
                <w:rFonts w:ascii="Arial" w:hAnsi="Arial" w:cs="Arial"/>
                <w:b/>
                <w:bCs/>
                <w:sz w:val="20"/>
                <w:szCs w:val="20"/>
              </w:rPr>
              <w:t xml:space="preserve"> 8)</w:t>
            </w:r>
          </w:p>
        </w:tc>
        <w:tc>
          <w:tcPr>
            <w:tcW w:w="1751" w:type="dxa"/>
          </w:tcPr>
          <w:p w14:paraId="03D51976"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c>
          <w:tcPr>
            <w:tcW w:w="1332" w:type="dxa"/>
          </w:tcPr>
          <w:p w14:paraId="213E886E" w14:textId="77777777" w:rsidR="00F61F8E" w:rsidRPr="002B3F36" w:rsidRDefault="00F61F8E">
            <w:pPr>
              <w:shd w:val="clear" w:color="auto" w:fill="FFFFFF"/>
              <w:suppressAutoHyphens/>
              <w:jc w:val="center"/>
              <w:rPr>
                <w:rFonts w:ascii="Arial" w:eastAsia="Calibri" w:hAnsi="Arial" w:cs="Arial"/>
                <w:b/>
                <w:bCs/>
                <w:sz w:val="20"/>
                <w:szCs w:val="20"/>
                <w:u w:val="single"/>
              </w:rPr>
            </w:pPr>
          </w:p>
        </w:tc>
      </w:tr>
      <w:tr w:rsidR="00F61F8E" w:rsidRPr="002B3F36" w14:paraId="31DF0204" w14:textId="77777777" w:rsidTr="0089733D">
        <w:tblPrEx>
          <w:jc w:val="center"/>
          <w:tblInd w:w="0" w:type="dxa"/>
        </w:tblPrEx>
        <w:trPr>
          <w:jc w:val="center"/>
        </w:trPr>
        <w:tc>
          <w:tcPr>
            <w:tcW w:w="1180" w:type="dxa"/>
          </w:tcPr>
          <w:p w14:paraId="075A880B" w14:textId="77777777" w:rsidR="00F61F8E" w:rsidRPr="002B3F36" w:rsidRDefault="000F264B">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t>Physical Cultural Resources</w:t>
            </w:r>
          </w:p>
        </w:tc>
        <w:tc>
          <w:tcPr>
            <w:tcW w:w="1180" w:type="dxa"/>
          </w:tcPr>
          <w:p w14:paraId="3721BEA0" w14:textId="77777777" w:rsidR="00F61F8E" w:rsidRPr="002B3F36" w:rsidRDefault="000F264B">
            <w:pPr>
              <w:shd w:val="clear" w:color="auto" w:fill="FFFFFF"/>
              <w:suppressAutoHyphens/>
              <w:jc w:val="center"/>
              <w:rPr>
                <w:rFonts w:ascii="Arial" w:eastAsia="Arial" w:hAnsi="Arial" w:cs="Arial"/>
                <w:sz w:val="20"/>
                <w:szCs w:val="20"/>
              </w:rPr>
            </w:pPr>
            <w:r w:rsidRPr="002B3F36">
              <w:rPr>
                <w:rFonts w:ascii="Arial" w:eastAsia="Arial" w:hAnsi="Arial" w:cs="Arial"/>
                <w:sz w:val="20"/>
                <w:szCs w:val="20"/>
              </w:rPr>
              <w:t>Physical Cultural Resources during construction</w:t>
            </w:r>
          </w:p>
        </w:tc>
        <w:tc>
          <w:tcPr>
            <w:tcW w:w="3225" w:type="dxa"/>
          </w:tcPr>
          <w:p w14:paraId="249AD58C" w14:textId="77777777" w:rsidR="00F61F8E" w:rsidRPr="002B3F36" w:rsidRDefault="000F264B">
            <w:pPr>
              <w:shd w:val="clear" w:color="auto" w:fill="FFFFFF"/>
              <w:suppressAutoHyphens/>
              <w:ind w:right="34"/>
              <w:jc w:val="both"/>
              <w:rPr>
                <w:rFonts w:ascii="Arial" w:eastAsia="Arial" w:hAnsi="Arial" w:cs="Arial"/>
                <w:sz w:val="20"/>
                <w:szCs w:val="20"/>
              </w:rPr>
            </w:pPr>
            <w:r w:rsidRPr="002B3F36">
              <w:rPr>
                <w:rFonts w:ascii="Arial" w:eastAsia="Arial" w:hAnsi="Arial" w:cs="Arial"/>
                <w:sz w:val="20"/>
                <w:szCs w:val="20"/>
              </w:rPr>
              <w:t>Possibility of “chance discoveries”</w:t>
            </w:r>
          </w:p>
        </w:tc>
        <w:tc>
          <w:tcPr>
            <w:tcW w:w="5822" w:type="dxa"/>
          </w:tcPr>
          <w:p w14:paraId="7641F313" w14:textId="275A2D7C" w:rsidR="00827137" w:rsidRPr="002B3F36" w:rsidRDefault="00827137" w:rsidP="00D26944">
            <w:pPr>
              <w:widowControl/>
              <w:autoSpaceDE/>
              <w:autoSpaceDN/>
              <w:rPr>
                <w:rFonts w:ascii="Arial" w:eastAsia="Times New Roman" w:hAnsi="Arial" w:cs="Arial"/>
                <w:sz w:val="20"/>
                <w:szCs w:val="20"/>
              </w:rPr>
            </w:pPr>
            <w:r w:rsidRPr="002B3F36">
              <w:rPr>
                <w:rFonts w:ascii="Arial" w:eastAsia="Times New Roman" w:hAnsi="Arial" w:cs="Arial"/>
                <w:b/>
                <w:bCs/>
                <w:sz w:val="20"/>
                <w:szCs w:val="20"/>
              </w:rPr>
              <w:t>Planning and Training</w:t>
            </w:r>
          </w:p>
          <w:p w14:paraId="5B1720ED" w14:textId="77777777" w:rsidR="00827137" w:rsidRPr="002B3F36" w:rsidRDefault="00827137" w:rsidP="009B4CDB">
            <w:pPr>
              <w:widowControl/>
              <w:numPr>
                <w:ilvl w:val="0"/>
                <w:numId w:val="194"/>
              </w:numPr>
              <w:autoSpaceDE/>
              <w:autoSpaceDN/>
              <w:jc w:val="both"/>
              <w:rPr>
                <w:rFonts w:ascii="Arial" w:eastAsia="Times New Roman" w:hAnsi="Arial" w:cs="Arial"/>
                <w:sz w:val="20"/>
                <w:szCs w:val="20"/>
              </w:rPr>
            </w:pPr>
            <w:r w:rsidRPr="002B3F36">
              <w:rPr>
                <w:rFonts w:ascii="Arial" w:eastAsia="Times New Roman" w:hAnsi="Arial" w:cs="Arial"/>
                <w:sz w:val="20"/>
                <w:szCs w:val="20"/>
              </w:rPr>
              <w:t xml:space="preserve">Integrate a </w:t>
            </w:r>
            <w:r w:rsidRPr="002B3F36">
              <w:rPr>
                <w:rFonts w:ascii="Arial" w:eastAsia="Times New Roman" w:hAnsi="Arial" w:cs="Arial"/>
                <w:b/>
                <w:bCs/>
                <w:sz w:val="20"/>
                <w:szCs w:val="20"/>
              </w:rPr>
              <w:t>Chance Finds Procedure</w:t>
            </w:r>
            <w:r w:rsidRPr="002B3F36">
              <w:rPr>
                <w:rFonts w:ascii="Arial" w:eastAsia="Times New Roman" w:hAnsi="Arial" w:cs="Arial"/>
                <w:sz w:val="20"/>
                <w:szCs w:val="20"/>
              </w:rPr>
              <w:t xml:space="preserve"> into the Contractor’s C-ESMP.</w:t>
            </w:r>
          </w:p>
          <w:p w14:paraId="21571C36" w14:textId="77777777" w:rsidR="00827137" w:rsidRPr="002B3F36" w:rsidRDefault="00827137" w:rsidP="009B4CDB">
            <w:pPr>
              <w:widowControl/>
              <w:numPr>
                <w:ilvl w:val="0"/>
                <w:numId w:val="194"/>
              </w:numPr>
              <w:autoSpaceDE/>
              <w:autoSpaceDN/>
              <w:jc w:val="both"/>
              <w:rPr>
                <w:rFonts w:ascii="Arial" w:eastAsia="Times New Roman" w:hAnsi="Arial" w:cs="Arial"/>
                <w:sz w:val="20"/>
                <w:szCs w:val="20"/>
              </w:rPr>
            </w:pPr>
            <w:r w:rsidRPr="002B3F36">
              <w:rPr>
                <w:rFonts w:ascii="Arial" w:eastAsia="Times New Roman" w:hAnsi="Arial" w:cs="Arial"/>
                <w:sz w:val="20"/>
                <w:szCs w:val="20"/>
              </w:rPr>
              <w:t>Train all workers through toolbox talks on recognizing potential heritage objects and the stop-work protocol.</w:t>
            </w:r>
          </w:p>
          <w:p w14:paraId="25E1FD9D" w14:textId="77777777" w:rsidR="00827137" w:rsidRPr="002B3F36" w:rsidRDefault="00827137" w:rsidP="009B4CDB">
            <w:pPr>
              <w:widowControl/>
              <w:numPr>
                <w:ilvl w:val="0"/>
                <w:numId w:val="194"/>
              </w:numPr>
              <w:autoSpaceDE/>
              <w:autoSpaceDN/>
              <w:jc w:val="both"/>
              <w:rPr>
                <w:rFonts w:ascii="Arial" w:eastAsia="Times New Roman" w:hAnsi="Arial" w:cs="Arial"/>
                <w:sz w:val="20"/>
                <w:szCs w:val="20"/>
              </w:rPr>
            </w:pPr>
            <w:r w:rsidRPr="002B3F36">
              <w:rPr>
                <w:rFonts w:ascii="Arial" w:eastAsia="Times New Roman" w:hAnsi="Arial" w:cs="Arial"/>
                <w:sz w:val="20"/>
                <w:szCs w:val="20"/>
              </w:rPr>
              <w:t>Include contractual clauses prohibiting removal, trading, or personal handling of finds.</w:t>
            </w:r>
          </w:p>
          <w:p w14:paraId="69CB3A23" w14:textId="622BD16C" w:rsidR="00827137" w:rsidRPr="002B3F36" w:rsidRDefault="00827137" w:rsidP="00D26944">
            <w:pPr>
              <w:widowControl/>
              <w:autoSpaceDE/>
              <w:autoSpaceDN/>
              <w:rPr>
                <w:rFonts w:ascii="Arial" w:eastAsia="Times New Roman" w:hAnsi="Arial" w:cs="Arial"/>
                <w:sz w:val="20"/>
                <w:szCs w:val="20"/>
              </w:rPr>
            </w:pPr>
            <w:r w:rsidRPr="002B3F36">
              <w:rPr>
                <w:rFonts w:ascii="Arial" w:eastAsia="Times New Roman" w:hAnsi="Arial" w:cs="Arial"/>
                <w:b/>
                <w:bCs/>
                <w:sz w:val="20"/>
                <w:szCs w:val="20"/>
              </w:rPr>
              <w:t>Chance Finds Procedure</w:t>
            </w:r>
          </w:p>
          <w:p w14:paraId="34824335"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sz w:val="20"/>
                <w:szCs w:val="20"/>
              </w:rPr>
              <w:lastRenderedPageBreak/>
              <w:t>Stop</w:t>
            </w:r>
            <w:r w:rsidRPr="002B3F36">
              <w:rPr>
                <w:rFonts w:ascii="Arial" w:eastAsia="Times New Roman" w:hAnsi="Arial" w:cs="Arial"/>
                <w:b/>
                <w:bCs/>
                <w:sz w:val="20"/>
                <w:szCs w:val="20"/>
              </w:rPr>
              <w:t xml:space="preserve"> Work &amp; Secure</w:t>
            </w:r>
            <w:r w:rsidRPr="002B3F36">
              <w:rPr>
                <w:rFonts w:ascii="Arial" w:eastAsia="Times New Roman" w:hAnsi="Arial" w:cs="Arial"/>
                <w:sz w:val="20"/>
                <w:szCs w:val="20"/>
              </w:rPr>
              <w:t xml:space="preserve">: Immediately cease activities in the discovery area and establish a </w:t>
            </w:r>
            <w:r w:rsidRPr="002B3F36">
              <w:rPr>
                <w:rFonts w:ascii="Arial" w:eastAsia="Times New Roman" w:hAnsi="Arial" w:cs="Arial"/>
                <w:b/>
                <w:bCs/>
                <w:sz w:val="20"/>
                <w:szCs w:val="20"/>
              </w:rPr>
              <w:t>minimum 30 m buffer</w:t>
            </w:r>
            <w:r w:rsidRPr="002B3F36">
              <w:rPr>
                <w:rFonts w:ascii="Arial" w:eastAsia="Times New Roman" w:hAnsi="Arial" w:cs="Arial"/>
                <w:sz w:val="20"/>
                <w:szCs w:val="20"/>
              </w:rPr>
              <w:t>.</w:t>
            </w:r>
          </w:p>
          <w:p w14:paraId="045910B7" w14:textId="70542373"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b/>
                <w:sz w:val="20"/>
                <w:szCs w:val="20"/>
              </w:rPr>
              <w:t>Notify</w:t>
            </w:r>
            <w:r w:rsidRPr="002B3F36">
              <w:rPr>
                <w:rFonts w:ascii="Arial" w:eastAsia="Times New Roman" w:hAnsi="Arial" w:cs="Arial"/>
                <w:sz w:val="20"/>
                <w:szCs w:val="20"/>
              </w:rPr>
              <w:t>: Inform the Engineer and KTZ the same day; KTZ notifies the competent heritage authority.</w:t>
            </w:r>
          </w:p>
          <w:p w14:paraId="67E2E264"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Document</w:t>
            </w:r>
            <w:r w:rsidRPr="002B3F36">
              <w:rPr>
                <w:rFonts w:ascii="Arial" w:eastAsia="Times New Roman" w:hAnsi="Arial" w:cs="Arial"/>
                <w:sz w:val="20"/>
                <w:szCs w:val="20"/>
              </w:rPr>
              <w:t>: Record location, depth, photographs, and brief descriptions; log coordinates in a site register.</w:t>
            </w:r>
          </w:p>
          <w:p w14:paraId="06141316"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Protect &amp; Stabilize</w:t>
            </w:r>
            <w:r w:rsidRPr="002B3F36">
              <w:rPr>
                <w:rFonts w:ascii="Arial" w:eastAsia="Times New Roman" w:hAnsi="Arial" w:cs="Arial"/>
                <w:sz w:val="20"/>
                <w:szCs w:val="20"/>
              </w:rPr>
              <w:t>: Cover or shield the find from vibration, runoff, or tampering.</w:t>
            </w:r>
          </w:p>
          <w:p w14:paraId="4B2CF707"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Evaluation</w:t>
            </w:r>
            <w:r w:rsidRPr="002B3F36">
              <w:rPr>
                <w:rFonts w:ascii="Arial" w:eastAsia="Times New Roman" w:hAnsi="Arial" w:cs="Arial"/>
                <w:sz w:val="20"/>
                <w:szCs w:val="20"/>
              </w:rPr>
              <w:t>: Heritage experts assess the find’s significance and issue recommendations.</w:t>
            </w:r>
          </w:p>
          <w:p w14:paraId="170D9EB0"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Decision &amp; Clearance</w:t>
            </w:r>
            <w:r w:rsidRPr="002B3F36">
              <w:rPr>
                <w:rFonts w:ascii="Arial" w:eastAsia="Times New Roman" w:hAnsi="Arial" w:cs="Arial"/>
                <w:sz w:val="20"/>
                <w:szCs w:val="20"/>
              </w:rPr>
              <w:t xml:space="preserve">: Authorities decide on preservation in situ, salvage excavation, or redesign/avoidance. Work resumes only after </w:t>
            </w:r>
            <w:r w:rsidRPr="002B3F36">
              <w:rPr>
                <w:rFonts w:ascii="Arial" w:eastAsia="Times New Roman" w:hAnsi="Arial" w:cs="Arial"/>
                <w:b/>
                <w:bCs/>
                <w:sz w:val="20"/>
                <w:szCs w:val="20"/>
              </w:rPr>
              <w:t>written clearance</w:t>
            </w:r>
            <w:r w:rsidRPr="002B3F36">
              <w:rPr>
                <w:rFonts w:ascii="Arial" w:eastAsia="Times New Roman" w:hAnsi="Arial" w:cs="Arial"/>
                <w:sz w:val="20"/>
                <w:szCs w:val="20"/>
              </w:rPr>
              <w:t>.</w:t>
            </w:r>
          </w:p>
          <w:p w14:paraId="008D82EF"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b/>
                <w:bCs/>
                <w:sz w:val="20"/>
                <w:szCs w:val="20"/>
              </w:rPr>
              <w:t>Reporting</w:t>
            </w:r>
            <w:r w:rsidRPr="002B3F36">
              <w:rPr>
                <w:rFonts w:ascii="Arial" w:eastAsia="Times New Roman" w:hAnsi="Arial" w:cs="Arial"/>
                <w:sz w:val="20"/>
                <w:szCs w:val="20"/>
              </w:rPr>
              <w:t>: Contractor submits a short Chance Finds Report summarizing the find, actions taken, and authority decision.</w:t>
            </w:r>
          </w:p>
          <w:p w14:paraId="4FE4B8C1" w14:textId="60733565" w:rsidR="00827137" w:rsidRPr="002B3F36" w:rsidRDefault="00827137" w:rsidP="00D26944">
            <w:pPr>
              <w:widowControl/>
              <w:autoSpaceDE/>
              <w:autoSpaceDN/>
              <w:rPr>
                <w:rFonts w:ascii="Arial" w:eastAsia="Times New Roman" w:hAnsi="Arial" w:cs="Arial"/>
                <w:sz w:val="20"/>
                <w:szCs w:val="20"/>
              </w:rPr>
            </w:pPr>
            <w:r w:rsidRPr="002B3F36">
              <w:rPr>
                <w:rFonts w:ascii="Arial" w:eastAsia="Times New Roman" w:hAnsi="Arial" w:cs="Arial"/>
                <w:b/>
                <w:bCs/>
                <w:sz w:val="20"/>
                <w:szCs w:val="20"/>
              </w:rPr>
              <w:t>Ongoing Monitoring during Construction</w:t>
            </w:r>
          </w:p>
          <w:p w14:paraId="1490AB38"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sz w:val="20"/>
                <w:szCs w:val="20"/>
              </w:rPr>
              <w:t xml:space="preserve">Maintain a </w:t>
            </w:r>
            <w:r w:rsidRPr="002B3F36">
              <w:rPr>
                <w:rFonts w:ascii="Arial" w:eastAsia="Times New Roman" w:hAnsi="Arial" w:cs="Arial"/>
                <w:b/>
                <w:bCs/>
                <w:sz w:val="20"/>
                <w:szCs w:val="20"/>
              </w:rPr>
              <w:t>finds kit</w:t>
            </w:r>
            <w:r w:rsidRPr="002B3F36">
              <w:rPr>
                <w:rFonts w:ascii="Arial" w:eastAsia="Times New Roman" w:hAnsi="Arial" w:cs="Arial"/>
                <w:sz w:val="20"/>
                <w:szCs w:val="20"/>
              </w:rPr>
              <w:t xml:space="preserve"> (flagging, GPS, forms, camera) at worksites.</w:t>
            </w:r>
          </w:p>
          <w:p w14:paraId="0D053FE4" w14:textId="77777777" w:rsidR="00827137" w:rsidRPr="002B3F36" w:rsidRDefault="00827137" w:rsidP="009B4CDB">
            <w:pPr>
              <w:widowControl/>
              <w:numPr>
                <w:ilvl w:val="0"/>
                <w:numId w:val="196"/>
              </w:numPr>
              <w:autoSpaceDE/>
              <w:autoSpaceDN/>
              <w:jc w:val="both"/>
              <w:rPr>
                <w:rFonts w:ascii="Arial" w:eastAsia="Times New Roman" w:hAnsi="Arial" w:cs="Arial"/>
                <w:sz w:val="20"/>
                <w:szCs w:val="20"/>
              </w:rPr>
            </w:pPr>
            <w:r w:rsidRPr="002B3F36">
              <w:rPr>
                <w:rFonts w:ascii="Arial" w:eastAsia="Times New Roman" w:hAnsi="Arial" w:cs="Arial"/>
                <w:sz w:val="20"/>
                <w:szCs w:val="20"/>
              </w:rPr>
              <w:t>Include chance finds compliance in monthly E&amp;S monitoring reports.</w:t>
            </w:r>
          </w:p>
          <w:p w14:paraId="7F7AF975" w14:textId="6FEA59CA" w:rsidR="00F61F8E" w:rsidRPr="002B3F36" w:rsidRDefault="00827137" w:rsidP="009B4CDB">
            <w:pPr>
              <w:widowControl/>
              <w:numPr>
                <w:ilvl w:val="0"/>
                <w:numId w:val="196"/>
              </w:numPr>
              <w:autoSpaceDE/>
              <w:autoSpaceDN/>
              <w:jc w:val="both"/>
              <w:rPr>
                <w:rFonts w:ascii="Arial" w:hAnsi="Arial" w:cs="Arial"/>
                <w:sz w:val="20"/>
                <w:szCs w:val="20"/>
              </w:rPr>
            </w:pPr>
            <w:r w:rsidRPr="002B3F36">
              <w:rPr>
                <w:rFonts w:ascii="Arial" w:eastAsia="Times New Roman" w:hAnsi="Arial" w:cs="Arial"/>
                <w:sz w:val="20"/>
                <w:szCs w:val="20"/>
              </w:rPr>
              <w:t>Track KPIs: % of workforce trained, number of finds reported, time to clearance, and Corrective and Preventive Action (CAPA) close-outs.</w:t>
            </w:r>
          </w:p>
        </w:tc>
        <w:tc>
          <w:tcPr>
            <w:tcW w:w="1751" w:type="dxa"/>
          </w:tcPr>
          <w:p w14:paraId="2BC0FFA8" w14:textId="77777777" w:rsidR="00F61F8E" w:rsidRPr="002B3F36" w:rsidRDefault="000F264B">
            <w:pPr>
              <w:shd w:val="clear" w:color="auto" w:fill="FFFFFF"/>
              <w:suppressAutoHyphens/>
              <w:jc w:val="center"/>
              <w:rPr>
                <w:rFonts w:ascii="Arial" w:eastAsia="Arial" w:hAnsi="Arial" w:cs="Arial"/>
                <w:sz w:val="20"/>
                <w:szCs w:val="20"/>
                <w:u w:val="single"/>
                <w:lang w:val="en-AU"/>
              </w:rPr>
            </w:pPr>
            <w:r w:rsidRPr="002B3F36">
              <w:rPr>
                <w:rFonts w:ascii="Arial" w:eastAsia="Arial" w:hAnsi="Arial" w:cs="Arial"/>
                <w:sz w:val="20"/>
                <w:szCs w:val="20"/>
                <w:u w:val="single"/>
                <w:lang w:val="en-AU"/>
              </w:rPr>
              <w:lastRenderedPageBreak/>
              <w:t>KTZ and Supervision Consultants</w:t>
            </w:r>
            <w:r w:rsidRPr="002B3F36">
              <w:rPr>
                <w:rFonts w:ascii="Arial" w:eastAsia="Arial" w:hAnsi="Arial" w:cs="Arial"/>
                <w:sz w:val="20"/>
                <w:szCs w:val="20"/>
                <w:lang w:val="en-AU"/>
              </w:rPr>
              <w:t xml:space="preserve"> to oversee; Contractor’s to implement </w:t>
            </w:r>
          </w:p>
        </w:tc>
        <w:tc>
          <w:tcPr>
            <w:tcW w:w="1332" w:type="dxa"/>
          </w:tcPr>
          <w:p w14:paraId="261C9724" w14:textId="77777777" w:rsidR="00F61F8E" w:rsidRPr="002B3F36" w:rsidRDefault="000F264B">
            <w:pPr>
              <w:shd w:val="clear" w:color="auto" w:fill="FFFFFF"/>
              <w:suppressAutoHyphens/>
              <w:jc w:val="center"/>
              <w:rPr>
                <w:rFonts w:ascii="Arial" w:hAnsi="Arial" w:cs="Arial"/>
                <w:sz w:val="20"/>
                <w:szCs w:val="20"/>
              </w:rPr>
            </w:pPr>
            <w:r w:rsidRPr="002B3F36">
              <w:rPr>
                <w:rFonts w:ascii="Arial" w:eastAsia="Arial" w:hAnsi="Arial" w:cs="Arial"/>
                <w:sz w:val="20"/>
                <w:szCs w:val="20"/>
                <w:lang w:val="en-AU"/>
              </w:rPr>
              <w:t>During construction Stage (</w:t>
            </w:r>
            <w:r w:rsidRPr="002B3F36">
              <w:rPr>
                <w:rFonts w:ascii="Arial" w:eastAsia="Calibri" w:hAnsi="Arial" w:cs="Arial"/>
                <w:sz w:val="20"/>
                <w:szCs w:val="20"/>
              </w:rPr>
              <w:t xml:space="preserve">Budget part of supervision contract; part of </w:t>
            </w:r>
            <w:r w:rsidRPr="002B3F36">
              <w:rPr>
                <w:rFonts w:ascii="Arial" w:eastAsia="Calibri" w:hAnsi="Arial" w:cs="Arial"/>
                <w:sz w:val="20"/>
                <w:szCs w:val="20"/>
              </w:rPr>
              <w:lastRenderedPageBreak/>
              <w:t>operational cost of Contractor)</w:t>
            </w:r>
          </w:p>
        </w:tc>
      </w:tr>
      <w:tr w:rsidR="00F61F8E" w:rsidRPr="002B3F36" w14:paraId="5A34585D" w14:textId="77777777" w:rsidTr="0089733D">
        <w:tblPrEx>
          <w:jc w:val="center"/>
          <w:tblInd w:w="0" w:type="dxa"/>
        </w:tblPrEx>
        <w:trPr>
          <w:jc w:val="center"/>
        </w:trPr>
        <w:tc>
          <w:tcPr>
            <w:tcW w:w="1180" w:type="dxa"/>
          </w:tcPr>
          <w:p w14:paraId="535D274C" w14:textId="77777777" w:rsidR="00F61F8E" w:rsidRPr="002B3F36" w:rsidRDefault="00F61F8E">
            <w:pPr>
              <w:shd w:val="clear" w:color="auto" w:fill="FFFFFF"/>
              <w:suppressAutoHyphens/>
              <w:jc w:val="center"/>
              <w:rPr>
                <w:rFonts w:ascii="Arial" w:eastAsia="Arial" w:hAnsi="Arial" w:cs="Arial"/>
                <w:sz w:val="20"/>
                <w:szCs w:val="20"/>
              </w:rPr>
            </w:pPr>
          </w:p>
        </w:tc>
        <w:tc>
          <w:tcPr>
            <w:tcW w:w="1180" w:type="dxa"/>
          </w:tcPr>
          <w:p w14:paraId="37B97244" w14:textId="77777777" w:rsidR="00F61F8E" w:rsidRPr="002B3F36" w:rsidRDefault="00F61F8E">
            <w:pPr>
              <w:shd w:val="clear" w:color="auto" w:fill="FFFFFF"/>
              <w:suppressAutoHyphens/>
              <w:jc w:val="center"/>
              <w:rPr>
                <w:rFonts w:ascii="Arial" w:eastAsia="Arial" w:hAnsi="Arial" w:cs="Arial"/>
                <w:sz w:val="20"/>
                <w:szCs w:val="20"/>
              </w:rPr>
            </w:pPr>
          </w:p>
        </w:tc>
        <w:tc>
          <w:tcPr>
            <w:tcW w:w="3225" w:type="dxa"/>
          </w:tcPr>
          <w:p w14:paraId="60616481" w14:textId="77777777" w:rsidR="00F61F8E" w:rsidRPr="002B3F36" w:rsidRDefault="00F61F8E">
            <w:pPr>
              <w:shd w:val="clear" w:color="auto" w:fill="FFFFFF"/>
              <w:suppressAutoHyphens/>
              <w:ind w:right="34"/>
              <w:jc w:val="both"/>
              <w:rPr>
                <w:rFonts w:ascii="Arial" w:eastAsia="Arial" w:hAnsi="Arial" w:cs="Arial"/>
                <w:sz w:val="20"/>
                <w:szCs w:val="20"/>
              </w:rPr>
            </w:pPr>
          </w:p>
        </w:tc>
        <w:tc>
          <w:tcPr>
            <w:tcW w:w="5822" w:type="dxa"/>
          </w:tcPr>
          <w:p w14:paraId="1359A5D9" w14:textId="77777777" w:rsidR="00F61F8E" w:rsidRPr="002B3F36" w:rsidRDefault="00F61F8E" w:rsidP="00852147">
            <w:pPr>
              <w:pStyle w:val="BulletTable"/>
              <w:numPr>
                <w:ilvl w:val="0"/>
                <w:numId w:val="0"/>
              </w:numPr>
              <w:tabs>
                <w:tab w:val="clear" w:pos="540"/>
                <w:tab w:val="clear" w:pos="542"/>
              </w:tabs>
              <w:ind w:left="317"/>
              <w:rPr>
                <w:color w:val="auto"/>
                <w:sz w:val="20"/>
                <w:szCs w:val="20"/>
              </w:rPr>
            </w:pPr>
          </w:p>
        </w:tc>
        <w:tc>
          <w:tcPr>
            <w:tcW w:w="1751" w:type="dxa"/>
          </w:tcPr>
          <w:p w14:paraId="713C2868" w14:textId="77777777" w:rsidR="00F61F8E" w:rsidRPr="002B3F36" w:rsidRDefault="00F61F8E">
            <w:pPr>
              <w:shd w:val="clear" w:color="auto" w:fill="FFFFFF"/>
              <w:suppressAutoHyphens/>
              <w:jc w:val="center"/>
              <w:rPr>
                <w:rFonts w:ascii="Arial" w:eastAsia="Arial" w:hAnsi="Arial" w:cs="Arial"/>
                <w:sz w:val="20"/>
                <w:szCs w:val="20"/>
                <w:u w:val="single"/>
                <w:lang w:val="en-AU"/>
              </w:rPr>
            </w:pPr>
          </w:p>
        </w:tc>
        <w:tc>
          <w:tcPr>
            <w:tcW w:w="1332" w:type="dxa"/>
          </w:tcPr>
          <w:p w14:paraId="2BE70EED" w14:textId="77777777" w:rsidR="00F61F8E" w:rsidRPr="002B3F36" w:rsidRDefault="00F61F8E">
            <w:pPr>
              <w:shd w:val="clear" w:color="auto" w:fill="FFFFFF"/>
              <w:suppressAutoHyphens/>
              <w:jc w:val="center"/>
              <w:rPr>
                <w:rFonts w:ascii="Arial" w:hAnsi="Arial" w:cs="Arial"/>
                <w:sz w:val="20"/>
                <w:szCs w:val="20"/>
              </w:rPr>
            </w:pPr>
          </w:p>
        </w:tc>
      </w:tr>
      <w:tr w:rsidR="00F61F8E" w:rsidRPr="002B3F36" w14:paraId="270121D8" w14:textId="77777777" w:rsidTr="0089733D">
        <w:tc>
          <w:tcPr>
            <w:tcW w:w="1180" w:type="dxa"/>
            <w:shd w:val="clear" w:color="auto" w:fill="D9D9D9"/>
          </w:tcPr>
          <w:p w14:paraId="252EBF74" w14:textId="77777777" w:rsidR="00F61F8E" w:rsidRPr="002B3F36" w:rsidRDefault="00F61F8E">
            <w:pPr>
              <w:rPr>
                <w:rFonts w:ascii="Arial" w:hAnsi="Arial" w:cs="Arial"/>
                <w:b/>
                <w:sz w:val="20"/>
                <w:szCs w:val="20"/>
              </w:rPr>
            </w:pPr>
          </w:p>
        </w:tc>
        <w:tc>
          <w:tcPr>
            <w:tcW w:w="1180" w:type="dxa"/>
            <w:shd w:val="clear" w:color="auto" w:fill="D9D9D9"/>
          </w:tcPr>
          <w:p w14:paraId="0D738C8D" w14:textId="77777777" w:rsidR="00F61F8E" w:rsidRPr="002B3F36" w:rsidRDefault="00F61F8E">
            <w:pPr>
              <w:rPr>
                <w:rFonts w:ascii="Arial" w:hAnsi="Arial" w:cs="Arial"/>
                <w:b/>
                <w:sz w:val="20"/>
                <w:szCs w:val="20"/>
              </w:rPr>
            </w:pPr>
          </w:p>
        </w:tc>
        <w:tc>
          <w:tcPr>
            <w:tcW w:w="9047" w:type="dxa"/>
            <w:gridSpan w:val="2"/>
            <w:shd w:val="clear" w:color="auto" w:fill="D9D9D9"/>
          </w:tcPr>
          <w:p w14:paraId="24E3B4AC" w14:textId="689CFE67" w:rsidR="00F61F8E" w:rsidRPr="002B3F36" w:rsidRDefault="000F264B">
            <w:pPr>
              <w:rPr>
                <w:rFonts w:ascii="Arial" w:hAnsi="Arial" w:cs="Arial"/>
                <w:b/>
                <w:sz w:val="20"/>
                <w:szCs w:val="20"/>
              </w:rPr>
            </w:pPr>
            <w:r w:rsidRPr="002B3F36">
              <w:rPr>
                <w:rFonts w:ascii="Arial" w:hAnsi="Arial" w:cs="Arial"/>
                <w:b/>
                <w:sz w:val="20"/>
                <w:szCs w:val="20"/>
              </w:rPr>
              <w:t>During Operations (</w:t>
            </w:r>
            <w:r w:rsidR="000C7CC2" w:rsidRPr="002B3F36">
              <w:rPr>
                <w:rFonts w:ascii="Arial" w:hAnsi="Arial" w:cs="Arial"/>
                <w:b/>
                <w:sz w:val="20"/>
                <w:szCs w:val="20"/>
              </w:rPr>
              <w:t>PS</w:t>
            </w:r>
            <w:r w:rsidRPr="002B3F36">
              <w:rPr>
                <w:rFonts w:ascii="Arial" w:hAnsi="Arial" w:cs="Arial"/>
                <w:b/>
                <w:sz w:val="20"/>
                <w:szCs w:val="20"/>
              </w:rPr>
              <w:t xml:space="preserve"> 1, 2,3,4,6)</w:t>
            </w:r>
          </w:p>
        </w:tc>
        <w:tc>
          <w:tcPr>
            <w:tcW w:w="1751" w:type="dxa"/>
            <w:shd w:val="clear" w:color="auto" w:fill="D9D9D9"/>
          </w:tcPr>
          <w:p w14:paraId="4E96EDD8" w14:textId="77777777" w:rsidR="00F61F8E" w:rsidRPr="002B3F36" w:rsidRDefault="00F61F8E">
            <w:pPr>
              <w:rPr>
                <w:rFonts w:ascii="Arial" w:hAnsi="Arial" w:cs="Arial"/>
                <w:b/>
                <w:sz w:val="20"/>
                <w:szCs w:val="20"/>
              </w:rPr>
            </w:pPr>
          </w:p>
        </w:tc>
        <w:tc>
          <w:tcPr>
            <w:tcW w:w="1332" w:type="dxa"/>
            <w:shd w:val="clear" w:color="auto" w:fill="D9D9D9"/>
          </w:tcPr>
          <w:p w14:paraId="0F2F5CA0" w14:textId="77777777" w:rsidR="00F61F8E" w:rsidRPr="002B3F36" w:rsidRDefault="00F61F8E">
            <w:pPr>
              <w:rPr>
                <w:rFonts w:ascii="Arial" w:hAnsi="Arial" w:cs="Arial"/>
                <w:b/>
                <w:sz w:val="20"/>
                <w:szCs w:val="20"/>
              </w:rPr>
            </w:pPr>
          </w:p>
        </w:tc>
      </w:tr>
      <w:tr w:rsidR="00236F0D" w:rsidRPr="002B3F36" w14:paraId="0E1A57FD" w14:textId="77777777" w:rsidTr="0089733D">
        <w:tc>
          <w:tcPr>
            <w:tcW w:w="1180" w:type="dxa"/>
          </w:tcPr>
          <w:p w14:paraId="1EA387C0" w14:textId="77777777" w:rsidR="00236F0D" w:rsidRPr="002B3F36" w:rsidRDefault="00236F0D" w:rsidP="00150E2B">
            <w:pPr>
              <w:shd w:val="clear" w:color="auto" w:fill="FFFFFF"/>
              <w:suppressAutoHyphens/>
              <w:jc w:val="center"/>
              <w:rPr>
                <w:rFonts w:ascii="Arial" w:hAnsi="Arial" w:cs="Arial"/>
                <w:sz w:val="20"/>
                <w:szCs w:val="20"/>
              </w:rPr>
            </w:pPr>
          </w:p>
        </w:tc>
        <w:tc>
          <w:tcPr>
            <w:tcW w:w="1180" w:type="dxa"/>
            <w:vAlign w:val="center"/>
          </w:tcPr>
          <w:p w14:paraId="029B9F94" w14:textId="77777777" w:rsidR="00236F0D" w:rsidRPr="002B3F36" w:rsidRDefault="00236F0D" w:rsidP="00150E2B">
            <w:pPr>
              <w:shd w:val="clear" w:color="auto" w:fill="FFFFFF"/>
              <w:suppressAutoHyphens/>
              <w:jc w:val="center"/>
              <w:rPr>
                <w:rFonts w:ascii="Arial" w:hAnsi="Arial" w:cs="Arial"/>
                <w:sz w:val="20"/>
                <w:szCs w:val="20"/>
              </w:rPr>
            </w:pPr>
          </w:p>
        </w:tc>
        <w:tc>
          <w:tcPr>
            <w:tcW w:w="3225" w:type="dxa"/>
            <w:vAlign w:val="center"/>
          </w:tcPr>
          <w:p w14:paraId="2745A78A" w14:textId="77777777" w:rsidR="00236F0D" w:rsidRPr="002B3F36" w:rsidRDefault="00236F0D" w:rsidP="00150E2B">
            <w:pPr>
              <w:shd w:val="clear" w:color="auto" w:fill="FFFFFF"/>
              <w:suppressAutoHyphens/>
              <w:ind w:right="34"/>
              <w:jc w:val="both"/>
              <w:rPr>
                <w:rFonts w:ascii="Arial" w:eastAsia="Calibri" w:hAnsi="Arial" w:cs="Arial"/>
                <w:sz w:val="20"/>
                <w:szCs w:val="20"/>
              </w:rPr>
            </w:pPr>
          </w:p>
        </w:tc>
        <w:tc>
          <w:tcPr>
            <w:tcW w:w="5822" w:type="dxa"/>
            <w:vAlign w:val="center"/>
          </w:tcPr>
          <w:p w14:paraId="36392A82" w14:textId="77777777" w:rsidR="00236F0D" w:rsidRPr="002B3F36" w:rsidRDefault="00236F0D" w:rsidP="00150E2B">
            <w:pPr>
              <w:shd w:val="clear" w:color="auto" w:fill="FFFFFF"/>
              <w:suppressAutoHyphens/>
              <w:contextualSpacing/>
              <w:jc w:val="both"/>
              <w:rPr>
                <w:rFonts w:ascii="Arial" w:eastAsia="Calibri" w:hAnsi="Arial" w:cs="Arial"/>
                <w:iCs/>
                <w:sz w:val="20"/>
                <w:szCs w:val="20"/>
              </w:rPr>
            </w:pPr>
          </w:p>
        </w:tc>
        <w:tc>
          <w:tcPr>
            <w:tcW w:w="1751" w:type="dxa"/>
          </w:tcPr>
          <w:p w14:paraId="4A2091BF" w14:textId="77777777" w:rsidR="00236F0D" w:rsidRPr="002B3F36" w:rsidRDefault="00236F0D" w:rsidP="00150E2B">
            <w:pPr>
              <w:suppressAutoHyphens/>
              <w:jc w:val="center"/>
              <w:rPr>
                <w:rFonts w:ascii="Arial" w:eastAsia="Arial" w:hAnsi="Arial" w:cs="Arial"/>
                <w:sz w:val="20"/>
                <w:szCs w:val="20"/>
                <w:lang w:val="en-AU"/>
              </w:rPr>
            </w:pPr>
          </w:p>
        </w:tc>
        <w:tc>
          <w:tcPr>
            <w:tcW w:w="1332" w:type="dxa"/>
          </w:tcPr>
          <w:p w14:paraId="5E842207" w14:textId="77777777" w:rsidR="00236F0D" w:rsidRPr="002B3F36" w:rsidRDefault="00236F0D" w:rsidP="00150E2B">
            <w:pPr>
              <w:suppressAutoHyphens/>
              <w:jc w:val="center"/>
              <w:rPr>
                <w:rFonts w:ascii="Arial" w:eastAsia="Arial" w:hAnsi="Arial" w:cs="Arial"/>
                <w:sz w:val="20"/>
                <w:szCs w:val="20"/>
                <w:lang w:val="en-AU"/>
              </w:rPr>
            </w:pPr>
          </w:p>
        </w:tc>
      </w:tr>
      <w:tr w:rsidR="00236F0D" w:rsidRPr="002B3F36" w14:paraId="5E8BCA80" w14:textId="77777777" w:rsidTr="0089733D">
        <w:tc>
          <w:tcPr>
            <w:tcW w:w="1180" w:type="dxa"/>
            <w:vAlign w:val="center"/>
          </w:tcPr>
          <w:p w14:paraId="23AE388A" w14:textId="7F99D5BB"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PS1</w:t>
            </w:r>
          </w:p>
        </w:tc>
        <w:tc>
          <w:tcPr>
            <w:tcW w:w="1180" w:type="dxa"/>
          </w:tcPr>
          <w:p w14:paraId="6DBBBF60" w14:textId="152C720F" w:rsidR="00236F0D" w:rsidRPr="002B3F36" w:rsidRDefault="00236F0D" w:rsidP="00236F0D">
            <w:pPr>
              <w:shd w:val="clear" w:color="auto" w:fill="FFFFFF"/>
              <w:suppressAutoHyphens/>
              <w:jc w:val="center"/>
              <w:rPr>
                <w:rFonts w:ascii="Arial" w:hAnsi="Arial" w:cs="Arial"/>
                <w:sz w:val="20"/>
                <w:szCs w:val="20"/>
                <w:lang w:val="en-PH" w:eastAsia="en-PH"/>
              </w:rPr>
            </w:pPr>
          </w:p>
        </w:tc>
        <w:tc>
          <w:tcPr>
            <w:tcW w:w="3225" w:type="dxa"/>
          </w:tcPr>
          <w:p w14:paraId="56A9BD62" w14:textId="0B163578"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 xml:space="preserve">The project will introduce social and environmental risks and impacts that need to be identified and </w:t>
            </w:r>
            <w:r w:rsidR="007503B5" w:rsidRPr="002B3F36">
              <w:rPr>
                <w:rFonts w:ascii="Arial" w:hAnsi="Arial" w:cs="Arial"/>
                <w:sz w:val="20"/>
                <w:szCs w:val="20"/>
                <w:lang w:val="en-PH" w:eastAsia="en-PH"/>
              </w:rPr>
              <w:t>assessed</w:t>
            </w:r>
          </w:p>
        </w:tc>
        <w:tc>
          <w:tcPr>
            <w:tcW w:w="5822" w:type="dxa"/>
          </w:tcPr>
          <w:p w14:paraId="48D34E04" w14:textId="5862C008"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Conduct ESIA and formulate ESMP consistent with WB PSs and national requirements for the operations.</w:t>
            </w:r>
          </w:p>
        </w:tc>
        <w:tc>
          <w:tcPr>
            <w:tcW w:w="1751" w:type="dxa"/>
          </w:tcPr>
          <w:p w14:paraId="6D64BB21" w14:textId="4C23F98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4C6BCC5C" w14:textId="1B297695"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131BDD72" w14:textId="77777777" w:rsidTr="0089733D">
        <w:tc>
          <w:tcPr>
            <w:tcW w:w="1180" w:type="dxa"/>
            <w:vAlign w:val="center"/>
          </w:tcPr>
          <w:p w14:paraId="33E46B9D" w14:textId="4BA96A22"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PS2</w:t>
            </w:r>
          </w:p>
        </w:tc>
        <w:tc>
          <w:tcPr>
            <w:tcW w:w="1180" w:type="dxa"/>
          </w:tcPr>
          <w:p w14:paraId="5D013B14" w14:textId="65207832" w:rsidR="00236F0D" w:rsidRPr="002B3F36" w:rsidRDefault="00236F0D" w:rsidP="00236F0D">
            <w:pPr>
              <w:shd w:val="clear" w:color="auto" w:fill="FFFFFF"/>
              <w:suppressAutoHyphens/>
              <w:jc w:val="center"/>
              <w:rPr>
                <w:rFonts w:ascii="Arial" w:hAnsi="Arial" w:cs="Arial"/>
                <w:sz w:val="20"/>
                <w:szCs w:val="20"/>
                <w:lang w:val="en-PH" w:eastAsia="en-PH"/>
              </w:rPr>
            </w:pPr>
          </w:p>
        </w:tc>
        <w:tc>
          <w:tcPr>
            <w:tcW w:w="3225" w:type="dxa"/>
          </w:tcPr>
          <w:p w14:paraId="13444E54" w14:textId="1320A3E1"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 xml:space="preserve">The maintenance work would employ use of materials and </w:t>
            </w:r>
            <w:r w:rsidRPr="002B3F36">
              <w:rPr>
                <w:rFonts w:ascii="Arial" w:hAnsi="Arial" w:cs="Arial"/>
                <w:sz w:val="20"/>
                <w:szCs w:val="20"/>
                <w:lang w:val="en-PH" w:eastAsia="en-PH"/>
              </w:rPr>
              <w:lastRenderedPageBreak/>
              <w:t>equipment which may be hazardous to workers</w:t>
            </w:r>
          </w:p>
        </w:tc>
        <w:tc>
          <w:tcPr>
            <w:tcW w:w="5822" w:type="dxa"/>
          </w:tcPr>
          <w:p w14:paraId="663BB013"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lastRenderedPageBreak/>
              <w:t xml:space="preserve">Mitigate impacts due to exposure of workers to occupational hazards and issues </w:t>
            </w:r>
          </w:p>
          <w:p w14:paraId="1ADEB1BB"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lastRenderedPageBreak/>
              <w:t>Equip workers with sufficient PPE.</w:t>
            </w:r>
          </w:p>
          <w:p w14:paraId="3E7D9ABF" w14:textId="6C550AD4"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Provide Traffic Safety Management during operations</w:t>
            </w:r>
          </w:p>
        </w:tc>
        <w:tc>
          <w:tcPr>
            <w:tcW w:w="1751" w:type="dxa"/>
          </w:tcPr>
          <w:p w14:paraId="73A66DFF" w14:textId="20B6FC3C"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lastRenderedPageBreak/>
              <w:t xml:space="preserve">KTZ to implement </w:t>
            </w:r>
          </w:p>
        </w:tc>
        <w:tc>
          <w:tcPr>
            <w:tcW w:w="1332" w:type="dxa"/>
          </w:tcPr>
          <w:p w14:paraId="52D6BCF5" w14:textId="26F755E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During operations </w:t>
            </w:r>
            <w:r w:rsidRPr="002B3F36">
              <w:rPr>
                <w:rFonts w:ascii="Arial" w:eastAsia="Arial" w:hAnsi="Arial" w:cs="Arial"/>
                <w:sz w:val="20"/>
                <w:szCs w:val="20"/>
                <w:lang w:val="en-AU"/>
              </w:rPr>
              <w:lastRenderedPageBreak/>
              <w:t>Stage (</w:t>
            </w:r>
            <w:r w:rsidRPr="002B3F36">
              <w:rPr>
                <w:rFonts w:ascii="Arial" w:eastAsia="Calibri" w:hAnsi="Arial" w:cs="Arial"/>
                <w:sz w:val="20"/>
                <w:szCs w:val="20"/>
              </w:rPr>
              <w:t>Budget; part of operational cost of KTZ)</w:t>
            </w:r>
          </w:p>
        </w:tc>
      </w:tr>
      <w:tr w:rsidR="00236F0D" w:rsidRPr="002B3F36" w14:paraId="6A986E5A" w14:textId="77777777" w:rsidTr="0089733D">
        <w:tc>
          <w:tcPr>
            <w:tcW w:w="1180" w:type="dxa"/>
          </w:tcPr>
          <w:p w14:paraId="3AABCD71" w14:textId="24537009"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rPr>
              <w:t>PS3</w:t>
            </w:r>
          </w:p>
        </w:tc>
        <w:tc>
          <w:tcPr>
            <w:tcW w:w="1180" w:type="dxa"/>
          </w:tcPr>
          <w:p w14:paraId="6BF53DFE" w14:textId="29B012B2" w:rsidR="00236F0D" w:rsidRPr="002B3F36" w:rsidRDefault="00236F0D" w:rsidP="00236F0D">
            <w:pPr>
              <w:shd w:val="clear" w:color="auto" w:fill="FFFFFF"/>
              <w:suppressAutoHyphens/>
              <w:jc w:val="center"/>
              <w:rPr>
                <w:rFonts w:ascii="Arial" w:hAnsi="Arial" w:cs="Arial"/>
                <w:sz w:val="20"/>
                <w:szCs w:val="20"/>
              </w:rPr>
            </w:pPr>
          </w:p>
        </w:tc>
        <w:tc>
          <w:tcPr>
            <w:tcW w:w="3225" w:type="dxa"/>
          </w:tcPr>
          <w:p w14:paraId="3A58203A" w14:textId="69E381F0" w:rsidR="00236F0D" w:rsidRPr="002B3F36" w:rsidRDefault="00236F0D" w:rsidP="00236F0D">
            <w:pPr>
              <w:shd w:val="clear" w:color="auto" w:fill="FFFFFF"/>
              <w:suppressAutoHyphens/>
              <w:ind w:right="34"/>
              <w:jc w:val="both"/>
              <w:rPr>
                <w:rFonts w:ascii="Arial" w:eastAsia="Calibri" w:hAnsi="Arial" w:cs="Arial"/>
                <w:sz w:val="20"/>
                <w:szCs w:val="20"/>
              </w:rPr>
            </w:pPr>
            <w:r w:rsidRPr="002B3F36">
              <w:rPr>
                <w:rFonts w:ascii="Arial" w:hAnsi="Arial" w:cs="Arial"/>
                <w:sz w:val="20"/>
                <w:szCs w:val="20"/>
                <w:lang w:val="en-PH" w:eastAsia="en-PH"/>
              </w:rPr>
              <w:t>Soil erosion from the embankment side without erosion protection and contaminating the nearby water body through runoff</w:t>
            </w:r>
          </w:p>
        </w:tc>
        <w:tc>
          <w:tcPr>
            <w:tcW w:w="5822" w:type="dxa"/>
          </w:tcPr>
          <w:p w14:paraId="61D91AB9" w14:textId="57FCBF7C" w:rsidR="00236F0D" w:rsidRPr="002B3F36" w:rsidRDefault="00236F0D" w:rsidP="00236F0D">
            <w:pPr>
              <w:shd w:val="clear" w:color="auto" w:fill="FFFFFF"/>
              <w:suppressAutoHyphens/>
              <w:contextualSpacing/>
              <w:jc w:val="both"/>
              <w:rPr>
                <w:rFonts w:ascii="Arial" w:eastAsia="Calibri" w:hAnsi="Arial" w:cs="Arial"/>
                <w:iCs/>
                <w:sz w:val="20"/>
                <w:szCs w:val="20"/>
              </w:rPr>
            </w:pPr>
            <w:r w:rsidRPr="002B3F36">
              <w:rPr>
                <w:rFonts w:ascii="Arial" w:hAnsi="Arial" w:cs="Arial"/>
                <w:sz w:val="20"/>
                <w:szCs w:val="20"/>
                <w:lang w:val="en-PH" w:eastAsia="en-PH"/>
              </w:rPr>
              <w:t>All embankments need to be revegetated to prevent erosion. Other erosion control or covers should be installed in lieu of vegetative covers.</w:t>
            </w:r>
          </w:p>
        </w:tc>
        <w:tc>
          <w:tcPr>
            <w:tcW w:w="1751" w:type="dxa"/>
          </w:tcPr>
          <w:p w14:paraId="60E31A40" w14:textId="79A82D8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0372EA70" w14:textId="43E86CD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25B7A4D1" w14:textId="77777777" w:rsidTr="0089733D">
        <w:tc>
          <w:tcPr>
            <w:tcW w:w="1180" w:type="dxa"/>
          </w:tcPr>
          <w:p w14:paraId="74CE5E37" w14:textId="77777777" w:rsidR="00236F0D" w:rsidRPr="002B3F36" w:rsidRDefault="00236F0D" w:rsidP="00236F0D">
            <w:pPr>
              <w:shd w:val="clear" w:color="auto" w:fill="FFFFFF"/>
              <w:suppressAutoHyphens/>
              <w:jc w:val="center"/>
              <w:rPr>
                <w:rFonts w:ascii="Arial" w:hAnsi="Arial" w:cs="Arial"/>
                <w:sz w:val="20"/>
                <w:szCs w:val="20"/>
                <w:lang w:val="en-PH" w:eastAsia="en-PH"/>
              </w:rPr>
            </w:pPr>
          </w:p>
        </w:tc>
        <w:tc>
          <w:tcPr>
            <w:tcW w:w="1180" w:type="dxa"/>
          </w:tcPr>
          <w:p w14:paraId="2C0156EC" w14:textId="62CA0C28" w:rsidR="00236F0D" w:rsidRPr="002B3F36" w:rsidRDefault="00236F0D" w:rsidP="00236F0D">
            <w:pPr>
              <w:shd w:val="clear" w:color="auto" w:fill="FFFFFF"/>
              <w:suppressAutoHyphens/>
              <w:jc w:val="center"/>
              <w:rPr>
                <w:rFonts w:ascii="Arial" w:hAnsi="Arial" w:cs="Arial"/>
                <w:sz w:val="20"/>
                <w:szCs w:val="20"/>
                <w:lang w:val="en-PH" w:eastAsia="en-PH"/>
              </w:rPr>
            </w:pPr>
          </w:p>
        </w:tc>
        <w:tc>
          <w:tcPr>
            <w:tcW w:w="3225" w:type="dxa"/>
          </w:tcPr>
          <w:p w14:paraId="4A7067C9" w14:textId="6E0DE115"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T</w:t>
            </w:r>
            <w:r w:rsidR="007503B5" w:rsidRPr="002B3F36">
              <w:rPr>
                <w:rFonts w:ascii="Arial" w:hAnsi="Arial" w:cs="Arial"/>
                <w:sz w:val="20"/>
                <w:szCs w:val="20"/>
                <w:lang w:val="en-PH" w:eastAsia="en-PH"/>
              </w:rPr>
              <w:t>r</w:t>
            </w:r>
            <w:r w:rsidRPr="002B3F36">
              <w:rPr>
                <w:rFonts w:ascii="Arial" w:hAnsi="Arial" w:cs="Arial"/>
                <w:sz w:val="20"/>
                <w:szCs w:val="20"/>
                <w:lang w:val="en-PH" w:eastAsia="en-PH"/>
              </w:rPr>
              <w:t xml:space="preserve">ain crash accidents along railroad may occur and result into spills of fuels on the </w:t>
            </w:r>
            <w:r w:rsidRPr="002B3F36">
              <w:rPr>
                <w:rFonts w:ascii="Arial" w:hAnsi="Arial" w:cs="Arial"/>
                <w:sz w:val="20"/>
                <w:szCs w:val="20"/>
                <w:lang w:val="en-PH"/>
              </w:rPr>
              <w:t>rail</w:t>
            </w:r>
            <w:r w:rsidRPr="002B3F36">
              <w:rPr>
                <w:rFonts w:ascii="Arial" w:hAnsi="Arial" w:cs="Arial"/>
                <w:sz w:val="20"/>
                <w:szCs w:val="20"/>
                <w:lang w:val="en-PH" w:eastAsia="en-PH"/>
              </w:rPr>
              <w:t>road and to adjacent vicinities</w:t>
            </w:r>
          </w:p>
        </w:tc>
        <w:tc>
          <w:tcPr>
            <w:tcW w:w="5822" w:type="dxa"/>
          </w:tcPr>
          <w:p w14:paraId="554A71DF" w14:textId="3A4C18FB"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In case of accidents with spills, concerned agencies should be equipped with clean-up equipment and materials to immediately remove petroleum product spill-age from the accident sites.</w:t>
            </w:r>
          </w:p>
        </w:tc>
        <w:tc>
          <w:tcPr>
            <w:tcW w:w="1751" w:type="dxa"/>
          </w:tcPr>
          <w:p w14:paraId="23FF4869" w14:textId="46A530D4"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1389BA2A" w14:textId="4A4F06F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2612184C" w14:textId="77777777" w:rsidTr="0089733D">
        <w:tc>
          <w:tcPr>
            <w:tcW w:w="1180" w:type="dxa"/>
          </w:tcPr>
          <w:p w14:paraId="113AAB50" w14:textId="011747FE"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Environmental and Social Assessment</w:t>
            </w:r>
          </w:p>
        </w:tc>
        <w:tc>
          <w:tcPr>
            <w:tcW w:w="1180" w:type="dxa"/>
          </w:tcPr>
          <w:p w14:paraId="12CAD72F" w14:textId="4F770B7C"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0AADE59E" w14:textId="56EB1AAF"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Noise from trains will be elevated and can disturb wildlife;</w:t>
            </w:r>
            <w:r w:rsidRPr="002B3F36">
              <w:rPr>
                <w:rFonts w:ascii="Arial" w:hAnsi="Arial" w:cs="Arial"/>
                <w:sz w:val="20"/>
                <w:szCs w:val="20"/>
                <w:lang w:val="en-PH" w:eastAsia="en-PH"/>
              </w:rPr>
              <w:br/>
              <w:t>In certain seasons, the migration of Saiga may be disrupted</w:t>
            </w:r>
          </w:p>
        </w:tc>
        <w:tc>
          <w:tcPr>
            <w:tcW w:w="5822" w:type="dxa"/>
          </w:tcPr>
          <w:p w14:paraId="4C4E9313" w14:textId="146B9AEC"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Alert/ Train operators on not sounding Locomotive horn.  Put sufficient signages for control of noise.</w:t>
            </w:r>
          </w:p>
        </w:tc>
        <w:tc>
          <w:tcPr>
            <w:tcW w:w="1751" w:type="dxa"/>
          </w:tcPr>
          <w:p w14:paraId="7D6D0DF9" w14:textId="54CBE6CF"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5BBE1400" w14:textId="2D62774E"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38434AD8" w14:textId="77777777" w:rsidTr="0089733D">
        <w:tc>
          <w:tcPr>
            <w:tcW w:w="1180" w:type="dxa"/>
          </w:tcPr>
          <w:p w14:paraId="73FD99CB" w14:textId="75318588"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lang w:val="en-PH" w:eastAsia="en-PH"/>
              </w:rPr>
              <w:t>Occupational Health and Safety Hazard</w:t>
            </w:r>
          </w:p>
        </w:tc>
        <w:tc>
          <w:tcPr>
            <w:tcW w:w="1180" w:type="dxa"/>
          </w:tcPr>
          <w:p w14:paraId="6301EAEB" w14:textId="0AAC1682"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lang w:val="en-PH" w:eastAsia="en-PH"/>
              </w:rPr>
              <w:t>Railway Operations</w:t>
            </w:r>
          </w:p>
        </w:tc>
        <w:tc>
          <w:tcPr>
            <w:tcW w:w="3225" w:type="dxa"/>
          </w:tcPr>
          <w:p w14:paraId="5B9E220B" w14:textId="7CC645B8" w:rsidR="00236F0D" w:rsidRPr="002B3F36" w:rsidRDefault="00236F0D" w:rsidP="00236F0D">
            <w:pPr>
              <w:shd w:val="clear" w:color="auto" w:fill="FFFFFF"/>
              <w:suppressAutoHyphens/>
              <w:ind w:right="34"/>
              <w:jc w:val="both"/>
              <w:rPr>
                <w:rFonts w:ascii="Arial" w:eastAsia="Calibri" w:hAnsi="Arial" w:cs="Arial"/>
                <w:sz w:val="20"/>
                <w:szCs w:val="20"/>
              </w:rPr>
            </w:pPr>
            <w:r w:rsidRPr="002B3F36">
              <w:rPr>
                <w:rFonts w:ascii="Arial" w:hAnsi="Arial" w:cs="Arial"/>
                <w:sz w:val="20"/>
                <w:szCs w:val="20"/>
                <w:lang w:val="en-PH" w:eastAsia="en-PH"/>
              </w:rPr>
              <w:t>People riding the train may resort to throwing away garbage along the railroad corridor</w:t>
            </w:r>
          </w:p>
        </w:tc>
        <w:tc>
          <w:tcPr>
            <w:tcW w:w="5822" w:type="dxa"/>
          </w:tcPr>
          <w:p w14:paraId="5C8CF6AE" w14:textId="5D6D90DD" w:rsidR="00236F0D" w:rsidRPr="002B3F36" w:rsidRDefault="00236F0D" w:rsidP="00236F0D">
            <w:pPr>
              <w:shd w:val="clear" w:color="auto" w:fill="FFFFFF"/>
              <w:suppressAutoHyphens/>
              <w:contextualSpacing/>
              <w:jc w:val="both"/>
              <w:rPr>
                <w:rFonts w:ascii="Arial" w:eastAsia="Calibri" w:hAnsi="Arial" w:cs="Arial"/>
                <w:iCs/>
                <w:sz w:val="20"/>
                <w:szCs w:val="20"/>
              </w:rPr>
            </w:pPr>
            <w:r w:rsidRPr="002B3F36">
              <w:rPr>
                <w:rFonts w:ascii="Arial" w:hAnsi="Arial" w:cs="Arial"/>
                <w:sz w:val="20"/>
                <w:szCs w:val="20"/>
                <w:lang w:val="en-PH" w:eastAsia="en-PH"/>
              </w:rPr>
              <w:t>Put signages prohibiting littering along the railroad and on roads leading to stations or tracks</w:t>
            </w:r>
            <w:r w:rsidRPr="002B3F36">
              <w:rPr>
                <w:rFonts w:ascii="Arial" w:hAnsi="Arial" w:cs="Arial"/>
                <w:sz w:val="20"/>
                <w:szCs w:val="20"/>
                <w:lang w:val="en-PH" w:eastAsia="en-PH"/>
              </w:rPr>
              <w:br/>
              <w:t>Install garbage bins at strategic locations in train facilities to be collected regularly by maintenance unit for railroad</w:t>
            </w:r>
          </w:p>
        </w:tc>
        <w:tc>
          <w:tcPr>
            <w:tcW w:w="1751" w:type="dxa"/>
          </w:tcPr>
          <w:p w14:paraId="26E066A0" w14:textId="3587B897"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09CDD3CE" w14:textId="32C136BF"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38C0EABD" w14:textId="77777777" w:rsidTr="0089733D">
        <w:tc>
          <w:tcPr>
            <w:tcW w:w="1180" w:type="dxa"/>
          </w:tcPr>
          <w:p w14:paraId="089B257A" w14:textId="07DC9D55"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Erosion and sedimentation</w:t>
            </w:r>
          </w:p>
        </w:tc>
        <w:tc>
          <w:tcPr>
            <w:tcW w:w="1180" w:type="dxa"/>
          </w:tcPr>
          <w:p w14:paraId="42F9671A" w14:textId="06E8394B"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74F5299B" w14:textId="7D943227"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Train traffic will pose safety Risks to local population</w:t>
            </w:r>
          </w:p>
        </w:tc>
        <w:tc>
          <w:tcPr>
            <w:tcW w:w="5822" w:type="dxa"/>
          </w:tcPr>
          <w:p w14:paraId="7C4A255A" w14:textId="033E1325"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 xml:space="preserve">Install sufficient safety signages along the access roads leading to </w:t>
            </w:r>
            <w:r w:rsidR="007503B5" w:rsidRPr="002B3F36">
              <w:rPr>
                <w:rFonts w:ascii="Arial" w:hAnsi="Arial" w:cs="Arial"/>
                <w:sz w:val="20"/>
                <w:szCs w:val="20"/>
                <w:lang w:val="en-PH" w:eastAsia="en-PH"/>
              </w:rPr>
              <w:t>facilities</w:t>
            </w:r>
            <w:r w:rsidRPr="002B3F36">
              <w:rPr>
                <w:rFonts w:ascii="Arial" w:hAnsi="Arial" w:cs="Arial"/>
                <w:sz w:val="20"/>
                <w:szCs w:val="20"/>
                <w:lang w:val="en-PH" w:eastAsia="en-PH"/>
              </w:rPr>
              <w:t xml:space="preserve"> of the railway</w:t>
            </w:r>
          </w:p>
        </w:tc>
        <w:tc>
          <w:tcPr>
            <w:tcW w:w="1751" w:type="dxa"/>
          </w:tcPr>
          <w:p w14:paraId="4387EC40" w14:textId="395E1893"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507F2525" w14:textId="69E19B69"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 xml:space="preserve">Budget; part of operational </w:t>
            </w:r>
            <w:r w:rsidRPr="002B3F36">
              <w:rPr>
                <w:rFonts w:ascii="Arial" w:eastAsia="Calibri" w:hAnsi="Arial" w:cs="Arial"/>
                <w:sz w:val="20"/>
                <w:szCs w:val="20"/>
              </w:rPr>
              <w:lastRenderedPageBreak/>
              <w:t>cost of KTZ)</w:t>
            </w:r>
          </w:p>
        </w:tc>
      </w:tr>
      <w:tr w:rsidR="00236F0D" w:rsidRPr="002B3F36" w14:paraId="3B996152" w14:textId="77777777" w:rsidTr="0089733D">
        <w:tc>
          <w:tcPr>
            <w:tcW w:w="1180" w:type="dxa"/>
          </w:tcPr>
          <w:p w14:paraId="5BFA1685" w14:textId="358C8CB0"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Water Quality</w:t>
            </w:r>
          </w:p>
        </w:tc>
        <w:tc>
          <w:tcPr>
            <w:tcW w:w="1180" w:type="dxa"/>
          </w:tcPr>
          <w:p w14:paraId="243EDF8F" w14:textId="15EAB157"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1B13325D" w14:textId="0CDE734F"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Noise and pollution to Fauna will be introduced by the train traffic</w:t>
            </w:r>
          </w:p>
        </w:tc>
        <w:tc>
          <w:tcPr>
            <w:tcW w:w="5822" w:type="dxa"/>
          </w:tcPr>
          <w:p w14:paraId="4CFA52AC"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t xml:space="preserve">Put sufficient signages for control of noise </w:t>
            </w:r>
          </w:p>
          <w:p w14:paraId="4A7FE337" w14:textId="77777777" w:rsidR="00236F0D" w:rsidRPr="002B3F36" w:rsidRDefault="00236F0D" w:rsidP="00236F0D">
            <w:pPr>
              <w:shd w:val="clear" w:color="auto" w:fill="FFFFFF"/>
              <w:suppressAutoHyphens/>
              <w:contextualSpacing/>
              <w:jc w:val="both"/>
              <w:rPr>
                <w:rFonts w:ascii="Arial" w:hAnsi="Arial" w:cs="Arial"/>
                <w:sz w:val="20"/>
                <w:szCs w:val="20"/>
                <w:lang w:val="en-PH" w:eastAsia="en-PH"/>
              </w:rPr>
            </w:pPr>
          </w:p>
        </w:tc>
        <w:tc>
          <w:tcPr>
            <w:tcW w:w="1751" w:type="dxa"/>
          </w:tcPr>
          <w:p w14:paraId="273C8F1F" w14:textId="0F140D73"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594B5F71" w14:textId="0F54A363"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3CA89CDD" w14:textId="77777777" w:rsidTr="0089733D">
        <w:tc>
          <w:tcPr>
            <w:tcW w:w="1180" w:type="dxa"/>
          </w:tcPr>
          <w:p w14:paraId="2FA3710C" w14:textId="6BFE085D"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lang w:val="en-PH" w:eastAsia="en-PH"/>
              </w:rPr>
              <w:t>Impact on Noise Quality</w:t>
            </w:r>
          </w:p>
        </w:tc>
        <w:tc>
          <w:tcPr>
            <w:tcW w:w="1180" w:type="dxa"/>
          </w:tcPr>
          <w:p w14:paraId="2C349B5F" w14:textId="67A207D5"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lang w:val="en-PH" w:eastAsia="en-PH"/>
              </w:rPr>
              <w:t>Railway Operations</w:t>
            </w:r>
          </w:p>
        </w:tc>
        <w:tc>
          <w:tcPr>
            <w:tcW w:w="3225" w:type="dxa"/>
          </w:tcPr>
          <w:p w14:paraId="79396652" w14:textId="3A427A6F" w:rsidR="00236F0D" w:rsidRPr="002B3F36" w:rsidRDefault="00236F0D" w:rsidP="00236F0D">
            <w:pPr>
              <w:shd w:val="clear" w:color="auto" w:fill="FFFFFF"/>
              <w:suppressAutoHyphens/>
              <w:ind w:right="34"/>
              <w:jc w:val="both"/>
              <w:rPr>
                <w:rFonts w:ascii="Arial" w:eastAsia="Calibri" w:hAnsi="Arial" w:cs="Arial"/>
                <w:sz w:val="20"/>
                <w:szCs w:val="20"/>
              </w:rPr>
            </w:pPr>
            <w:r w:rsidRPr="002B3F36">
              <w:rPr>
                <w:rFonts w:ascii="Arial" w:hAnsi="Arial" w:cs="Arial"/>
                <w:sz w:val="20"/>
                <w:szCs w:val="20"/>
                <w:lang w:val="en-PH" w:eastAsia="en-PH"/>
              </w:rPr>
              <w:t>Migration of species (Saiga)</w:t>
            </w:r>
          </w:p>
        </w:tc>
        <w:tc>
          <w:tcPr>
            <w:tcW w:w="5822" w:type="dxa"/>
          </w:tcPr>
          <w:p w14:paraId="235FC805"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t>-Flat/smoothed side slope of the embankment – The slope of the embankment will be changed to a flatter slope of approximately 1:6 to even 1:10 (compared to a normal 1:4 embankment) to facilitate the movement of wildlife</w:t>
            </w:r>
          </w:p>
          <w:p w14:paraId="2C893D89"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t>-Mesh fencing – For most of the stretch of the sections of the railroad, mesh fencing will be installed on both sides, with the exception of animal crossings (saiga), the distance between which is approximately 2 km. Reinforced mesh barriers should be installed along the edges of passages.</w:t>
            </w:r>
          </w:p>
          <w:p w14:paraId="2A175DB0" w14:textId="280A82D1" w:rsidR="00236F0D" w:rsidRPr="002B3F36" w:rsidRDefault="00236F0D" w:rsidP="00236F0D">
            <w:pPr>
              <w:shd w:val="clear" w:color="auto" w:fill="FFFFFF"/>
              <w:suppressAutoHyphens/>
              <w:contextualSpacing/>
              <w:jc w:val="both"/>
              <w:rPr>
                <w:rFonts w:ascii="Arial" w:eastAsia="Calibri" w:hAnsi="Arial" w:cs="Arial"/>
                <w:iCs/>
                <w:sz w:val="20"/>
                <w:szCs w:val="20"/>
              </w:rPr>
            </w:pPr>
            <w:r w:rsidRPr="002B3F36">
              <w:rPr>
                <w:rFonts w:ascii="Arial" w:hAnsi="Arial" w:cs="Arial"/>
                <w:sz w:val="20"/>
                <w:szCs w:val="20"/>
                <w:lang w:val="en-PH" w:eastAsia="en-PH"/>
              </w:rPr>
              <w:t>-Railroad signs – Signage, as part of management measures, should be installed at the start of animal crossings to alert train operators to crossing areas. Signage should consist of: (i) warning signs in Kazakh and Russian with the words “CAUTION! Possible crossing of wild animals! Be careful! (ii) Signs for crossing the saiga road, speed limit not exceeding 60 km/h and prohibition to the sound of locomotive horns, as this may shock the animals and cause panic and chaotic scattering</w:t>
            </w:r>
          </w:p>
        </w:tc>
        <w:tc>
          <w:tcPr>
            <w:tcW w:w="1751" w:type="dxa"/>
          </w:tcPr>
          <w:p w14:paraId="5D71F331" w14:textId="3D0CBFB1"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778B78DD" w14:textId="2D22C204"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5BBE550F" w14:textId="77777777" w:rsidTr="0089733D">
        <w:tc>
          <w:tcPr>
            <w:tcW w:w="1180" w:type="dxa"/>
          </w:tcPr>
          <w:p w14:paraId="2B969763" w14:textId="0B93BC1E"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Waste Generation</w:t>
            </w:r>
          </w:p>
        </w:tc>
        <w:tc>
          <w:tcPr>
            <w:tcW w:w="1180" w:type="dxa"/>
          </w:tcPr>
          <w:p w14:paraId="4B3A8748" w14:textId="4E135D2E"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1F64B897" w14:textId="383988BB"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Noise and pollution to protected areas will be introduced by the traffic</w:t>
            </w:r>
          </w:p>
        </w:tc>
        <w:tc>
          <w:tcPr>
            <w:tcW w:w="5822" w:type="dxa"/>
          </w:tcPr>
          <w:p w14:paraId="133C1535" w14:textId="77777777" w:rsidR="00025CCF" w:rsidRDefault="00236F0D" w:rsidP="00025CCF">
            <w:pPr>
              <w:rPr>
                <w:rFonts w:ascii="Arial" w:hAnsi="Arial" w:cs="Arial"/>
                <w:sz w:val="20"/>
                <w:szCs w:val="20"/>
                <w:lang w:val="en-PH" w:eastAsia="en-PH"/>
              </w:rPr>
            </w:pPr>
            <w:r w:rsidRPr="002B3F36">
              <w:rPr>
                <w:rFonts w:ascii="Arial" w:hAnsi="Arial" w:cs="Arial"/>
                <w:sz w:val="20"/>
                <w:szCs w:val="20"/>
                <w:lang w:val="en-PH" w:eastAsia="en-PH"/>
              </w:rPr>
              <w:t>Alert/ Train operators on not sounding Locomotive horn</w:t>
            </w:r>
            <w:r w:rsidR="00025CCF">
              <w:rPr>
                <w:rFonts w:ascii="Arial" w:hAnsi="Arial" w:cs="Arial"/>
                <w:sz w:val="20"/>
                <w:szCs w:val="20"/>
                <w:lang w:val="en-PH" w:eastAsia="en-PH"/>
              </w:rPr>
              <w:t xml:space="preserve"> </w:t>
            </w:r>
          </w:p>
          <w:p w14:paraId="760A2DC0" w14:textId="7FFFCBD8" w:rsidR="00236F0D" w:rsidRPr="002B3F36" w:rsidRDefault="00236F0D" w:rsidP="00025CCF">
            <w:pPr>
              <w:rPr>
                <w:rFonts w:ascii="Arial" w:hAnsi="Arial" w:cs="Arial"/>
                <w:sz w:val="20"/>
                <w:szCs w:val="20"/>
                <w:lang w:val="en-PH" w:eastAsia="en-PH"/>
              </w:rPr>
            </w:pPr>
            <w:r w:rsidRPr="002B3F36">
              <w:rPr>
                <w:rFonts w:ascii="Arial" w:hAnsi="Arial" w:cs="Arial"/>
                <w:sz w:val="20"/>
                <w:szCs w:val="20"/>
                <w:lang w:val="en-PH" w:eastAsia="en-PH"/>
              </w:rPr>
              <w:t>During operations, obligations and prohibitions for Andasai Sanctuaries should be observed</w:t>
            </w:r>
          </w:p>
        </w:tc>
        <w:tc>
          <w:tcPr>
            <w:tcW w:w="1751" w:type="dxa"/>
          </w:tcPr>
          <w:p w14:paraId="7F8A2817" w14:textId="2979EFB1"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7230F89B" w14:textId="45ED23C8"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4BAD16B1" w14:textId="77777777" w:rsidTr="0089733D">
        <w:tc>
          <w:tcPr>
            <w:tcW w:w="1180" w:type="dxa"/>
          </w:tcPr>
          <w:p w14:paraId="2FD1F8F1" w14:textId="3DA486C4"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Community Health and Safety</w:t>
            </w:r>
          </w:p>
        </w:tc>
        <w:tc>
          <w:tcPr>
            <w:tcW w:w="1180" w:type="dxa"/>
          </w:tcPr>
          <w:p w14:paraId="2547FCE2" w14:textId="5A43B4A2"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55BD40F1" w14:textId="75F2C130"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Train traffic will pose safety Risks to local population</w:t>
            </w:r>
          </w:p>
        </w:tc>
        <w:tc>
          <w:tcPr>
            <w:tcW w:w="5822" w:type="dxa"/>
          </w:tcPr>
          <w:p w14:paraId="58714B65" w14:textId="34A3C0EE"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 xml:space="preserve">Install sufficient safety signages along the access roads leading to </w:t>
            </w:r>
            <w:r w:rsidR="007503B5" w:rsidRPr="002B3F36">
              <w:rPr>
                <w:rFonts w:ascii="Arial" w:hAnsi="Arial" w:cs="Arial"/>
                <w:sz w:val="20"/>
                <w:szCs w:val="20"/>
                <w:lang w:val="en-PH" w:eastAsia="en-PH"/>
              </w:rPr>
              <w:t>facilities</w:t>
            </w:r>
            <w:r w:rsidRPr="002B3F36">
              <w:rPr>
                <w:rFonts w:ascii="Arial" w:hAnsi="Arial" w:cs="Arial"/>
                <w:sz w:val="20"/>
                <w:szCs w:val="20"/>
                <w:lang w:val="en-PH" w:eastAsia="en-PH"/>
              </w:rPr>
              <w:t xml:space="preserve"> of the railway</w:t>
            </w:r>
          </w:p>
        </w:tc>
        <w:tc>
          <w:tcPr>
            <w:tcW w:w="1751" w:type="dxa"/>
          </w:tcPr>
          <w:p w14:paraId="0D664679" w14:textId="35827843"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27AA4F33" w14:textId="694C7C8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2CE0E654" w14:textId="77777777" w:rsidTr="0089733D">
        <w:tc>
          <w:tcPr>
            <w:tcW w:w="1180" w:type="dxa"/>
          </w:tcPr>
          <w:p w14:paraId="217B1A41" w14:textId="6BD2EC0F"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lang w:val="en-PH" w:eastAsia="en-PH"/>
              </w:rPr>
              <w:lastRenderedPageBreak/>
              <w:t>Fauna</w:t>
            </w:r>
          </w:p>
        </w:tc>
        <w:tc>
          <w:tcPr>
            <w:tcW w:w="1180" w:type="dxa"/>
            <w:vAlign w:val="center"/>
          </w:tcPr>
          <w:p w14:paraId="0AAAEF15" w14:textId="420DCA05" w:rsidR="00236F0D" w:rsidRPr="002B3F36" w:rsidRDefault="00236F0D" w:rsidP="00236F0D">
            <w:pPr>
              <w:shd w:val="clear" w:color="auto" w:fill="FFFFFF"/>
              <w:suppressAutoHyphens/>
              <w:jc w:val="center"/>
              <w:rPr>
                <w:rFonts w:ascii="Arial" w:hAnsi="Arial" w:cs="Arial"/>
                <w:sz w:val="20"/>
                <w:szCs w:val="20"/>
              </w:rPr>
            </w:pPr>
            <w:r w:rsidRPr="002B3F36">
              <w:rPr>
                <w:rFonts w:ascii="Arial" w:hAnsi="Arial" w:cs="Arial"/>
                <w:sz w:val="20"/>
                <w:szCs w:val="20"/>
                <w:lang w:val="en-PH" w:eastAsia="en-PH"/>
              </w:rPr>
              <w:t>Railway Operations</w:t>
            </w:r>
          </w:p>
        </w:tc>
        <w:tc>
          <w:tcPr>
            <w:tcW w:w="3225" w:type="dxa"/>
          </w:tcPr>
          <w:p w14:paraId="5AA2A655" w14:textId="3FFAE7D0" w:rsidR="00236F0D" w:rsidRPr="002B3F36" w:rsidRDefault="00236F0D" w:rsidP="00236F0D">
            <w:pPr>
              <w:shd w:val="clear" w:color="auto" w:fill="FFFFFF"/>
              <w:suppressAutoHyphens/>
              <w:ind w:right="34"/>
              <w:jc w:val="both"/>
              <w:rPr>
                <w:rFonts w:ascii="Arial" w:eastAsia="Calibri" w:hAnsi="Arial" w:cs="Arial"/>
                <w:sz w:val="20"/>
                <w:szCs w:val="20"/>
              </w:rPr>
            </w:pPr>
            <w:r w:rsidRPr="002B3F36">
              <w:rPr>
                <w:rFonts w:ascii="Arial" w:hAnsi="Arial" w:cs="Arial"/>
                <w:sz w:val="20"/>
                <w:szCs w:val="20"/>
                <w:lang w:val="en-PH" w:eastAsia="en-PH"/>
              </w:rPr>
              <w:t>Noise and pollution to Fauna will be introduced by the train traffic</w:t>
            </w:r>
          </w:p>
        </w:tc>
        <w:tc>
          <w:tcPr>
            <w:tcW w:w="5822" w:type="dxa"/>
          </w:tcPr>
          <w:p w14:paraId="179BF533"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t xml:space="preserve">Put sufficient signages for control of noise </w:t>
            </w:r>
          </w:p>
          <w:p w14:paraId="2CD40371" w14:textId="77777777" w:rsidR="00236F0D" w:rsidRPr="002B3F36" w:rsidRDefault="00236F0D" w:rsidP="00236F0D">
            <w:pPr>
              <w:shd w:val="clear" w:color="auto" w:fill="FFFFFF"/>
              <w:suppressAutoHyphens/>
              <w:contextualSpacing/>
              <w:jc w:val="both"/>
              <w:rPr>
                <w:rFonts w:ascii="Arial" w:eastAsia="Calibri" w:hAnsi="Arial" w:cs="Arial"/>
                <w:iCs/>
                <w:sz w:val="20"/>
                <w:szCs w:val="20"/>
              </w:rPr>
            </w:pPr>
          </w:p>
        </w:tc>
        <w:tc>
          <w:tcPr>
            <w:tcW w:w="1751" w:type="dxa"/>
          </w:tcPr>
          <w:p w14:paraId="5C94C37E" w14:textId="365321B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521C9084" w14:textId="2E421472"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7F262EB1" w14:textId="77777777" w:rsidTr="0089733D">
        <w:tc>
          <w:tcPr>
            <w:tcW w:w="1180" w:type="dxa"/>
          </w:tcPr>
          <w:p w14:paraId="4AF0FE34" w14:textId="77777777" w:rsidR="00236F0D" w:rsidRPr="002B3F36" w:rsidRDefault="00236F0D" w:rsidP="00236F0D">
            <w:pPr>
              <w:shd w:val="clear" w:color="auto" w:fill="FFFFFF"/>
              <w:suppressAutoHyphens/>
              <w:jc w:val="center"/>
              <w:rPr>
                <w:rFonts w:ascii="Arial" w:hAnsi="Arial" w:cs="Arial"/>
                <w:sz w:val="20"/>
                <w:szCs w:val="20"/>
                <w:lang w:val="en-PH" w:eastAsia="en-PH"/>
              </w:rPr>
            </w:pPr>
          </w:p>
        </w:tc>
        <w:tc>
          <w:tcPr>
            <w:tcW w:w="1180" w:type="dxa"/>
          </w:tcPr>
          <w:p w14:paraId="1A54FAFE" w14:textId="5F65A153"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492D9D8B" w14:textId="551A68D0"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Migration of species (Saiga)</w:t>
            </w:r>
          </w:p>
        </w:tc>
        <w:tc>
          <w:tcPr>
            <w:tcW w:w="5822" w:type="dxa"/>
          </w:tcPr>
          <w:p w14:paraId="7133D1BF" w14:textId="77777777" w:rsidR="00236F0D" w:rsidRPr="002B3F36" w:rsidRDefault="00236F0D" w:rsidP="00025CCF">
            <w:pPr>
              <w:ind w:left="156" w:hanging="156"/>
              <w:rPr>
                <w:rFonts w:ascii="Arial" w:hAnsi="Arial" w:cs="Arial"/>
                <w:sz w:val="20"/>
                <w:szCs w:val="20"/>
                <w:lang w:val="en-PH" w:eastAsia="en-PH"/>
              </w:rPr>
            </w:pPr>
            <w:r w:rsidRPr="002B3F36">
              <w:rPr>
                <w:rFonts w:ascii="Arial" w:hAnsi="Arial" w:cs="Arial"/>
                <w:sz w:val="20"/>
                <w:szCs w:val="20"/>
                <w:lang w:val="en-PH" w:eastAsia="en-PH"/>
              </w:rPr>
              <w:t>-Flat/smoothed side slope of the embankment – The slope of the embankment will be changed to a flatter slope of approximately 1:6 to even 1:10 (compared to a normal 1:4 embankment) to facilitate the movement of wildlife</w:t>
            </w:r>
          </w:p>
          <w:p w14:paraId="6C027296" w14:textId="77777777" w:rsidR="00236F0D" w:rsidRPr="002B3F36" w:rsidRDefault="00236F0D" w:rsidP="00025CCF">
            <w:pPr>
              <w:ind w:left="156" w:hanging="156"/>
              <w:rPr>
                <w:rFonts w:ascii="Arial" w:hAnsi="Arial" w:cs="Arial"/>
                <w:sz w:val="20"/>
                <w:szCs w:val="20"/>
                <w:lang w:val="en-PH" w:eastAsia="en-PH"/>
              </w:rPr>
            </w:pPr>
            <w:r w:rsidRPr="002B3F36">
              <w:rPr>
                <w:rFonts w:ascii="Arial" w:hAnsi="Arial" w:cs="Arial"/>
                <w:sz w:val="20"/>
                <w:szCs w:val="20"/>
                <w:lang w:val="en-PH" w:eastAsia="en-PH"/>
              </w:rPr>
              <w:t>-Mesh fencing – For most of the stretch of the sections of the railroad, mesh fencing will be installed on both sides, with the exception of animal crossings (saiga), the distance between which is approximately 2 km. Reinforced mesh barriers should be installed along the edges of passages.</w:t>
            </w:r>
          </w:p>
          <w:p w14:paraId="7601AAF8" w14:textId="34F2DB68" w:rsidR="00236F0D" w:rsidRPr="002B3F36" w:rsidRDefault="00236F0D" w:rsidP="00025CCF">
            <w:pPr>
              <w:shd w:val="clear" w:color="auto" w:fill="FFFFFF"/>
              <w:suppressAutoHyphens/>
              <w:ind w:left="156" w:hanging="156"/>
              <w:contextualSpacing/>
              <w:jc w:val="both"/>
              <w:rPr>
                <w:rFonts w:ascii="Arial" w:hAnsi="Arial" w:cs="Arial"/>
                <w:sz w:val="20"/>
                <w:szCs w:val="20"/>
                <w:lang w:val="en-PH" w:eastAsia="en-PH"/>
              </w:rPr>
            </w:pPr>
            <w:r w:rsidRPr="002B3F36">
              <w:rPr>
                <w:rFonts w:ascii="Arial" w:hAnsi="Arial" w:cs="Arial"/>
                <w:sz w:val="20"/>
                <w:szCs w:val="20"/>
                <w:lang w:val="en-PH" w:eastAsia="en-PH"/>
              </w:rPr>
              <w:t>-Railroad signs – Signage, as part of management measures, should be installed at the start of animal crossings to alert train operators to crossing areas. Signage should consist of: (i) warning signs in Kazakh and Russian with the words “CAUTION! Possible crossing of wild animals! Be careful! (ii) Signs for crossing the saiga road, speed limit not exceeding 60 km/h and prohibition to the sound of locomotive horns, as this may shock the animals and cause panic and chaotic scattering</w:t>
            </w:r>
          </w:p>
        </w:tc>
        <w:tc>
          <w:tcPr>
            <w:tcW w:w="1751" w:type="dxa"/>
          </w:tcPr>
          <w:p w14:paraId="3908E541" w14:textId="38172983"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254FBD84" w14:textId="6BA06718"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5CB9C12B" w14:textId="77777777" w:rsidTr="0089733D">
        <w:tc>
          <w:tcPr>
            <w:tcW w:w="1180" w:type="dxa"/>
          </w:tcPr>
          <w:p w14:paraId="76DA2FEA" w14:textId="15B6FA02"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Protected Areas &amp; Biodiversity</w:t>
            </w:r>
          </w:p>
        </w:tc>
        <w:tc>
          <w:tcPr>
            <w:tcW w:w="1180" w:type="dxa"/>
          </w:tcPr>
          <w:p w14:paraId="2B6D0857" w14:textId="13E346FF" w:rsidR="00236F0D" w:rsidRPr="002B3F36" w:rsidRDefault="00236F0D" w:rsidP="00236F0D">
            <w:pPr>
              <w:shd w:val="clear" w:color="auto" w:fill="FFFFFF"/>
              <w:suppressAutoHyphens/>
              <w:jc w:val="center"/>
              <w:rPr>
                <w:rFonts w:ascii="Arial" w:hAnsi="Arial" w:cs="Arial"/>
                <w:sz w:val="20"/>
                <w:szCs w:val="20"/>
                <w:lang w:val="en-PH" w:eastAsia="en-PH"/>
              </w:rPr>
            </w:pPr>
            <w:r w:rsidRPr="002B3F36">
              <w:rPr>
                <w:rFonts w:ascii="Arial" w:hAnsi="Arial" w:cs="Arial"/>
                <w:sz w:val="20"/>
                <w:szCs w:val="20"/>
                <w:lang w:val="en-PH" w:eastAsia="en-PH"/>
              </w:rPr>
              <w:t>Railway Operations</w:t>
            </w:r>
          </w:p>
        </w:tc>
        <w:tc>
          <w:tcPr>
            <w:tcW w:w="3225" w:type="dxa"/>
          </w:tcPr>
          <w:p w14:paraId="10E5AD7A" w14:textId="63D7E272" w:rsidR="00236F0D" w:rsidRPr="002B3F36" w:rsidRDefault="00236F0D" w:rsidP="00236F0D">
            <w:pPr>
              <w:shd w:val="clear" w:color="auto" w:fill="FFFFFF"/>
              <w:suppressAutoHyphens/>
              <w:ind w:right="34"/>
              <w:jc w:val="both"/>
              <w:rPr>
                <w:rFonts w:ascii="Arial" w:hAnsi="Arial" w:cs="Arial"/>
                <w:sz w:val="20"/>
                <w:szCs w:val="20"/>
                <w:lang w:val="en-PH" w:eastAsia="en-PH"/>
              </w:rPr>
            </w:pPr>
            <w:r w:rsidRPr="002B3F36">
              <w:rPr>
                <w:rFonts w:ascii="Arial" w:hAnsi="Arial" w:cs="Arial"/>
                <w:sz w:val="20"/>
                <w:szCs w:val="20"/>
                <w:lang w:val="en-PH" w:eastAsia="en-PH"/>
              </w:rPr>
              <w:t>Noise and pollution to protected areas will be introduced by the traffic</w:t>
            </w:r>
          </w:p>
        </w:tc>
        <w:tc>
          <w:tcPr>
            <w:tcW w:w="5822" w:type="dxa"/>
          </w:tcPr>
          <w:p w14:paraId="6C171C0F" w14:textId="77777777" w:rsidR="00236F0D" w:rsidRPr="002B3F36" w:rsidRDefault="00236F0D" w:rsidP="00236F0D">
            <w:pPr>
              <w:rPr>
                <w:rFonts w:ascii="Arial" w:hAnsi="Arial" w:cs="Arial"/>
                <w:sz w:val="20"/>
                <w:szCs w:val="20"/>
                <w:lang w:val="en-PH" w:eastAsia="en-PH"/>
              </w:rPr>
            </w:pPr>
            <w:r w:rsidRPr="002B3F36">
              <w:rPr>
                <w:rFonts w:ascii="Arial" w:hAnsi="Arial" w:cs="Arial"/>
                <w:sz w:val="20"/>
                <w:szCs w:val="20"/>
                <w:lang w:val="en-PH" w:eastAsia="en-PH"/>
              </w:rPr>
              <w:t>Alert/ Train operators on not sounding Locomotive horn</w:t>
            </w:r>
          </w:p>
          <w:p w14:paraId="563CD9D1" w14:textId="4D9C53D3" w:rsidR="00236F0D" w:rsidRPr="002B3F36" w:rsidRDefault="00236F0D" w:rsidP="00236F0D">
            <w:pPr>
              <w:shd w:val="clear" w:color="auto" w:fill="FFFFFF"/>
              <w:suppressAutoHyphens/>
              <w:contextualSpacing/>
              <w:jc w:val="both"/>
              <w:rPr>
                <w:rFonts w:ascii="Arial" w:hAnsi="Arial" w:cs="Arial"/>
                <w:sz w:val="20"/>
                <w:szCs w:val="20"/>
                <w:lang w:val="en-PH" w:eastAsia="en-PH"/>
              </w:rPr>
            </w:pPr>
            <w:r w:rsidRPr="002B3F36">
              <w:rPr>
                <w:rFonts w:ascii="Arial" w:hAnsi="Arial" w:cs="Arial"/>
                <w:sz w:val="20"/>
                <w:szCs w:val="20"/>
                <w:lang w:val="en-PH" w:eastAsia="en-PH"/>
              </w:rPr>
              <w:t>During operations, obligations and prohibitions for Andasai Sanctuaries should be observed</w:t>
            </w:r>
          </w:p>
        </w:tc>
        <w:tc>
          <w:tcPr>
            <w:tcW w:w="1751" w:type="dxa"/>
          </w:tcPr>
          <w:p w14:paraId="777CFF1D" w14:textId="03A00220"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 xml:space="preserve">KTZ to implement </w:t>
            </w:r>
          </w:p>
        </w:tc>
        <w:tc>
          <w:tcPr>
            <w:tcW w:w="1332" w:type="dxa"/>
          </w:tcPr>
          <w:p w14:paraId="1153F3B9" w14:textId="2C7E4996"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r w:rsidR="00236F0D" w:rsidRPr="002B3F36" w14:paraId="55759A74" w14:textId="77777777" w:rsidTr="0089733D">
        <w:tc>
          <w:tcPr>
            <w:tcW w:w="1180" w:type="dxa"/>
          </w:tcPr>
          <w:p w14:paraId="7861A07B" w14:textId="77777777" w:rsidR="00236F0D" w:rsidRPr="002B3F36" w:rsidRDefault="00236F0D" w:rsidP="00236F0D">
            <w:pPr>
              <w:shd w:val="clear" w:color="auto" w:fill="FFFFFF"/>
              <w:suppressAutoHyphens/>
              <w:jc w:val="center"/>
              <w:rPr>
                <w:rFonts w:ascii="Arial" w:hAnsi="Arial" w:cs="Arial"/>
                <w:sz w:val="20"/>
                <w:szCs w:val="20"/>
              </w:rPr>
            </w:pPr>
          </w:p>
        </w:tc>
        <w:tc>
          <w:tcPr>
            <w:tcW w:w="1180" w:type="dxa"/>
          </w:tcPr>
          <w:p w14:paraId="54567E40" w14:textId="77777777" w:rsidR="00236F0D" w:rsidRPr="002B3F36" w:rsidRDefault="00236F0D" w:rsidP="00236F0D">
            <w:pPr>
              <w:shd w:val="clear" w:color="auto" w:fill="FFFFFF"/>
              <w:suppressAutoHyphens/>
              <w:jc w:val="center"/>
              <w:rPr>
                <w:rFonts w:ascii="Arial" w:hAnsi="Arial" w:cs="Arial"/>
                <w:sz w:val="20"/>
                <w:szCs w:val="20"/>
              </w:rPr>
            </w:pPr>
          </w:p>
        </w:tc>
        <w:tc>
          <w:tcPr>
            <w:tcW w:w="3225" w:type="dxa"/>
          </w:tcPr>
          <w:p w14:paraId="153648ED" w14:textId="77777777" w:rsidR="00236F0D" w:rsidRPr="002B3F36" w:rsidRDefault="00236F0D" w:rsidP="00236F0D">
            <w:pPr>
              <w:shd w:val="clear" w:color="auto" w:fill="FFFFFF"/>
              <w:suppressAutoHyphens/>
              <w:ind w:right="34"/>
              <w:jc w:val="both"/>
              <w:rPr>
                <w:rFonts w:ascii="Arial" w:eastAsia="Calibri" w:hAnsi="Arial" w:cs="Arial"/>
                <w:sz w:val="20"/>
                <w:szCs w:val="20"/>
              </w:rPr>
            </w:pPr>
            <w:r w:rsidRPr="002B3F36">
              <w:rPr>
                <w:rFonts w:ascii="Arial" w:hAnsi="Arial" w:cs="Arial"/>
                <w:sz w:val="20"/>
                <w:szCs w:val="20"/>
                <w:lang w:val="en-PH" w:eastAsia="en-PH"/>
              </w:rPr>
              <w:t>Migration of species (Saiga)</w:t>
            </w:r>
          </w:p>
        </w:tc>
        <w:tc>
          <w:tcPr>
            <w:tcW w:w="5822" w:type="dxa"/>
          </w:tcPr>
          <w:p w14:paraId="6585B969" w14:textId="3AE373E0" w:rsidR="00236F0D" w:rsidRPr="002B3F36" w:rsidRDefault="00236F0D" w:rsidP="00236F0D">
            <w:pPr>
              <w:pStyle w:val="Dash"/>
              <w:spacing w:line="240" w:lineRule="auto"/>
              <w:ind w:left="420"/>
              <w:rPr>
                <w:color w:val="auto"/>
                <w:sz w:val="20"/>
                <w:szCs w:val="20"/>
              </w:rPr>
            </w:pPr>
            <w:r w:rsidRPr="002B3F36">
              <w:rPr>
                <w:color w:val="auto"/>
                <w:sz w:val="20"/>
                <w:szCs w:val="20"/>
              </w:rPr>
              <w:t>Flat/smoothed side slope of the embankment – The slope of the embankment will be changed to a flatter slope of approximately 1:6 to even 1:10 (compared to a normal 1:4 embankment) to facilitate the movement of wildlife</w:t>
            </w:r>
          </w:p>
          <w:p w14:paraId="5626E429" w14:textId="77777777" w:rsidR="00236F0D" w:rsidRPr="002B3F36" w:rsidRDefault="00236F0D" w:rsidP="00236F0D">
            <w:pPr>
              <w:pStyle w:val="Dash"/>
              <w:spacing w:line="240" w:lineRule="auto"/>
              <w:ind w:left="420"/>
              <w:rPr>
                <w:color w:val="auto"/>
                <w:sz w:val="20"/>
                <w:szCs w:val="20"/>
              </w:rPr>
            </w:pPr>
            <w:r w:rsidRPr="002B3F36">
              <w:rPr>
                <w:color w:val="auto"/>
                <w:sz w:val="20"/>
                <w:szCs w:val="20"/>
              </w:rPr>
              <w:t xml:space="preserve">Mesh fencing – For most of the stretch of the sections of the railroad, mesh fencing will be installed on both sides, with the exception of animal crossings (saiga), the distance </w:t>
            </w:r>
            <w:r w:rsidRPr="002B3F36">
              <w:rPr>
                <w:color w:val="auto"/>
                <w:sz w:val="20"/>
                <w:szCs w:val="20"/>
              </w:rPr>
              <w:lastRenderedPageBreak/>
              <w:t>between which is approximately 2 km. Reinforced mesh barriers should be installed along the edges of passages.</w:t>
            </w:r>
          </w:p>
          <w:p w14:paraId="01A9C34D" w14:textId="2D0BCBC4" w:rsidR="00236F0D" w:rsidRPr="002B3F36" w:rsidRDefault="00236F0D" w:rsidP="00236F0D">
            <w:pPr>
              <w:pStyle w:val="Dash"/>
              <w:spacing w:line="240" w:lineRule="auto"/>
              <w:ind w:left="420"/>
              <w:rPr>
                <w:rFonts w:eastAsia="Calibri"/>
                <w:iCs/>
                <w:sz w:val="20"/>
                <w:szCs w:val="20"/>
              </w:rPr>
            </w:pPr>
            <w:r w:rsidRPr="002B3F36">
              <w:rPr>
                <w:color w:val="auto"/>
                <w:sz w:val="20"/>
                <w:szCs w:val="20"/>
              </w:rPr>
              <w:t>Railroad signs – Signage, as part of management measures, should be installed at the start of animal crossings to alert train operators to crossing areas. Signage should consist of: (i) warning signs in Kazakh and Russian with the words “CAUTION! Possible crossing of wild animals! Be careful! (ii) Signs for crossing the saiga road, speed limit not exceeding 60 km/h and prohibition to the sound of locomotive horns, as this may shock the animals and cause panic and chaotic scattering</w:t>
            </w:r>
          </w:p>
        </w:tc>
        <w:tc>
          <w:tcPr>
            <w:tcW w:w="1751" w:type="dxa"/>
          </w:tcPr>
          <w:p w14:paraId="68B60D07" w14:textId="3B9F0860"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lastRenderedPageBreak/>
              <w:t xml:space="preserve">KTZ to implement </w:t>
            </w:r>
          </w:p>
        </w:tc>
        <w:tc>
          <w:tcPr>
            <w:tcW w:w="1332" w:type="dxa"/>
          </w:tcPr>
          <w:p w14:paraId="2B1EBE41" w14:textId="5F110B9D" w:rsidR="00236F0D" w:rsidRPr="002B3F36" w:rsidRDefault="00236F0D" w:rsidP="00236F0D">
            <w:pPr>
              <w:suppressAutoHyphens/>
              <w:jc w:val="center"/>
              <w:rPr>
                <w:rFonts w:ascii="Arial" w:eastAsia="Arial" w:hAnsi="Arial" w:cs="Arial"/>
                <w:sz w:val="20"/>
                <w:szCs w:val="20"/>
                <w:lang w:val="en-AU"/>
              </w:rPr>
            </w:pPr>
            <w:r w:rsidRPr="002B3F36">
              <w:rPr>
                <w:rFonts w:ascii="Arial" w:eastAsia="Arial" w:hAnsi="Arial" w:cs="Arial"/>
                <w:sz w:val="20"/>
                <w:szCs w:val="20"/>
                <w:lang w:val="en-AU"/>
              </w:rPr>
              <w:t>During operations Stage (</w:t>
            </w:r>
            <w:r w:rsidRPr="002B3F36">
              <w:rPr>
                <w:rFonts w:ascii="Arial" w:eastAsia="Calibri" w:hAnsi="Arial" w:cs="Arial"/>
                <w:sz w:val="20"/>
                <w:szCs w:val="20"/>
              </w:rPr>
              <w:t>Budget; part of operational cost of KTZ)</w:t>
            </w:r>
          </w:p>
        </w:tc>
      </w:tr>
    </w:tbl>
    <w:tbl>
      <w:tblPr>
        <w:tblpPr w:leftFromText="180" w:rightFromText="180" w:vertAnchor="text" w:tblpX="-23" w:tblpY="-6311"/>
        <w:tblW w:w="14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60"/>
      </w:tblGrid>
      <w:tr w:rsidR="00F61F8E" w:rsidRPr="002B3F36" w14:paraId="6471C1E8" w14:textId="77777777">
        <w:trPr>
          <w:trHeight w:val="12"/>
        </w:trPr>
        <w:tc>
          <w:tcPr>
            <w:tcW w:w="14760" w:type="dxa"/>
          </w:tcPr>
          <w:p w14:paraId="5945C3B4" w14:textId="77777777" w:rsidR="00F61F8E" w:rsidRPr="002B3F36" w:rsidRDefault="00F61F8E">
            <w:pPr>
              <w:rPr>
                <w:rFonts w:ascii="Arial" w:hAnsi="Arial" w:cs="Arial"/>
              </w:rPr>
            </w:pPr>
          </w:p>
        </w:tc>
      </w:tr>
    </w:tbl>
    <w:p w14:paraId="4F34E1F3" w14:textId="11C29D8F" w:rsidR="00F61F8E" w:rsidRPr="002B3F36" w:rsidRDefault="000F264B" w:rsidP="00A66DE7">
      <w:pPr>
        <w:pStyle w:val="20"/>
        <w:keepNext/>
        <w:tabs>
          <w:tab w:val="clear" w:pos="540"/>
          <w:tab w:val="clear" w:pos="542"/>
        </w:tabs>
        <w:spacing w:before="240" w:after="240"/>
        <w:ind w:right="0"/>
        <w:rPr>
          <w:rFonts w:eastAsia="SimSun"/>
          <w:color w:val="auto"/>
        </w:rPr>
      </w:pPr>
      <w:bookmarkStart w:id="2578" w:name="_Toc60414385"/>
      <w:bookmarkStart w:id="2579" w:name="_Toc60414511"/>
      <w:bookmarkStart w:id="2580" w:name="_Toc59910958"/>
      <w:bookmarkStart w:id="2581" w:name="_Toc59917383"/>
      <w:bookmarkStart w:id="2582" w:name="_Toc59920719"/>
      <w:bookmarkStart w:id="2583" w:name="_Toc59924776"/>
      <w:bookmarkStart w:id="2584" w:name="_Toc59925065"/>
      <w:bookmarkStart w:id="2585" w:name="_Toc59969873"/>
      <w:bookmarkStart w:id="2586" w:name="_Toc59973042"/>
      <w:bookmarkStart w:id="2587" w:name="_Toc59973162"/>
      <w:bookmarkStart w:id="2588" w:name="_Toc60413899"/>
      <w:bookmarkStart w:id="2589" w:name="_Toc60414386"/>
      <w:bookmarkStart w:id="2590" w:name="_Toc60414512"/>
      <w:bookmarkStart w:id="2591" w:name="_Toc169094806"/>
      <w:bookmarkStart w:id="2592" w:name="_Toc208973885"/>
      <w:bookmarkStart w:id="2593" w:name="_Toc208974085"/>
      <w:bookmarkStart w:id="2594" w:name="_Toc208974285"/>
      <w:bookmarkStart w:id="2595" w:name="_Toc208974488"/>
      <w:bookmarkStart w:id="2596" w:name="_Toc208974690"/>
      <w:bookmarkStart w:id="2597" w:name="_Toc210589530"/>
      <w:bookmarkEnd w:id="2578"/>
      <w:bookmarkEnd w:id="2579"/>
      <w:bookmarkEnd w:id="2580"/>
      <w:bookmarkEnd w:id="2581"/>
      <w:bookmarkEnd w:id="2582"/>
      <w:bookmarkEnd w:id="2583"/>
      <w:bookmarkEnd w:id="2584"/>
      <w:bookmarkEnd w:id="2585"/>
      <w:bookmarkEnd w:id="2586"/>
      <w:bookmarkEnd w:id="2587"/>
      <w:bookmarkEnd w:id="2588"/>
      <w:bookmarkEnd w:id="2589"/>
      <w:bookmarkEnd w:id="2590"/>
      <w:r w:rsidRPr="002B3F36">
        <w:rPr>
          <w:rFonts w:eastAsia="SimSun"/>
          <w:color w:val="auto"/>
          <w:lang w:eastAsia="en-GB"/>
        </w:rPr>
        <w:t>Monitoring Plan</w:t>
      </w:r>
      <w:bookmarkEnd w:id="2591"/>
      <w:bookmarkEnd w:id="2592"/>
      <w:bookmarkEnd w:id="2593"/>
      <w:bookmarkEnd w:id="2594"/>
      <w:bookmarkEnd w:id="2595"/>
      <w:bookmarkEnd w:id="2596"/>
      <w:bookmarkEnd w:id="2597"/>
    </w:p>
    <w:p w14:paraId="0870D843" w14:textId="77777777" w:rsidR="00A66DE7" w:rsidRPr="002B3F36" w:rsidRDefault="00A66DE7" w:rsidP="00B021FE">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E&amp;S management activities will form part of an </w:t>
      </w:r>
      <w:r w:rsidRPr="002B3F36">
        <w:rPr>
          <w:rFonts w:ascii="Arial" w:eastAsia="Times New Roman" w:hAnsi="Arial" w:cs="Arial"/>
          <w:b/>
          <w:bCs/>
          <w:sz w:val="24"/>
          <w:szCs w:val="24"/>
        </w:rPr>
        <w:t>Internal Monitoring System (IMS)</w:t>
      </w:r>
      <w:r w:rsidRPr="002B3F36">
        <w:rPr>
          <w:rFonts w:ascii="Arial" w:eastAsia="Times New Roman" w:hAnsi="Arial" w:cs="Arial"/>
          <w:sz w:val="24"/>
          <w:szCs w:val="24"/>
        </w:rPr>
        <w:t xml:space="preserve"> consistent with </w:t>
      </w:r>
      <w:r w:rsidRPr="002B3F36">
        <w:rPr>
          <w:rFonts w:ascii="Arial" w:eastAsia="Times New Roman" w:hAnsi="Arial" w:cs="Arial"/>
          <w:b/>
          <w:bCs/>
          <w:sz w:val="24"/>
          <w:szCs w:val="24"/>
        </w:rPr>
        <w:t>PS1</w:t>
      </w:r>
      <w:r w:rsidRPr="002B3F36">
        <w:rPr>
          <w:rFonts w:ascii="Arial" w:eastAsia="Times New Roman" w:hAnsi="Arial" w:cs="Arial"/>
          <w:sz w:val="24"/>
          <w:szCs w:val="24"/>
        </w:rPr>
        <w:t xml:space="preserve"> requirements. The IMS serves as the primary mechanism to:</w:t>
      </w:r>
    </w:p>
    <w:p w14:paraId="6C253A9C" w14:textId="77777777" w:rsidR="00A66DE7" w:rsidRPr="002B3F36" w:rsidRDefault="00A66DE7" w:rsidP="009B4CDB">
      <w:pPr>
        <w:widowControl/>
        <w:numPr>
          <w:ilvl w:val="0"/>
          <w:numId w:val="199"/>
        </w:numPr>
        <w:autoSpaceDE/>
        <w:autoSpaceDN/>
        <w:jc w:val="both"/>
        <w:rPr>
          <w:rFonts w:ascii="Arial" w:eastAsia="Times New Roman" w:hAnsi="Arial" w:cs="Arial"/>
          <w:sz w:val="24"/>
          <w:szCs w:val="24"/>
        </w:rPr>
      </w:pPr>
      <w:r w:rsidRPr="002B3F36">
        <w:rPr>
          <w:rFonts w:ascii="Arial" w:eastAsia="Times New Roman" w:hAnsi="Arial" w:cs="Arial"/>
          <w:sz w:val="24"/>
          <w:szCs w:val="24"/>
        </w:rPr>
        <w:t>Track progress and material changes in construction methods and schedules;</w:t>
      </w:r>
    </w:p>
    <w:p w14:paraId="6B465C52" w14:textId="77777777" w:rsidR="00A66DE7" w:rsidRPr="002B3F36" w:rsidRDefault="00A66DE7" w:rsidP="009B4CDB">
      <w:pPr>
        <w:widowControl/>
        <w:numPr>
          <w:ilvl w:val="0"/>
          <w:numId w:val="19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Monitor the effects of railway construction and rehabilitation on households and communities along the corridor (PS4/PS5 interface); and</w:t>
      </w:r>
    </w:p>
    <w:p w14:paraId="05509421" w14:textId="77777777" w:rsidR="00A66DE7" w:rsidRPr="002B3F36" w:rsidRDefault="00A66DE7" w:rsidP="009B4CDB">
      <w:pPr>
        <w:widowControl/>
        <w:numPr>
          <w:ilvl w:val="0"/>
          <w:numId w:val="199"/>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Ensure timely detection of risks requiring corrective actions.</w:t>
      </w:r>
    </w:p>
    <w:p w14:paraId="7F4F5D79" w14:textId="77777777" w:rsidR="00A66DE7" w:rsidRPr="002B3F36" w:rsidRDefault="00A66DE7" w:rsidP="00605704">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According to </w:t>
      </w:r>
      <w:r w:rsidRPr="002B3F36">
        <w:rPr>
          <w:rFonts w:ascii="Arial" w:eastAsia="Times New Roman" w:hAnsi="Arial" w:cs="Arial"/>
          <w:b/>
          <w:bCs/>
          <w:sz w:val="24"/>
          <w:szCs w:val="24"/>
        </w:rPr>
        <w:t>PS1, paragraph 15(d)</w:t>
      </w:r>
      <w:r w:rsidRPr="002B3F36">
        <w:rPr>
          <w:rFonts w:ascii="Arial" w:eastAsia="Times New Roman" w:hAnsi="Arial" w:cs="Arial"/>
          <w:sz w:val="24"/>
          <w:szCs w:val="24"/>
        </w:rPr>
        <w:t xml:space="preserve">, monitoring and reporting on the environmental and social performance of the project must be undertaken against the PSs. Further, </w:t>
      </w:r>
      <w:r w:rsidRPr="002B3F36">
        <w:rPr>
          <w:rFonts w:ascii="Arial" w:eastAsia="Times New Roman" w:hAnsi="Arial" w:cs="Arial"/>
          <w:b/>
          <w:bCs/>
          <w:sz w:val="24"/>
          <w:szCs w:val="24"/>
        </w:rPr>
        <w:t>PS1 – Annex 1, paragraph 15(b)</w:t>
      </w:r>
      <w:r w:rsidRPr="002B3F36">
        <w:rPr>
          <w:rFonts w:ascii="Arial" w:eastAsia="Times New Roman" w:hAnsi="Arial" w:cs="Arial"/>
          <w:sz w:val="24"/>
          <w:szCs w:val="24"/>
        </w:rPr>
        <w:t xml:space="preserve"> specifies that the ESMP’s monitoring section should:</w:t>
      </w:r>
    </w:p>
    <w:p w14:paraId="22C1E099" w14:textId="77777777" w:rsidR="00A66DE7" w:rsidRPr="002B3F36" w:rsidRDefault="00A66DE7" w:rsidP="00605704">
      <w:pPr>
        <w:widowControl/>
        <w:numPr>
          <w:ilvl w:val="0"/>
          <w:numId w:val="200"/>
        </w:numPr>
        <w:autoSpaceDE/>
        <w:autoSpaceDN/>
        <w:jc w:val="both"/>
        <w:rPr>
          <w:rFonts w:ascii="Arial" w:eastAsia="Times New Roman" w:hAnsi="Arial" w:cs="Arial"/>
          <w:sz w:val="24"/>
          <w:szCs w:val="24"/>
        </w:rPr>
      </w:pPr>
      <w:r w:rsidRPr="002B3F36">
        <w:rPr>
          <w:rFonts w:ascii="Arial" w:eastAsia="Times New Roman" w:hAnsi="Arial" w:cs="Arial"/>
          <w:sz w:val="24"/>
          <w:szCs w:val="24"/>
        </w:rPr>
        <w:t>Identify monitoring objectives and link them to the impacts and mitigation measures in the ESMP;</w:t>
      </w:r>
    </w:p>
    <w:p w14:paraId="02D207F5" w14:textId="77777777" w:rsidR="00A66DE7" w:rsidRPr="002B3F36" w:rsidRDefault="00A66DE7" w:rsidP="009B4CDB">
      <w:pPr>
        <w:widowControl/>
        <w:numPr>
          <w:ilvl w:val="0"/>
          <w:numId w:val="200"/>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Provide technical details of monitoring measures (parameters, methods, locations, frequency, detection limits, and thresholds for corrective action); and</w:t>
      </w:r>
    </w:p>
    <w:p w14:paraId="4E87E239" w14:textId="77777777" w:rsidR="00A66DE7" w:rsidRPr="002B3F36" w:rsidRDefault="00A66DE7" w:rsidP="009B4CDB">
      <w:pPr>
        <w:widowControl/>
        <w:numPr>
          <w:ilvl w:val="0"/>
          <w:numId w:val="200"/>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Set monitoring and reporting procedures to ensure early detection of risks and to furnish timely information for decision-making.</w:t>
      </w:r>
    </w:p>
    <w:p w14:paraId="4DFE8298" w14:textId="77777777" w:rsidR="00A66DE7" w:rsidRPr="002B3F36" w:rsidRDefault="00A66DE7" w:rsidP="004B4042">
      <w:pPr>
        <w:widowControl/>
        <w:autoSpaceDE/>
        <w:autoSpaceDN/>
        <w:jc w:val="both"/>
        <w:rPr>
          <w:rFonts w:ascii="Arial" w:eastAsia="Times New Roman" w:hAnsi="Arial" w:cs="Arial"/>
          <w:sz w:val="24"/>
          <w:szCs w:val="24"/>
        </w:rPr>
      </w:pPr>
      <w:r w:rsidRPr="002B3F36">
        <w:rPr>
          <w:rFonts w:ascii="Arial" w:eastAsia="Times New Roman" w:hAnsi="Arial" w:cs="Arial"/>
          <w:sz w:val="24"/>
          <w:szCs w:val="24"/>
        </w:rPr>
        <w:t>The objective of E&amp;S monitoring is to:</w:t>
      </w:r>
    </w:p>
    <w:p w14:paraId="37E4E28D" w14:textId="77777777" w:rsidR="00A66DE7" w:rsidRPr="002B3F36" w:rsidRDefault="00A66DE7" w:rsidP="009B4CDB">
      <w:pPr>
        <w:widowControl/>
        <w:numPr>
          <w:ilvl w:val="0"/>
          <w:numId w:val="201"/>
        </w:numPr>
        <w:autoSpaceDE/>
        <w:autoSpaceDN/>
        <w:jc w:val="both"/>
        <w:rPr>
          <w:rFonts w:ascii="Arial" w:eastAsia="Times New Roman" w:hAnsi="Arial" w:cs="Arial"/>
          <w:sz w:val="24"/>
          <w:szCs w:val="24"/>
        </w:rPr>
      </w:pPr>
      <w:r w:rsidRPr="002B3F36">
        <w:rPr>
          <w:rFonts w:ascii="Arial" w:eastAsia="Times New Roman" w:hAnsi="Arial" w:cs="Arial"/>
          <w:sz w:val="24"/>
          <w:szCs w:val="24"/>
        </w:rPr>
        <w:t>Confirm that Contractors and relevant agencies implement the prescribed mitigation measures;</w:t>
      </w:r>
    </w:p>
    <w:p w14:paraId="62D41330" w14:textId="77777777" w:rsidR="00A66DE7" w:rsidRPr="002B3F36" w:rsidRDefault="00A66DE7" w:rsidP="009B4CDB">
      <w:pPr>
        <w:widowControl/>
        <w:numPr>
          <w:ilvl w:val="0"/>
          <w:numId w:val="201"/>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Assess whether these measures adequately safeguard Project-Affected Persons (PAPs) and the environment; and</w:t>
      </w:r>
    </w:p>
    <w:p w14:paraId="7CF0FBB7" w14:textId="77777777" w:rsidR="00A66DE7" w:rsidRPr="002B3F36" w:rsidRDefault="00A66DE7" w:rsidP="009B4CDB">
      <w:pPr>
        <w:widowControl/>
        <w:numPr>
          <w:ilvl w:val="0"/>
          <w:numId w:val="201"/>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Determine whether supplementary measures are required.</w:t>
      </w:r>
    </w:p>
    <w:p w14:paraId="43F58F2B" w14:textId="77777777" w:rsidR="00A66DE7" w:rsidRPr="002B3F36" w:rsidRDefault="00A66DE7" w:rsidP="004B4042">
      <w:pPr>
        <w:widowControl/>
        <w:autoSpaceDE/>
        <w:autoSpaceDN/>
        <w:jc w:val="both"/>
        <w:rPr>
          <w:rFonts w:ascii="Arial" w:eastAsia="Times New Roman" w:hAnsi="Arial" w:cs="Arial"/>
          <w:sz w:val="24"/>
          <w:szCs w:val="24"/>
        </w:rPr>
      </w:pPr>
      <w:r w:rsidRPr="002B3F36">
        <w:rPr>
          <w:rFonts w:ascii="Arial" w:eastAsia="Times New Roman" w:hAnsi="Arial" w:cs="Arial"/>
          <w:b/>
          <w:bCs/>
          <w:sz w:val="24"/>
          <w:szCs w:val="24"/>
        </w:rPr>
        <w:t>Responsibilities</w:t>
      </w:r>
    </w:p>
    <w:p w14:paraId="3E824FD8" w14:textId="5AD1473A" w:rsidR="00A66DE7" w:rsidRPr="002B3F36" w:rsidRDefault="00A66DE7" w:rsidP="009B4CDB">
      <w:pPr>
        <w:widowControl/>
        <w:numPr>
          <w:ilvl w:val="0"/>
          <w:numId w:val="202"/>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lastRenderedPageBreak/>
        <w:t>KTZ</w:t>
      </w:r>
      <w:r w:rsidR="00BD3FAA" w:rsidRPr="002B3F36">
        <w:rPr>
          <w:rFonts w:ascii="Arial" w:eastAsia="Times New Roman" w:hAnsi="Arial" w:cs="Arial"/>
          <w:b/>
          <w:bCs/>
          <w:sz w:val="24"/>
          <w:szCs w:val="24"/>
        </w:rPr>
        <w:t xml:space="preserve"> </w:t>
      </w:r>
      <w:r w:rsidRPr="002B3F36">
        <w:rPr>
          <w:rFonts w:ascii="Arial" w:eastAsia="Times New Roman" w:hAnsi="Arial" w:cs="Arial"/>
          <w:b/>
          <w:bCs/>
          <w:sz w:val="24"/>
          <w:szCs w:val="24"/>
        </w:rPr>
        <w:t>(Implementing Agency)</w:t>
      </w:r>
      <w:r w:rsidRPr="002B3F36">
        <w:rPr>
          <w:rFonts w:ascii="Arial" w:eastAsia="Times New Roman" w:hAnsi="Arial" w:cs="Arial"/>
          <w:sz w:val="24"/>
          <w:szCs w:val="24"/>
        </w:rPr>
        <w:t>: Establishes and maintains the IMS, oversees compliance, and submits monitoring summaries (including incidents) to the World Bank on a quarterly basis.</w:t>
      </w:r>
    </w:p>
    <w:p w14:paraId="283DE88A" w14:textId="77777777" w:rsidR="00A66DE7" w:rsidRPr="002B3F36" w:rsidRDefault="00A66DE7" w:rsidP="009B4CDB">
      <w:pPr>
        <w:widowControl/>
        <w:numPr>
          <w:ilvl w:val="0"/>
          <w:numId w:val="202"/>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Construction Supervision Consultant (CSC)</w:t>
      </w:r>
      <w:r w:rsidRPr="002B3F36">
        <w:rPr>
          <w:rFonts w:ascii="Arial" w:eastAsia="Times New Roman" w:hAnsi="Arial" w:cs="Arial"/>
          <w:sz w:val="24"/>
          <w:szCs w:val="24"/>
        </w:rPr>
        <w:t>: Verifies Contractor monitoring, conducts site inspections, and prepares quarterly monitoring reports.</w:t>
      </w:r>
    </w:p>
    <w:p w14:paraId="6A0EAC27" w14:textId="77777777" w:rsidR="00A66DE7" w:rsidRPr="002B3F36" w:rsidRDefault="00A66DE7" w:rsidP="009B4CDB">
      <w:pPr>
        <w:widowControl/>
        <w:numPr>
          <w:ilvl w:val="0"/>
          <w:numId w:val="202"/>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Contractor</w:t>
      </w:r>
      <w:r w:rsidRPr="002B3F36">
        <w:rPr>
          <w:rFonts w:ascii="Arial" w:eastAsia="Times New Roman" w:hAnsi="Arial" w:cs="Arial"/>
          <w:sz w:val="24"/>
          <w:szCs w:val="24"/>
        </w:rPr>
        <w:t>: Implements site-specific monitoring (per the C-ESMP), conducts regular inspections, maintains records, and submits monthly environmental and social progress reports to the CSC.</w:t>
      </w:r>
    </w:p>
    <w:p w14:paraId="2EC77C1C" w14:textId="23468BA4" w:rsidR="00F61F8E" w:rsidRPr="002B3F36" w:rsidRDefault="00A66DE7" w:rsidP="009B4CDB">
      <w:pPr>
        <w:widowControl/>
        <w:numPr>
          <w:ilvl w:val="0"/>
          <w:numId w:val="202"/>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Operations Phase</w:t>
      </w:r>
      <w:r w:rsidRPr="002B3F36">
        <w:rPr>
          <w:rFonts w:ascii="Arial" w:eastAsia="Times New Roman" w:hAnsi="Arial" w:cs="Arial"/>
          <w:sz w:val="24"/>
          <w:szCs w:val="24"/>
        </w:rPr>
        <w:t xml:space="preserve">: Monitoring responsibilities transfer fully to </w:t>
      </w:r>
      <w:r w:rsidRPr="002B3F36">
        <w:rPr>
          <w:rFonts w:ascii="Arial" w:eastAsia="Times New Roman" w:hAnsi="Arial" w:cs="Arial"/>
          <w:b/>
          <w:bCs/>
          <w:sz w:val="24"/>
          <w:szCs w:val="24"/>
        </w:rPr>
        <w:t>KTZ</w:t>
      </w:r>
      <w:r w:rsidRPr="002B3F36">
        <w:rPr>
          <w:rFonts w:ascii="Arial" w:eastAsia="Times New Roman" w:hAnsi="Arial" w:cs="Arial"/>
          <w:sz w:val="24"/>
          <w:szCs w:val="24"/>
        </w:rPr>
        <w:t>, which will continue surveillance of E&amp;S performance, especially in sensitive areas such as wildlife corridors, settlements, and protected areas</w:t>
      </w:r>
      <w:r w:rsidR="000F264B" w:rsidRPr="002B3F36">
        <w:rPr>
          <w:rFonts w:ascii="Arial" w:eastAsia="SimSun" w:hAnsi="Arial" w:cs="Arial"/>
          <w:lang w:eastAsia="en-GB"/>
        </w:rPr>
        <w:br w:type="page"/>
      </w:r>
    </w:p>
    <w:p w14:paraId="35F0FC37" w14:textId="65DD1CDD" w:rsidR="00F61F8E" w:rsidRPr="002B3F36" w:rsidRDefault="00DE0226" w:rsidP="000E123E">
      <w:pPr>
        <w:pStyle w:val="CaptionTable"/>
      </w:pPr>
      <w:bookmarkStart w:id="2598" w:name="_Toc169094913"/>
      <w:bookmarkStart w:id="2599" w:name="_Toc210589586"/>
      <w:r w:rsidRPr="002B3F36">
        <w:lastRenderedPageBreak/>
        <w:t xml:space="preserve">Table </w:t>
      </w:r>
      <w:r w:rsidRPr="002B3F36">
        <w:rPr>
          <w:noProof/>
        </w:rPr>
        <w:fldChar w:fldCharType="begin"/>
      </w:r>
      <w:r w:rsidRPr="002B3F36">
        <w:rPr>
          <w:noProof/>
        </w:rPr>
        <w:instrText xml:space="preserve"> SEQ Table \* ARABIC </w:instrText>
      </w:r>
      <w:r w:rsidRPr="002B3F36">
        <w:rPr>
          <w:noProof/>
        </w:rPr>
        <w:fldChar w:fldCharType="separate"/>
      </w:r>
      <w:r w:rsidR="00A023DA">
        <w:rPr>
          <w:noProof/>
        </w:rPr>
        <w:t>42</w:t>
      </w:r>
      <w:r w:rsidRPr="002B3F36">
        <w:rPr>
          <w:noProof/>
        </w:rPr>
        <w:fldChar w:fldCharType="end"/>
      </w:r>
      <w:r w:rsidRPr="002B3F36">
        <w:t>: Environment and Social Monitoring Plan</w:t>
      </w:r>
      <w:bookmarkEnd w:id="2598"/>
      <w:bookmarkEnd w:id="2599"/>
      <w:r w:rsidR="009547AD" w:rsidRPr="002B3F36">
        <w:t xml:space="preserve"> </w:t>
      </w:r>
    </w:p>
    <w:tbl>
      <w:tblPr>
        <w:tblW w:w="147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51"/>
        <w:gridCol w:w="3429"/>
        <w:gridCol w:w="1920"/>
        <w:gridCol w:w="2640"/>
        <w:gridCol w:w="2800"/>
        <w:gridCol w:w="1820"/>
      </w:tblGrid>
      <w:tr w:rsidR="00F61F8E" w:rsidRPr="002B3F36" w14:paraId="604E8014" w14:textId="77777777" w:rsidTr="004B4042">
        <w:trPr>
          <w:cantSplit/>
          <w:tblHeader/>
        </w:trPr>
        <w:tc>
          <w:tcPr>
            <w:tcW w:w="2151" w:type="dxa"/>
            <w:shd w:val="clear" w:color="auto" w:fill="D9D9D9" w:themeFill="background1" w:themeFillShade="D9"/>
            <w:vAlign w:val="center"/>
          </w:tcPr>
          <w:p w14:paraId="7908983D" w14:textId="77777777" w:rsidR="00F61F8E" w:rsidRPr="002B3F36" w:rsidRDefault="000F264B" w:rsidP="004B4042">
            <w:pPr>
              <w:tabs>
                <w:tab w:val="left" w:pos="290"/>
              </w:tabs>
              <w:jc w:val="center"/>
              <w:rPr>
                <w:rFonts w:ascii="Arial" w:hAnsi="Arial" w:cs="Arial"/>
                <w:b/>
                <w:bCs/>
                <w:sz w:val="20"/>
                <w:szCs w:val="20"/>
                <w:lang w:val="en-GB"/>
              </w:rPr>
            </w:pPr>
            <w:r w:rsidRPr="002B3F36">
              <w:rPr>
                <w:rFonts w:ascii="Arial" w:hAnsi="Arial" w:cs="Arial"/>
                <w:b/>
                <w:bCs/>
                <w:sz w:val="20"/>
                <w:szCs w:val="20"/>
                <w:lang w:val="en-GB"/>
              </w:rPr>
              <w:t>Aspect</w:t>
            </w:r>
          </w:p>
        </w:tc>
        <w:tc>
          <w:tcPr>
            <w:tcW w:w="3429" w:type="dxa"/>
            <w:shd w:val="clear" w:color="auto" w:fill="D9D9D9" w:themeFill="background1" w:themeFillShade="D9"/>
            <w:vAlign w:val="center"/>
          </w:tcPr>
          <w:p w14:paraId="59C564FA" w14:textId="77777777" w:rsidR="00F61F8E" w:rsidRPr="002B3F36" w:rsidRDefault="000F264B" w:rsidP="004B4042">
            <w:pPr>
              <w:tabs>
                <w:tab w:val="left" w:pos="290"/>
              </w:tabs>
              <w:jc w:val="center"/>
              <w:rPr>
                <w:rFonts w:ascii="Arial" w:hAnsi="Arial" w:cs="Arial"/>
                <w:b/>
                <w:bCs/>
                <w:sz w:val="20"/>
                <w:szCs w:val="20"/>
                <w:lang w:val="en-GB"/>
              </w:rPr>
            </w:pPr>
            <w:r w:rsidRPr="002B3F36">
              <w:rPr>
                <w:rFonts w:ascii="Arial" w:hAnsi="Arial" w:cs="Arial"/>
                <w:b/>
                <w:bCs/>
                <w:sz w:val="20"/>
                <w:szCs w:val="20"/>
                <w:lang w:val="en-GB"/>
              </w:rPr>
              <w:t>Parameters to be monitored</w:t>
            </w:r>
          </w:p>
        </w:tc>
        <w:tc>
          <w:tcPr>
            <w:tcW w:w="1920" w:type="dxa"/>
            <w:shd w:val="clear" w:color="auto" w:fill="D9D9D9" w:themeFill="background1" w:themeFillShade="D9"/>
            <w:vAlign w:val="center"/>
          </w:tcPr>
          <w:p w14:paraId="04BFBEBD" w14:textId="77777777" w:rsidR="00F61F8E" w:rsidRPr="002B3F36" w:rsidRDefault="000F264B" w:rsidP="004B4042">
            <w:pPr>
              <w:tabs>
                <w:tab w:val="left" w:pos="290"/>
              </w:tabs>
              <w:jc w:val="center"/>
              <w:rPr>
                <w:rFonts w:ascii="Arial" w:hAnsi="Arial" w:cs="Arial"/>
                <w:b/>
                <w:bCs/>
                <w:sz w:val="20"/>
                <w:szCs w:val="20"/>
                <w:lang w:val="en-GB"/>
              </w:rPr>
            </w:pPr>
            <w:r w:rsidRPr="002B3F36">
              <w:rPr>
                <w:rFonts w:ascii="Arial" w:hAnsi="Arial" w:cs="Arial"/>
                <w:b/>
                <w:bCs/>
                <w:sz w:val="20"/>
                <w:szCs w:val="20"/>
                <w:lang w:val="en-GB"/>
              </w:rPr>
              <w:t>Location</w:t>
            </w:r>
          </w:p>
        </w:tc>
        <w:tc>
          <w:tcPr>
            <w:tcW w:w="2640" w:type="dxa"/>
            <w:shd w:val="clear" w:color="auto" w:fill="D9D9D9" w:themeFill="background1" w:themeFillShade="D9"/>
            <w:vAlign w:val="center"/>
          </w:tcPr>
          <w:p w14:paraId="4B050C10" w14:textId="77777777" w:rsidR="00F61F8E" w:rsidRPr="002B3F36" w:rsidRDefault="000F264B" w:rsidP="004B4042">
            <w:pPr>
              <w:tabs>
                <w:tab w:val="left" w:pos="149"/>
              </w:tabs>
              <w:jc w:val="center"/>
              <w:rPr>
                <w:rFonts w:ascii="Arial" w:hAnsi="Arial" w:cs="Arial"/>
                <w:b/>
                <w:bCs/>
                <w:sz w:val="20"/>
                <w:szCs w:val="20"/>
                <w:lang w:val="en-GB"/>
              </w:rPr>
            </w:pPr>
            <w:r w:rsidRPr="002B3F36">
              <w:rPr>
                <w:rFonts w:ascii="Arial" w:hAnsi="Arial" w:cs="Arial"/>
                <w:b/>
                <w:bCs/>
                <w:sz w:val="20"/>
                <w:szCs w:val="20"/>
                <w:lang w:val="en-GB"/>
              </w:rPr>
              <w:t>Methodology</w:t>
            </w:r>
          </w:p>
        </w:tc>
        <w:tc>
          <w:tcPr>
            <w:tcW w:w="2800" w:type="dxa"/>
            <w:shd w:val="clear" w:color="auto" w:fill="D9D9D9" w:themeFill="background1" w:themeFillShade="D9"/>
            <w:vAlign w:val="center"/>
          </w:tcPr>
          <w:p w14:paraId="1BAC8C85" w14:textId="77777777" w:rsidR="00F61F8E" w:rsidRPr="002B3F36" w:rsidRDefault="000F264B" w:rsidP="004B4042">
            <w:pPr>
              <w:jc w:val="center"/>
              <w:rPr>
                <w:rFonts w:ascii="Arial" w:hAnsi="Arial" w:cs="Arial"/>
                <w:b/>
                <w:bCs/>
                <w:sz w:val="20"/>
                <w:szCs w:val="20"/>
              </w:rPr>
            </w:pPr>
            <w:r w:rsidRPr="002B3F36">
              <w:rPr>
                <w:rFonts w:ascii="Arial" w:hAnsi="Arial" w:cs="Arial"/>
                <w:b/>
                <w:bCs/>
                <w:sz w:val="20"/>
                <w:szCs w:val="20"/>
              </w:rPr>
              <w:t>Timing and Frequency</w:t>
            </w:r>
          </w:p>
        </w:tc>
        <w:tc>
          <w:tcPr>
            <w:tcW w:w="1820" w:type="dxa"/>
            <w:shd w:val="clear" w:color="auto" w:fill="D9D9D9" w:themeFill="background1" w:themeFillShade="D9"/>
            <w:vAlign w:val="center"/>
          </w:tcPr>
          <w:p w14:paraId="45978177" w14:textId="77777777" w:rsidR="00F61F8E" w:rsidRPr="002B3F36" w:rsidRDefault="000F264B" w:rsidP="004B4042">
            <w:pPr>
              <w:jc w:val="center"/>
              <w:rPr>
                <w:rFonts w:ascii="Arial" w:hAnsi="Arial" w:cs="Arial"/>
                <w:b/>
                <w:bCs/>
                <w:sz w:val="20"/>
                <w:szCs w:val="20"/>
              </w:rPr>
            </w:pPr>
            <w:r w:rsidRPr="002B3F36">
              <w:rPr>
                <w:rFonts w:ascii="Arial" w:hAnsi="Arial" w:cs="Arial"/>
                <w:b/>
                <w:bCs/>
                <w:sz w:val="20"/>
                <w:szCs w:val="20"/>
              </w:rPr>
              <w:t>Institutional Responsibility for Monitoring</w:t>
            </w:r>
          </w:p>
        </w:tc>
      </w:tr>
      <w:tr w:rsidR="00F61F8E" w:rsidRPr="002B3F36" w14:paraId="485F3FE0" w14:textId="77777777">
        <w:trPr>
          <w:cantSplit/>
        </w:trPr>
        <w:tc>
          <w:tcPr>
            <w:tcW w:w="2151" w:type="dxa"/>
          </w:tcPr>
          <w:p w14:paraId="3E9474E7"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Permits/Clearances</w:t>
            </w:r>
          </w:p>
        </w:tc>
        <w:tc>
          <w:tcPr>
            <w:tcW w:w="3429" w:type="dxa"/>
          </w:tcPr>
          <w:p w14:paraId="6055A280" w14:textId="7DFAC49A"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 xml:space="preserve">Existences of permits from MENR for borrow areas, </w:t>
            </w:r>
            <w:r w:rsidR="0032655D" w:rsidRPr="002B3F36">
              <w:rPr>
                <w:rFonts w:ascii="Arial" w:hAnsi="Arial" w:cs="Arial"/>
                <w:sz w:val="20"/>
                <w:szCs w:val="20"/>
                <w:lang w:val="en-GB"/>
              </w:rPr>
              <w:t>cement</w:t>
            </w:r>
            <w:r w:rsidRPr="002B3F36">
              <w:rPr>
                <w:rFonts w:ascii="Arial" w:hAnsi="Arial" w:cs="Arial"/>
                <w:sz w:val="20"/>
                <w:szCs w:val="20"/>
                <w:lang w:val="en-GB"/>
              </w:rPr>
              <w:t xml:space="preserve"> plants, disposal sites and tree cutting as well as clearance from the MOH for establishment and operation of work camps.</w:t>
            </w:r>
          </w:p>
        </w:tc>
        <w:tc>
          <w:tcPr>
            <w:tcW w:w="1920" w:type="dxa"/>
          </w:tcPr>
          <w:p w14:paraId="5047E782" w14:textId="77777777" w:rsidR="00F61F8E" w:rsidRPr="002B3F36" w:rsidRDefault="00F61F8E" w:rsidP="00047090">
            <w:pPr>
              <w:tabs>
                <w:tab w:val="left" w:pos="290"/>
              </w:tabs>
              <w:rPr>
                <w:rFonts w:ascii="Arial" w:hAnsi="Arial" w:cs="Arial"/>
                <w:sz w:val="20"/>
                <w:szCs w:val="20"/>
                <w:lang w:val="en-GB"/>
              </w:rPr>
            </w:pPr>
          </w:p>
        </w:tc>
        <w:tc>
          <w:tcPr>
            <w:tcW w:w="2640" w:type="dxa"/>
          </w:tcPr>
          <w:p w14:paraId="71894C5A" w14:textId="77777777" w:rsidR="00F61F8E" w:rsidRPr="002B3F36" w:rsidRDefault="000F264B" w:rsidP="00047090">
            <w:pPr>
              <w:tabs>
                <w:tab w:val="left" w:pos="149"/>
              </w:tabs>
              <w:rPr>
                <w:rFonts w:ascii="Arial" w:hAnsi="Arial" w:cs="Arial"/>
                <w:sz w:val="20"/>
                <w:szCs w:val="20"/>
                <w:lang w:val="en-GB"/>
              </w:rPr>
            </w:pPr>
            <w:r w:rsidRPr="002B3F36">
              <w:rPr>
                <w:rFonts w:ascii="Arial" w:hAnsi="Arial" w:cs="Arial"/>
                <w:sz w:val="20"/>
                <w:szCs w:val="20"/>
                <w:lang w:val="en-GB"/>
              </w:rPr>
              <w:t>Inspection</w:t>
            </w:r>
          </w:p>
        </w:tc>
        <w:tc>
          <w:tcPr>
            <w:tcW w:w="2800" w:type="dxa"/>
          </w:tcPr>
          <w:p w14:paraId="3B4308A4" w14:textId="77777777" w:rsidR="00F61F8E" w:rsidRPr="002B3F36" w:rsidRDefault="000F264B" w:rsidP="00047090">
            <w:pPr>
              <w:rPr>
                <w:rFonts w:ascii="Arial" w:hAnsi="Arial" w:cs="Arial"/>
                <w:sz w:val="20"/>
                <w:szCs w:val="20"/>
              </w:rPr>
            </w:pPr>
            <w:r w:rsidRPr="002B3F36">
              <w:rPr>
                <w:rFonts w:ascii="Arial" w:hAnsi="Arial" w:cs="Arial"/>
                <w:sz w:val="20"/>
                <w:szCs w:val="20"/>
              </w:rPr>
              <w:t>Before commencement of site works or installation of facilities</w:t>
            </w:r>
          </w:p>
        </w:tc>
        <w:tc>
          <w:tcPr>
            <w:tcW w:w="1820" w:type="dxa"/>
          </w:tcPr>
          <w:p w14:paraId="15AF3D71"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7ED4E4EC" w14:textId="0B8B41E1" w:rsidR="00F61F8E" w:rsidRPr="002B3F36" w:rsidRDefault="000F264B" w:rsidP="00047090">
            <w:pPr>
              <w:rPr>
                <w:rFonts w:ascii="Arial" w:hAnsi="Arial" w:cs="Arial"/>
                <w:sz w:val="20"/>
                <w:szCs w:val="20"/>
              </w:rPr>
            </w:pPr>
            <w:r w:rsidRPr="002B3F36">
              <w:rPr>
                <w:rFonts w:ascii="Arial" w:hAnsi="Arial" w:cs="Arial"/>
                <w:sz w:val="20"/>
                <w:szCs w:val="20"/>
              </w:rPr>
              <w:t>KTZ/CSC to check compliance</w:t>
            </w:r>
          </w:p>
        </w:tc>
      </w:tr>
      <w:tr w:rsidR="00F61F8E" w:rsidRPr="002B3F36" w14:paraId="6CF38D75" w14:textId="77777777">
        <w:trPr>
          <w:cantSplit/>
        </w:trPr>
        <w:tc>
          <w:tcPr>
            <w:tcW w:w="2151" w:type="dxa"/>
          </w:tcPr>
          <w:p w14:paraId="09223DE2"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Contractor’s yard</w:t>
            </w:r>
          </w:p>
        </w:tc>
        <w:tc>
          <w:tcPr>
            <w:tcW w:w="3429" w:type="dxa"/>
          </w:tcPr>
          <w:p w14:paraId="01ACC1D9"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Solid waste handling and disposal facilities</w:t>
            </w:r>
          </w:p>
          <w:p w14:paraId="5B9564E4"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Drainage conditions</w:t>
            </w:r>
          </w:p>
          <w:p w14:paraId="0D4C6E7A"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Sanitation facilities and sewage disposal</w:t>
            </w:r>
          </w:p>
          <w:p w14:paraId="4836FB29"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Heath facilities</w:t>
            </w:r>
          </w:p>
          <w:p w14:paraId="004E409F"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 xml:space="preserve">Hazardous wastes management </w:t>
            </w:r>
          </w:p>
        </w:tc>
        <w:tc>
          <w:tcPr>
            <w:tcW w:w="1920" w:type="dxa"/>
          </w:tcPr>
          <w:p w14:paraId="5511B661"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Contractor’s Camp</w:t>
            </w:r>
          </w:p>
        </w:tc>
        <w:tc>
          <w:tcPr>
            <w:tcW w:w="2640" w:type="dxa"/>
          </w:tcPr>
          <w:p w14:paraId="238E7DEF" w14:textId="77777777" w:rsidR="00F61F8E" w:rsidRPr="002B3F36" w:rsidRDefault="000F264B" w:rsidP="00047090">
            <w:pPr>
              <w:tabs>
                <w:tab w:val="left" w:pos="149"/>
              </w:tabs>
              <w:rPr>
                <w:rFonts w:ascii="Arial" w:hAnsi="Arial" w:cs="Arial"/>
                <w:sz w:val="20"/>
                <w:szCs w:val="20"/>
              </w:rPr>
            </w:pPr>
            <w:r w:rsidRPr="002B3F36">
              <w:rPr>
                <w:rFonts w:ascii="Arial" w:hAnsi="Arial" w:cs="Arial"/>
                <w:sz w:val="20"/>
                <w:szCs w:val="20"/>
              </w:rPr>
              <w:t>Inspections, observations</w:t>
            </w:r>
          </w:p>
        </w:tc>
        <w:tc>
          <w:tcPr>
            <w:tcW w:w="2800" w:type="dxa"/>
          </w:tcPr>
          <w:p w14:paraId="2C8201C2" w14:textId="77777777" w:rsidR="00F61F8E" w:rsidRPr="002B3F36" w:rsidRDefault="000F264B" w:rsidP="00047090">
            <w:pPr>
              <w:rPr>
                <w:rFonts w:ascii="Arial" w:hAnsi="Arial" w:cs="Arial"/>
                <w:sz w:val="20"/>
                <w:szCs w:val="20"/>
              </w:rPr>
            </w:pPr>
            <w:r w:rsidRPr="002B3F36">
              <w:rPr>
                <w:rFonts w:ascii="Arial" w:hAnsi="Arial" w:cs="Arial"/>
                <w:sz w:val="20"/>
                <w:szCs w:val="20"/>
              </w:rPr>
              <w:t xml:space="preserve">Unannounced inspections during construction. </w:t>
            </w:r>
            <w:bookmarkStart w:id="2600" w:name="OLE_LINK1"/>
            <w:bookmarkStart w:id="2601" w:name="OLE_LINK2"/>
            <w:r w:rsidRPr="002B3F36">
              <w:rPr>
                <w:rFonts w:ascii="Arial" w:hAnsi="Arial" w:cs="Arial"/>
                <w:sz w:val="20"/>
                <w:szCs w:val="20"/>
              </w:rPr>
              <w:t>At least once a week</w:t>
            </w:r>
            <w:bookmarkEnd w:id="2600"/>
            <w:bookmarkEnd w:id="2601"/>
          </w:p>
        </w:tc>
        <w:tc>
          <w:tcPr>
            <w:tcW w:w="1820" w:type="dxa"/>
          </w:tcPr>
          <w:p w14:paraId="128A3157"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5A93A37B" w14:textId="3BDC6686" w:rsidR="00F61F8E" w:rsidRPr="002B3F36" w:rsidRDefault="00A728DA" w:rsidP="00047090">
            <w:pPr>
              <w:rPr>
                <w:rFonts w:ascii="Arial" w:hAnsi="Arial" w:cs="Arial"/>
                <w:sz w:val="20"/>
                <w:szCs w:val="20"/>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1C6728E3" w14:textId="77777777">
        <w:trPr>
          <w:cantSplit/>
        </w:trPr>
        <w:tc>
          <w:tcPr>
            <w:tcW w:w="2151" w:type="dxa"/>
          </w:tcPr>
          <w:p w14:paraId="5686B14C"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Equipment maintenance and fuel storage areas</w:t>
            </w:r>
          </w:p>
        </w:tc>
        <w:tc>
          <w:tcPr>
            <w:tcW w:w="3429" w:type="dxa"/>
          </w:tcPr>
          <w:p w14:paraId="084C8AC0"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Storage and handling practices</w:t>
            </w:r>
          </w:p>
          <w:p w14:paraId="7B73AEEE"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Condition of storage facilities of fuel, lubricants and paints</w:t>
            </w:r>
          </w:p>
          <w:p w14:paraId="200ACFBB"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Spillage</w:t>
            </w:r>
          </w:p>
          <w:p w14:paraId="59D008BB"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Drainage conditions</w:t>
            </w:r>
          </w:p>
        </w:tc>
        <w:tc>
          <w:tcPr>
            <w:tcW w:w="1920" w:type="dxa"/>
          </w:tcPr>
          <w:p w14:paraId="1CEBD8EF"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Contractor’s Camp</w:t>
            </w:r>
          </w:p>
        </w:tc>
        <w:tc>
          <w:tcPr>
            <w:tcW w:w="2640" w:type="dxa"/>
          </w:tcPr>
          <w:p w14:paraId="1EEE0AFD" w14:textId="77777777" w:rsidR="00F61F8E" w:rsidRPr="002B3F36" w:rsidRDefault="000F264B" w:rsidP="00047090">
            <w:pPr>
              <w:tabs>
                <w:tab w:val="left" w:pos="149"/>
              </w:tabs>
              <w:rPr>
                <w:rFonts w:ascii="Arial" w:hAnsi="Arial" w:cs="Arial"/>
                <w:sz w:val="20"/>
                <w:szCs w:val="20"/>
              </w:rPr>
            </w:pPr>
            <w:r w:rsidRPr="002B3F36">
              <w:rPr>
                <w:rFonts w:ascii="Arial" w:hAnsi="Arial" w:cs="Arial"/>
                <w:sz w:val="20"/>
                <w:szCs w:val="20"/>
              </w:rPr>
              <w:t>Inspections, observations</w:t>
            </w:r>
          </w:p>
        </w:tc>
        <w:tc>
          <w:tcPr>
            <w:tcW w:w="2800" w:type="dxa"/>
          </w:tcPr>
          <w:p w14:paraId="2D284E4C" w14:textId="77777777" w:rsidR="00F61F8E" w:rsidRPr="002B3F36" w:rsidRDefault="000F264B" w:rsidP="00047090">
            <w:pPr>
              <w:rPr>
                <w:rFonts w:ascii="Arial" w:hAnsi="Arial" w:cs="Arial"/>
                <w:sz w:val="20"/>
                <w:szCs w:val="20"/>
              </w:rPr>
            </w:pPr>
            <w:r w:rsidRPr="002B3F36">
              <w:rPr>
                <w:rFonts w:ascii="Arial" w:hAnsi="Arial" w:cs="Arial"/>
                <w:sz w:val="20"/>
                <w:szCs w:val="20"/>
              </w:rPr>
              <w:t>Unannounced inspections during construction. At least once a week</w:t>
            </w:r>
          </w:p>
        </w:tc>
        <w:tc>
          <w:tcPr>
            <w:tcW w:w="1820" w:type="dxa"/>
          </w:tcPr>
          <w:p w14:paraId="7E5090E6"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73D3B8D8" w14:textId="2CBF353A" w:rsidR="00F61F8E" w:rsidRPr="002B3F36" w:rsidRDefault="00A728DA" w:rsidP="00047090">
            <w:pPr>
              <w:rPr>
                <w:rFonts w:ascii="Arial" w:hAnsi="Arial" w:cs="Arial"/>
                <w:sz w:val="20"/>
                <w:szCs w:val="20"/>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5CF1CECD" w14:textId="77777777">
        <w:trPr>
          <w:cantSplit/>
        </w:trPr>
        <w:tc>
          <w:tcPr>
            <w:tcW w:w="2151" w:type="dxa"/>
          </w:tcPr>
          <w:p w14:paraId="3C984E07"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Borrow areas and access roads</w:t>
            </w:r>
          </w:p>
        </w:tc>
        <w:tc>
          <w:tcPr>
            <w:tcW w:w="3429" w:type="dxa"/>
          </w:tcPr>
          <w:p w14:paraId="39F639E9" w14:textId="7777777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Watercourses in the vicinity (obstruction, siltation, etc.)</w:t>
            </w:r>
          </w:p>
          <w:p w14:paraId="3618718B" w14:textId="5A042C17"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 xml:space="preserve">Dust emission along access </w:t>
            </w:r>
            <w:r w:rsidR="00C63AAF" w:rsidRPr="002B3F36">
              <w:rPr>
                <w:rFonts w:ascii="Arial" w:hAnsi="Arial" w:cs="Arial"/>
                <w:sz w:val="20"/>
                <w:szCs w:val="20"/>
                <w:lang w:val="en-GB"/>
              </w:rPr>
              <w:t>rail</w:t>
            </w:r>
            <w:r w:rsidRPr="002B3F36">
              <w:rPr>
                <w:rFonts w:ascii="Arial" w:hAnsi="Arial" w:cs="Arial"/>
                <w:sz w:val="20"/>
                <w:szCs w:val="20"/>
                <w:lang w:val="en-GB"/>
              </w:rPr>
              <w:t>roads, particularly near settlements.</w:t>
            </w:r>
          </w:p>
        </w:tc>
        <w:tc>
          <w:tcPr>
            <w:tcW w:w="1920" w:type="dxa"/>
          </w:tcPr>
          <w:p w14:paraId="62C8A96D" w14:textId="0CAADF31"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 xml:space="preserve">At site and access </w:t>
            </w:r>
            <w:r w:rsidR="00C63AAF" w:rsidRPr="002B3F36">
              <w:rPr>
                <w:rFonts w:ascii="Arial" w:hAnsi="Arial" w:cs="Arial"/>
                <w:sz w:val="20"/>
                <w:szCs w:val="20"/>
                <w:lang w:val="en-GB"/>
              </w:rPr>
              <w:t>rail</w:t>
            </w:r>
            <w:r w:rsidRPr="002B3F36">
              <w:rPr>
                <w:rFonts w:ascii="Arial" w:hAnsi="Arial" w:cs="Arial"/>
                <w:sz w:val="20"/>
                <w:szCs w:val="20"/>
                <w:lang w:val="en-GB"/>
              </w:rPr>
              <w:t>roads</w:t>
            </w:r>
          </w:p>
        </w:tc>
        <w:tc>
          <w:tcPr>
            <w:tcW w:w="2640" w:type="dxa"/>
          </w:tcPr>
          <w:p w14:paraId="4718A2D3" w14:textId="77777777" w:rsidR="00F61F8E" w:rsidRPr="002B3F36" w:rsidRDefault="000F264B" w:rsidP="00047090">
            <w:pPr>
              <w:tabs>
                <w:tab w:val="left" w:pos="149"/>
              </w:tabs>
              <w:rPr>
                <w:rFonts w:ascii="Arial" w:hAnsi="Arial" w:cs="Arial"/>
                <w:sz w:val="20"/>
                <w:szCs w:val="20"/>
              </w:rPr>
            </w:pPr>
            <w:r w:rsidRPr="002B3F36">
              <w:rPr>
                <w:rFonts w:ascii="Arial" w:hAnsi="Arial" w:cs="Arial"/>
                <w:sz w:val="20"/>
                <w:szCs w:val="20"/>
              </w:rPr>
              <w:t>Inspections, observations, consultation with nearby communities</w:t>
            </w:r>
          </w:p>
        </w:tc>
        <w:tc>
          <w:tcPr>
            <w:tcW w:w="2800" w:type="dxa"/>
          </w:tcPr>
          <w:p w14:paraId="172B4588" w14:textId="77777777" w:rsidR="00F61F8E" w:rsidRPr="002B3F36" w:rsidRDefault="000F264B" w:rsidP="00047090">
            <w:pPr>
              <w:rPr>
                <w:rFonts w:ascii="Arial" w:hAnsi="Arial" w:cs="Arial"/>
                <w:sz w:val="20"/>
                <w:szCs w:val="20"/>
              </w:rPr>
            </w:pPr>
            <w:r w:rsidRPr="002B3F36">
              <w:rPr>
                <w:rFonts w:ascii="Arial" w:hAnsi="Arial" w:cs="Arial"/>
                <w:sz w:val="20"/>
                <w:szCs w:val="20"/>
              </w:rPr>
              <w:t>Unannounced inspections during construction and after complaint. At least twice a week</w:t>
            </w:r>
          </w:p>
          <w:p w14:paraId="721733D1" w14:textId="77777777" w:rsidR="00F61F8E" w:rsidRPr="002B3F36" w:rsidRDefault="00F61F8E" w:rsidP="00047090">
            <w:pPr>
              <w:rPr>
                <w:rFonts w:ascii="Arial" w:hAnsi="Arial" w:cs="Arial"/>
                <w:sz w:val="20"/>
                <w:szCs w:val="20"/>
              </w:rPr>
            </w:pPr>
          </w:p>
        </w:tc>
        <w:tc>
          <w:tcPr>
            <w:tcW w:w="1820" w:type="dxa"/>
          </w:tcPr>
          <w:p w14:paraId="7F2BC8B7"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4DC014FB" w14:textId="7C3935E2" w:rsidR="00F61F8E" w:rsidRPr="002B3F36" w:rsidRDefault="00A728DA" w:rsidP="00047090">
            <w:pPr>
              <w:rPr>
                <w:rFonts w:ascii="Arial" w:hAnsi="Arial" w:cs="Arial"/>
                <w:sz w:val="20"/>
                <w:szCs w:val="20"/>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359F1431" w14:textId="77777777">
        <w:trPr>
          <w:cantSplit/>
        </w:trPr>
        <w:tc>
          <w:tcPr>
            <w:tcW w:w="2151" w:type="dxa"/>
          </w:tcPr>
          <w:p w14:paraId="439784B6" w14:textId="6AD4A7C5" w:rsidR="00F61F8E" w:rsidRPr="002B3F36" w:rsidRDefault="0032655D" w:rsidP="00047090">
            <w:pPr>
              <w:tabs>
                <w:tab w:val="left" w:pos="290"/>
              </w:tabs>
              <w:rPr>
                <w:rFonts w:ascii="Arial" w:hAnsi="Arial" w:cs="Arial"/>
                <w:sz w:val="20"/>
                <w:szCs w:val="20"/>
                <w:lang w:val="en-GB"/>
              </w:rPr>
            </w:pPr>
            <w:r w:rsidRPr="002B3F36">
              <w:rPr>
                <w:rFonts w:ascii="Arial" w:hAnsi="Arial" w:cs="Arial"/>
                <w:sz w:val="20"/>
                <w:szCs w:val="20"/>
                <w:lang w:val="en-GB"/>
              </w:rPr>
              <w:t>Cement</w:t>
            </w:r>
            <w:r w:rsidR="000F264B" w:rsidRPr="002B3F36">
              <w:rPr>
                <w:rFonts w:ascii="Arial" w:hAnsi="Arial" w:cs="Arial"/>
                <w:sz w:val="20"/>
                <w:szCs w:val="20"/>
                <w:lang w:val="en-GB"/>
              </w:rPr>
              <w:t xml:space="preserve"> plant</w:t>
            </w:r>
          </w:p>
          <w:p w14:paraId="26CB05B9" w14:textId="77777777" w:rsidR="00F61F8E" w:rsidRPr="002B3F36" w:rsidRDefault="00F61F8E" w:rsidP="00047090">
            <w:pPr>
              <w:tabs>
                <w:tab w:val="left" w:pos="290"/>
              </w:tabs>
              <w:rPr>
                <w:rFonts w:ascii="Arial" w:hAnsi="Arial" w:cs="Arial"/>
                <w:sz w:val="20"/>
                <w:szCs w:val="20"/>
                <w:lang w:val="en-GB"/>
              </w:rPr>
            </w:pPr>
          </w:p>
        </w:tc>
        <w:tc>
          <w:tcPr>
            <w:tcW w:w="3429" w:type="dxa"/>
          </w:tcPr>
          <w:p w14:paraId="55A7483F" w14:textId="27226CAB" w:rsidR="00F61F8E" w:rsidRPr="002B3F36" w:rsidRDefault="000F264B" w:rsidP="00047090">
            <w:pPr>
              <w:tabs>
                <w:tab w:val="left" w:pos="0"/>
              </w:tabs>
              <w:textboxTightWrap w:val="allLines"/>
              <w:rPr>
                <w:rFonts w:ascii="Arial" w:hAnsi="Arial" w:cs="Arial"/>
                <w:sz w:val="20"/>
                <w:szCs w:val="20"/>
                <w:lang w:val="en-GB"/>
              </w:rPr>
            </w:pPr>
            <w:r w:rsidRPr="002B3F36">
              <w:rPr>
                <w:rFonts w:ascii="Arial" w:hAnsi="Arial" w:cs="Arial"/>
                <w:sz w:val="20"/>
                <w:szCs w:val="20"/>
                <w:lang w:val="en-GB"/>
              </w:rPr>
              <w:t>Surrounding Exhaust fumes</w:t>
            </w:r>
            <w:r w:rsidR="00DE341F" w:rsidRPr="002B3F36">
              <w:rPr>
                <w:rFonts w:ascii="Arial" w:hAnsi="Arial" w:cs="Arial"/>
                <w:sz w:val="20"/>
                <w:szCs w:val="20"/>
                <w:lang w:val="en-GB"/>
              </w:rPr>
              <w:t xml:space="preserve"> and dust</w:t>
            </w:r>
          </w:p>
        </w:tc>
        <w:tc>
          <w:tcPr>
            <w:tcW w:w="1920" w:type="dxa"/>
          </w:tcPr>
          <w:p w14:paraId="0D8B8204" w14:textId="5B758FF4"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At cement batching plant sites</w:t>
            </w:r>
          </w:p>
        </w:tc>
        <w:tc>
          <w:tcPr>
            <w:tcW w:w="2640" w:type="dxa"/>
          </w:tcPr>
          <w:p w14:paraId="3C0780DC" w14:textId="77777777" w:rsidR="00F61F8E" w:rsidRPr="002B3F36" w:rsidRDefault="000F264B" w:rsidP="00047090">
            <w:pPr>
              <w:tabs>
                <w:tab w:val="left" w:pos="149"/>
              </w:tabs>
              <w:rPr>
                <w:rFonts w:ascii="Arial" w:hAnsi="Arial" w:cs="Arial"/>
                <w:sz w:val="20"/>
                <w:szCs w:val="20"/>
              </w:rPr>
            </w:pPr>
            <w:r w:rsidRPr="002B3F36">
              <w:rPr>
                <w:rFonts w:ascii="Arial" w:hAnsi="Arial" w:cs="Arial"/>
                <w:sz w:val="20"/>
                <w:szCs w:val="20"/>
              </w:rPr>
              <w:t>Inspections, observations, consultation with nearby communities</w:t>
            </w:r>
          </w:p>
        </w:tc>
        <w:tc>
          <w:tcPr>
            <w:tcW w:w="2800" w:type="dxa"/>
          </w:tcPr>
          <w:p w14:paraId="06E7549D" w14:textId="77777777" w:rsidR="00F61F8E" w:rsidRPr="002B3F36" w:rsidRDefault="000F264B" w:rsidP="00047090">
            <w:pPr>
              <w:rPr>
                <w:rFonts w:ascii="Arial" w:hAnsi="Arial" w:cs="Arial"/>
                <w:sz w:val="20"/>
                <w:szCs w:val="20"/>
              </w:rPr>
            </w:pPr>
            <w:r w:rsidRPr="002B3F36">
              <w:rPr>
                <w:rFonts w:ascii="Arial" w:hAnsi="Arial" w:cs="Arial"/>
                <w:sz w:val="20"/>
                <w:szCs w:val="20"/>
              </w:rPr>
              <w:t>Unannounced inspections during construction and after complaint. At least twice a week</w:t>
            </w:r>
          </w:p>
        </w:tc>
        <w:tc>
          <w:tcPr>
            <w:tcW w:w="1820" w:type="dxa"/>
          </w:tcPr>
          <w:p w14:paraId="73A5B298"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36C16DD3" w14:textId="3D1C67BE" w:rsidR="00F61F8E" w:rsidRPr="002B3F36" w:rsidRDefault="00A728DA" w:rsidP="00047090">
            <w:pPr>
              <w:rPr>
                <w:rFonts w:ascii="Arial" w:hAnsi="Arial" w:cs="Arial"/>
                <w:sz w:val="20"/>
                <w:szCs w:val="20"/>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2501B5AB" w14:textId="77777777">
        <w:trPr>
          <w:cantSplit/>
        </w:trPr>
        <w:tc>
          <w:tcPr>
            <w:tcW w:w="2151" w:type="dxa"/>
          </w:tcPr>
          <w:p w14:paraId="32D65BCA"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Worker’s Safety</w:t>
            </w:r>
          </w:p>
        </w:tc>
        <w:tc>
          <w:tcPr>
            <w:tcW w:w="3429" w:type="dxa"/>
          </w:tcPr>
          <w:p w14:paraId="648C32DE" w14:textId="77777777" w:rsidR="00F61F8E" w:rsidRPr="002B3F36" w:rsidRDefault="000F264B" w:rsidP="00047090">
            <w:pPr>
              <w:textboxTightWrap w:val="allLines"/>
              <w:rPr>
                <w:rFonts w:ascii="Arial" w:hAnsi="Arial" w:cs="Arial"/>
                <w:sz w:val="20"/>
                <w:szCs w:val="20"/>
                <w:lang w:val="en-GB"/>
              </w:rPr>
            </w:pPr>
            <w:r w:rsidRPr="002B3F36">
              <w:rPr>
                <w:rFonts w:ascii="Arial" w:hAnsi="Arial" w:cs="Arial"/>
                <w:sz w:val="20"/>
                <w:szCs w:val="20"/>
                <w:lang w:val="en-GB"/>
              </w:rPr>
              <w:t>Provision and use of appropriate personnel safety equipment; Holding periodic EHS and OHS-related trainings (instructions, toolbox talks)</w:t>
            </w:r>
          </w:p>
        </w:tc>
        <w:tc>
          <w:tcPr>
            <w:tcW w:w="1920" w:type="dxa"/>
          </w:tcPr>
          <w:p w14:paraId="71884A5C"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Job sites</w:t>
            </w:r>
          </w:p>
        </w:tc>
        <w:tc>
          <w:tcPr>
            <w:tcW w:w="2640" w:type="dxa"/>
          </w:tcPr>
          <w:p w14:paraId="149991DA" w14:textId="77777777" w:rsidR="00F61F8E" w:rsidRPr="002B3F36" w:rsidRDefault="000F264B" w:rsidP="00047090">
            <w:pPr>
              <w:tabs>
                <w:tab w:val="left" w:pos="149"/>
              </w:tabs>
              <w:rPr>
                <w:rFonts w:ascii="Arial" w:hAnsi="Arial" w:cs="Arial"/>
                <w:sz w:val="20"/>
                <w:szCs w:val="20"/>
                <w:lang w:val="en-GB"/>
              </w:rPr>
            </w:pPr>
            <w:r w:rsidRPr="002B3F36">
              <w:rPr>
                <w:rFonts w:ascii="Arial" w:hAnsi="Arial" w:cs="Arial"/>
                <w:sz w:val="20"/>
                <w:szCs w:val="20"/>
                <w:lang w:val="en-GB"/>
              </w:rPr>
              <w:t>Inspections; observations and interviews</w:t>
            </w:r>
          </w:p>
        </w:tc>
        <w:tc>
          <w:tcPr>
            <w:tcW w:w="2800" w:type="dxa"/>
          </w:tcPr>
          <w:p w14:paraId="627D175C" w14:textId="77777777" w:rsidR="00F61F8E" w:rsidRPr="002B3F36" w:rsidRDefault="000F264B" w:rsidP="00047090">
            <w:pPr>
              <w:rPr>
                <w:rFonts w:ascii="Arial" w:hAnsi="Arial" w:cs="Arial"/>
                <w:sz w:val="20"/>
                <w:szCs w:val="20"/>
              </w:rPr>
            </w:pPr>
            <w:r w:rsidRPr="002B3F36">
              <w:rPr>
                <w:rFonts w:ascii="Arial" w:hAnsi="Arial" w:cs="Arial"/>
                <w:sz w:val="20"/>
                <w:szCs w:val="20"/>
              </w:rPr>
              <w:t>Unannounced inspections during construction. At least once a week</w:t>
            </w:r>
          </w:p>
        </w:tc>
        <w:tc>
          <w:tcPr>
            <w:tcW w:w="1820" w:type="dxa"/>
          </w:tcPr>
          <w:p w14:paraId="73F602FB"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3FDD39DD" w14:textId="67783BAC" w:rsidR="00F61F8E" w:rsidRPr="002B3F36" w:rsidRDefault="00A728DA" w:rsidP="00047090">
            <w:pPr>
              <w:rPr>
                <w:rFonts w:ascii="Arial" w:hAnsi="Arial" w:cs="Arial"/>
                <w:sz w:val="20"/>
                <w:szCs w:val="20"/>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41864FA9" w14:textId="77777777">
        <w:trPr>
          <w:cantSplit/>
        </w:trPr>
        <w:tc>
          <w:tcPr>
            <w:tcW w:w="2151" w:type="dxa"/>
          </w:tcPr>
          <w:p w14:paraId="4DA3278E"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lastRenderedPageBreak/>
              <w:t>Air Quality</w:t>
            </w:r>
          </w:p>
        </w:tc>
        <w:tc>
          <w:tcPr>
            <w:tcW w:w="3429" w:type="dxa"/>
          </w:tcPr>
          <w:p w14:paraId="0731428A"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The following parameters shall be measured by the Contractor: TSP, Sulphur Dioxide (SO2), Nitrogen Dioxide (NO2) and Carbon Monoxide (CO). Other parameters maybe warranted as and when requested by the Engineer.</w:t>
            </w:r>
          </w:p>
        </w:tc>
        <w:tc>
          <w:tcPr>
            <w:tcW w:w="1920" w:type="dxa"/>
          </w:tcPr>
          <w:p w14:paraId="07D25458"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Populated area/ Near villages/ Plant areas (or at specified sampling points where there are schools, health care facilities, mosque or populated areas)</w:t>
            </w:r>
          </w:p>
          <w:p w14:paraId="2AFA6DE4" w14:textId="134EA3D4"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Cement batching plant</w:t>
            </w:r>
          </w:p>
        </w:tc>
        <w:tc>
          <w:tcPr>
            <w:tcW w:w="2640" w:type="dxa"/>
          </w:tcPr>
          <w:p w14:paraId="645686F6"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Obtain air samples from the field and analysis in laboratory for air quality measurement</w:t>
            </w:r>
          </w:p>
        </w:tc>
        <w:tc>
          <w:tcPr>
            <w:tcW w:w="2800" w:type="dxa"/>
          </w:tcPr>
          <w:p w14:paraId="668481FA"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Start of Project / before construction (for baseline)</w:t>
            </w:r>
          </w:p>
          <w:p w14:paraId="047B4245"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Monthly and Quarterly during construction in the particular are-as needed. End of Project</w:t>
            </w:r>
          </w:p>
        </w:tc>
        <w:tc>
          <w:tcPr>
            <w:tcW w:w="1820" w:type="dxa"/>
          </w:tcPr>
          <w:p w14:paraId="07A9FA81"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1EFBEB80" w14:textId="3B3E04A9" w:rsidR="00F61F8E" w:rsidRPr="002B3F36" w:rsidRDefault="00A728DA" w:rsidP="00047090">
            <w:pPr>
              <w:tabs>
                <w:tab w:val="left" w:pos="290"/>
              </w:tabs>
              <w:rPr>
                <w:rFonts w:ascii="Arial" w:hAnsi="Arial" w:cs="Arial"/>
                <w:sz w:val="20"/>
                <w:szCs w:val="20"/>
                <w:lang w:val="en-GB"/>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6E222768" w14:textId="77777777">
        <w:trPr>
          <w:cantSplit/>
        </w:trPr>
        <w:tc>
          <w:tcPr>
            <w:tcW w:w="2151" w:type="dxa"/>
          </w:tcPr>
          <w:p w14:paraId="58AAEF25"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 xml:space="preserve">Noise </w:t>
            </w:r>
          </w:p>
        </w:tc>
        <w:tc>
          <w:tcPr>
            <w:tcW w:w="3429" w:type="dxa"/>
          </w:tcPr>
          <w:p w14:paraId="30A535BC"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The Contractor shall ensure that routine noise monitoring is undertaken throughout the construction period. Parameters to be monitored to establish a baseline include:</w:t>
            </w:r>
          </w:p>
          <w:p w14:paraId="4D0B383A"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Laeq 1h (dBA – Average Decibel)</w:t>
            </w:r>
          </w:p>
          <w:p w14:paraId="4278D51F"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Average Daily Noise level</w:t>
            </w:r>
          </w:p>
        </w:tc>
        <w:tc>
          <w:tcPr>
            <w:tcW w:w="1920" w:type="dxa"/>
          </w:tcPr>
          <w:p w14:paraId="3094EE1D"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Populated area/ Near villages/ Plant areas (or at specified sampling points where there are schools, health care facilities, mosque or populated areas)</w:t>
            </w:r>
          </w:p>
          <w:p w14:paraId="5C7F9EEF" w14:textId="6EAFAB8B"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Cement batching plant</w:t>
            </w:r>
          </w:p>
        </w:tc>
        <w:tc>
          <w:tcPr>
            <w:tcW w:w="2640" w:type="dxa"/>
          </w:tcPr>
          <w:p w14:paraId="27010CD8"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Noise meter gadget</w:t>
            </w:r>
          </w:p>
        </w:tc>
        <w:tc>
          <w:tcPr>
            <w:tcW w:w="2800" w:type="dxa"/>
          </w:tcPr>
          <w:p w14:paraId="6E568206"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Monthly throughout construction.</w:t>
            </w:r>
          </w:p>
          <w:p w14:paraId="07C70BEE" w14:textId="77777777" w:rsidR="00F61F8E" w:rsidRPr="002B3F36" w:rsidRDefault="00F61F8E" w:rsidP="00047090">
            <w:pPr>
              <w:tabs>
                <w:tab w:val="left" w:pos="290"/>
              </w:tabs>
              <w:rPr>
                <w:rFonts w:ascii="Arial" w:hAnsi="Arial" w:cs="Arial"/>
                <w:sz w:val="20"/>
                <w:szCs w:val="20"/>
                <w:lang w:val="en-GB"/>
              </w:rPr>
            </w:pPr>
          </w:p>
        </w:tc>
        <w:tc>
          <w:tcPr>
            <w:tcW w:w="1820" w:type="dxa"/>
          </w:tcPr>
          <w:p w14:paraId="40F6BCEC" w14:textId="77777777" w:rsidR="004B4042" w:rsidRPr="002B3F36" w:rsidRDefault="004B4042" w:rsidP="004B4042">
            <w:pPr>
              <w:rPr>
                <w:rFonts w:ascii="Arial" w:hAnsi="Arial" w:cs="Arial"/>
                <w:sz w:val="20"/>
                <w:szCs w:val="20"/>
              </w:rPr>
            </w:pPr>
            <w:r w:rsidRPr="002B3F36">
              <w:rPr>
                <w:rFonts w:ascii="Arial" w:hAnsi="Arial" w:cs="Arial"/>
                <w:sz w:val="20"/>
                <w:szCs w:val="20"/>
              </w:rPr>
              <w:t>Contractor to Perform</w:t>
            </w:r>
          </w:p>
          <w:p w14:paraId="7A2164BA" w14:textId="55459060" w:rsidR="00F61F8E" w:rsidRPr="002B3F36" w:rsidRDefault="00A728DA" w:rsidP="004B4042">
            <w:pPr>
              <w:tabs>
                <w:tab w:val="left" w:pos="290"/>
              </w:tabs>
              <w:rPr>
                <w:rFonts w:ascii="Arial" w:hAnsi="Arial" w:cs="Arial"/>
                <w:sz w:val="20"/>
                <w:szCs w:val="20"/>
                <w:lang w:val="en-GB"/>
              </w:rPr>
            </w:pPr>
            <w:r w:rsidRPr="002B3F36">
              <w:rPr>
                <w:rFonts w:ascii="Arial" w:hAnsi="Arial" w:cs="Arial"/>
                <w:sz w:val="20"/>
                <w:szCs w:val="20"/>
              </w:rPr>
              <w:t>KTZ</w:t>
            </w:r>
            <w:r w:rsidR="004B4042" w:rsidRPr="002B3F36">
              <w:rPr>
                <w:rFonts w:ascii="Arial" w:hAnsi="Arial" w:cs="Arial"/>
                <w:sz w:val="20"/>
                <w:szCs w:val="20"/>
              </w:rPr>
              <w:t>/CSC to check compliance</w:t>
            </w:r>
          </w:p>
        </w:tc>
      </w:tr>
      <w:tr w:rsidR="00F61F8E" w:rsidRPr="002B3F36" w14:paraId="509019B7" w14:textId="77777777">
        <w:trPr>
          <w:cantSplit/>
        </w:trPr>
        <w:tc>
          <w:tcPr>
            <w:tcW w:w="2151" w:type="dxa"/>
          </w:tcPr>
          <w:p w14:paraId="2F4EBA17"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Water Quality</w:t>
            </w:r>
          </w:p>
        </w:tc>
        <w:tc>
          <w:tcPr>
            <w:tcW w:w="3429" w:type="dxa"/>
          </w:tcPr>
          <w:p w14:paraId="7A45E130"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The following parameters shall be measured by the Contractor: Biological Oxygen Demand (BOD), Chemical Oxygen Demand (COD), Total Suspended Solids (TSS), Total Petroleum Hydrocarbons (TPH). Other parameters maybe warranted as and when requested by the Engineer.</w:t>
            </w:r>
          </w:p>
        </w:tc>
        <w:tc>
          <w:tcPr>
            <w:tcW w:w="1920" w:type="dxa"/>
          </w:tcPr>
          <w:p w14:paraId="65DCF0A9"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Existing major water-ways (canals &amp; rivers) - one sample around 50 m upstream and downstream of the bridge points</w:t>
            </w:r>
          </w:p>
          <w:p w14:paraId="680977E8" w14:textId="7649C662"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 xml:space="preserve">Perennial water bodies/ wetland – less than 10m from bank of water bodies adjacent to project </w:t>
            </w:r>
            <w:r w:rsidR="00C63AAF" w:rsidRPr="002B3F36">
              <w:rPr>
                <w:rFonts w:ascii="Arial" w:hAnsi="Arial" w:cs="Arial"/>
                <w:sz w:val="20"/>
                <w:szCs w:val="20"/>
                <w:lang w:val="en-GB"/>
              </w:rPr>
              <w:t>rail</w:t>
            </w:r>
            <w:r w:rsidRPr="002B3F36">
              <w:rPr>
                <w:rFonts w:ascii="Arial" w:hAnsi="Arial" w:cs="Arial"/>
                <w:sz w:val="20"/>
                <w:szCs w:val="20"/>
                <w:lang w:val="en-GB"/>
              </w:rPr>
              <w:t>road</w:t>
            </w:r>
          </w:p>
        </w:tc>
        <w:tc>
          <w:tcPr>
            <w:tcW w:w="2640" w:type="dxa"/>
          </w:tcPr>
          <w:p w14:paraId="4E49EA6E"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Obtain water samples from the field and analysis in laboratory for air quality measurement</w:t>
            </w:r>
          </w:p>
        </w:tc>
        <w:tc>
          <w:tcPr>
            <w:tcW w:w="2800" w:type="dxa"/>
          </w:tcPr>
          <w:p w14:paraId="04B34E10"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Start of Project / before construction (for baseline)</w:t>
            </w:r>
          </w:p>
          <w:p w14:paraId="6DC675F4"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Monthly and Quarterly during construction in the particular areas.</w:t>
            </w:r>
          </w:p>
          <w:p w14:paraId="71A8100B"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End of Project</w:t>
            </w:r>
          </w:p>
        </w:tc>
        <w:tc>
          <w:tcPr>
            <w:tcW w:w="1820" w:type="dxa"/>
          </w:tcPr>
          <w:p w14:paraId="577C6051"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5987FA09" w14:textId="3D6A5F96" w:rsidR="00F61F8E" w:rsidRPr="002B3F36" w:rsidRDefault="00A728DA" w:rsidP="00047090">
            <w:pPr>
              <w:tabs>
                <w:tab w:val="left" w:pos="290"/>
              </w:tabs>
              <w:rPr>
                <w:rFonts w:ascii="Arial" w:hAnsi="Arial" w:cs="Arial"/>
                <w:sz w:val="20"/>
                <w:szCs w:val="20"/>
                <w:lang w:val="en-GB"/>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F61F8E" w:rsidRPr="002B3F36" w14:paraId="630BC8D2" w14:textId="77777777">
        <w:trPr>
          <w:cantSplit/>
        </w:trPr>
        <w:tc>
          <w:tcPr>
            <w:tcW w:w="2151" w:type="dxa"/>
          </w:tcPr>
          <w:p w14:paraId="43375147"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lastRenderedPageBreak/>
              <w:t>Community Safety</w:t>
            </w:r>
          </w:p>
        </w:tc>
        <w:tc>
          <w:tcPr>
            <w:tcW w:w="3429" w:type="dxa"/>
          </w:tcPr>
          <w:p w14:paraId="3C35FBCB" w14:textId="09A2A09C"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Traffic safety, safe access, proper fencing of excavation and work areas, COVID 19</w:t>
            </w:r>
            <w:r w:rsidR="004B4042" w:rsidRPr="002B3F36">
              <w:rPr>
                <w:rFonts w:ascii="Arial" w:hAnsi="Arial" w:cs="Arial"/>
                <w:sz w:val="20"/>
                <w:szCs w:val="20"/>
                <w:lang w:val="en-GB"/>
              </w:rPr>
              <w:t>/ Pandemic</w:t>
            </w:r>
            <w:r w:rsidRPr="002B3F36">
              <w:rPr>
                <w:rFonts w:ascii="Arial" w:hAnsi="Arial" w:cs="Arial"/>
                <w:sz w:val="20"/>
                <w:szCs w:val="20"/>
                <w:lang w:val="en-GB"/>
              </w:rPr>
              <w:t xml:space="preserve"> safety, signage, GRM information, community notifications, occurrence or absence of any incidents, SEA/SH complaints, etc.</w:t>
            </w:r>
          </w:p>
        </w:tc>
        <w:tc>
          <w:tcPr>
            <w:tcW w:w="1920" w:type="dxa"/>
          </w:tcPr>
          <w:p w14:paraId="7E095CE8" w14:textId="438DDB8B"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R</w:t>
            </w:r>
            <w:r w:rsidR="00C63AAF" w:rsidRPr="002B3F36">
              <w:rPr>
                <w:rFonts w:ascii="Arial" w:hAnsi="Arial" w:cs="Arial"/>
                <w:sz w:val="20"/>
                <w:szCs w:val="20"/>
                <w:lang w:val="en-GB"/>
              </w:rPr>
              <w:t>ailr</w:t>
            </w:r>
            <w:r w:rsidRPr="002B3F36">
              <w:rPr>
                <w:rFonts w:ascii="Arial" w:hAnsi="Arial" w:cs="Arial"/>
                <w:sz w:val="20"/>
                <w:szCs w:val="20"/>
                <w:lang w:val="en-GB"/>
              </w:rPr>
              <w:t>oad Project sites and communities directly and indirectly affected by the construction works</w:t>
            </w:r>
          </w:p>
        </w:tc>
        <w:tc>
          <w:tcPr>
            <w:tcW w:w="2640" w:type="dxa"/>
          </w:tcPr>
          <w:p w14:paraId="483E1908"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Received information from P-APs, key informants and stakeholders.</w:t>
            </w:r>
          </w:p>
        </w:tc>
        <w:tc>
          <w:tcPr>
            <w:tcW w:w="2800" w:type="dxa"/>
          </w:tcPr>
          <w:p w14:paraId="11531F5A" w14:textId="77777777" w:rsidR="00F61F8E" w:rsidRPr="002B3F36" w:rsidRDefault="000F264B" w:rsidP="00047090">
            <w:pPr>
              <w:tabs>
                <w:tab w:val="left" w:pos="290"/>
              </w:tabs>
              <w:rPr>
                <w:rFonts w:ascii="Arial" w:hAnsi="Arial" w:cs="Arial"/>
                <w:sz w:val="20"/>
                <w:szCs w:val="20"/>
                <w:lang w:val="en-GB"/>
              </w:rPr>
            </w:pPr>
            <w:r w:rsidRPr="002B3F36">
              <w:rPr>
                <w:rFonts w:ascii="Arial" w:hAnsi="Arial" w:cs="Arial"/>
                <w:sz w:val="20"/>
                <w:szCs w:val="20"/>
                <w:lang w:val="en-GB"/>
              </w:rPr>
              <w:t>Monthly throughout construction.</w:t>
            </w:r>
          </w:p>
          <w:p w14:paraId="3CE67233" w14:textId="77777777" w:rsidR="00F61F8E" w:rsidRPr="002B3F36" w:rsidRDefault="00F61F8E" w:rsidP="00047090">
            <w:pPr>
              <w:tabs>
                <w:tab w:val="left" w:pos="290"/>
              </w:tabs>
              <w:rPr>
                <w:rFonts w:ascii="Arial" w:hAnsi="Arial" w:cs="Arial"/>
                <w:sz w:val="20"/>
                <w:szCs w:val="20"/>
                <w:lang w:val="en-GB"/>
              </w:rPr>
            </w:pPr>
          </w:p>
        </w:tc>
        <w:tc>
          <w:tcPr>
            <w:tcW w:w="1820" w:type="dxa"/>
          </w:tcPr>
          <w:p w14:paraId="6FB7D256" w14:textId="77777777" w:rsidR="00F61F8E" w:rsidRPr="002B3F36" w:rsidRDefault="000F264B" w:rsidP="00047090">
            <w:pPr>
              <w:rPr>
                <w:rFonts w:ascii="Arial" w:hAnsi="Arial" w:cs="Arial"/>
                <w:sz w:val="20"/>
                <w:szCs w:val="20"/>
              </w:rPr>
            </w:pPr>
            <w:r w:rsidRPr="002B3F36">
              <w:rPr>
                <w:rFonts w:ascii="Arial" w:hAnsi="Arial" w:cs="Arial"/>
                <w:sz w:val="20"/>
                <w:szCs w:val="20"/>
              </w:rPr>
              <w:t>Contractor to Perform</w:t>
            </w:r>
          </w:p>
          <w:p w14:paraId="7A0D15D7" w14:textId="542ECAA8" w:rsidR="00F61F8E" w:rsidRPr="002B3F36" w:rsidRDefault="00A728DA" w:rsidP="00047090">
            <w:pPr>
              <w:rPr>
                <w:rFonts w:ascii="Arial" w:hAnsi="Arial" w:cs="Arial"/>
                <w:sz w:val="20"/>
                <w:szCs w:val="20"/>
              </w:rPr>
            </w:pPr>
            <w:r w:rsidRPr="002B3F36">
              <w:rPr>
                <w:rFonts w:ascii="Arial" w:hAnsi="Arial" w:cs="Arial"/>
                <w:sz w:val="20"/>
                <w:szCs w:val="20"/>
              </w:rPr>
              <w:t>KTZ</w:t>
            </w:r>
            <w:r w:rsidR="000F264B" w:rsidRPr="002B3F36">
              <w:rPr>
                <w:rFonts w:ascii="Arial" w:hAnsi="Arial" w:cs="Arial"/>
                <w:sz w:val="20"/>
                <w:szCs w:val="20"/>
              </w:rPr>
              <w:t>/CSC to check compliance</w:t>
            </w:r>
          </w:p>
        </w:tc>
      </w:tr>
      <w:tr w:rsidR="00D740F3" w:rsidRPr="002B3F36" w14:paraId="33C13665" w14:textId="77777777">
        <w:trPr>
          <w:cantSplit/>
        </w:trPr>
        <w:tc>
          <w:tcPr>
            <w:tcW w:w="2151" w:type="dxa"/>
          </w:tcPr>
          <w:p w14:paraId="516785DA" w14:textId="5DB0E8A3" w:rsidR="00D740F3" w:rsidRPr="00A846C7" w:rsidRDefault="00D740F3" w:rsidP="00047090">
            <w:pPr>
              <w:tabs>
                <w:tab w:val="left" w:pos="290"/>
              </w:tabs>
              <w:rPr>
                <w:rFonts w:ascii="Arial" w:hAnsi="Arial" w:cs="Arial"/>
                <w:sz w:val="20"/>
                <w:szCs w:val="20"/>
                <w:lang w:val="en-GB"/>
              </w:rPr>
            </w:pPr>
            <w:r w:rsidRPr="00A846C7">
              <w:rPr>
                <w:rFonts w:ascii="Arial" w:hAnsi="Arial" w:cs="Arial"/>
                <w:sz w:val="20"/>
                <w:szCs w:val="20"/>
                <w:lang w:val="en-GB"/>
              </w:rPr>
              <w:t>Biodiversity Status</w:t>
            </w:r>
          </w:p>
        </w:tc>
        <w:tc>
          <w:tcPr>
            <w:tcW w:w="3429" w:type="dxa"/>
          </w:tcPr>
          <w:p w14:paraId="0B86EB78" w14:textId="413733E8" w:rsidR="00D740F3" w:rsidRPr="00A846C7" w:rsidRDefault="00D740F3" w:rsidP="00047090">
            <w:pPr>
              <w:tabs>
                <w:tab w:val="left" w:pos="290"/>
              </w:tabs>
              <w:rPr>
                <w:rFonts w:ascii="Arial" w:hAnsi="Arial" w:cs="Arial"/>
                <w:sz w:val="20"/>
                <w:szCs w:val="20"/>
                <w:lang w:val="en-GB"/>
              </w:rPr>
            </w:pPr>
            <w:r w:rsidRPr="00A846C7">
              <w:rPr>
                <w:rFonts w:ascii="Arial" w:hAnsi="Arial" w:cs="Arial"/>
                <w:sz w:val="20"/>
                <w:szCs w:val="20"/>
                <w:lang w:val="en-GB"/>
              </w:rPr>
              <w:t>General status of typical habitats, relative abundance of breeding and migratory birds, numbers of breeding pairs of key species of raptors at control plots, numbers of Saiga, relative abundance of rodents, general lists of registered terrestrial vertebrates.</w:t>
            </w:r>
          </w:p>
        </w:tc>
        <w:tc>
          <w:tcPr>
            <w:tcW w:w="1920" w:type="dxa"/>
          </w:tcPr>
          <w:p w14:paraId="520403F4" w14:textId="22217B9B" w:rsidR="00D740F3" w:rsidRPr="00A846C7" w:rsidRDefault="00D740F3" w:rsidP="00047090">
            <w:pPr>
              <w:tabs>
                <w:tab w:val="left" w:pos="290"/>
              </w:tabs>
              <w:rPr>
                <w:rFonts w:ascii="Arial" w:hAnsi="Arial" w:cs="Arial"/>
                <w:sz w:val="20"/>
                <w:szCs w:val="20"/>
                <w:lang w:val="en-GB"/>
              </w:rPr>
            </w:pPr>
            <w:r w:rsidRPr="00A846C7">
              <w:rPr>
                <w:rFonts w:ascii="Arial" w:hAnsi="Arial" w:cs="Arial"/>
                <w:sz w:val="20"/>
                <w:szCs w:val="20"/>
                <w:lang w:val="en-GB"/>
              </w:rPr>
              <w:t xml:space="preserve">Andasai Sanctuary crossed and nearest </w:t>
            </w:r>
            <w:r w:rsidR="009D0CE5" w:rsidRPr="00A846C7">
              <w:rPr>
                <w:rFonts w:ascii="Arial" w:hAnsi="Arial" w:cs="Arial"/>
                <w:sz w:val="20"/>
                <w:szCs w:val="20"/>
                <w:lang w:val="en-GB"/>
              </w:rPr>
              <w:t>clusters</w:t>
            </w:r>
            <w:r w:rsidRPr="00A846C7">
              <w:rPr>
                <w:rFonts w:ascii="Arial" w:hAnsi="Arial" w:cs="Arial"/>
                <w:sz w:val="20"/>
                <w:szCs w:val="20"/>
                <w:lang w:val="en-GB"/>
              </w:rPr>
              <w:t xml:space="preserve"> and both IBA/KBA crossed by the railway</w:t>
            </w:r>
          </w:p>
        </w:tc>
        <w:tc>
          <w:tcPr>
            <w:tcW w:w="2640" w:type="dxa"/>
          </w:tcPr>
          <w:p w14:paraId="7F188BAB" w14:textId="016010B7" w:rsidR="00D740F3" w:rsidRPr="00A846C7" w:rsidRDefault="00D740F3" w:rsidP="00047090">
            <w:pPr>
              <w:tabs>
                <w:tab w:val="left" w:pos="290"/>
              </w:tabs>
              <w:rPr>
                <w:rFonts w:ascii="Arial" w:hAnsi="Arial" w:cs="Arial"/>
                <w:sz w:val="20"/>
                <w:szCs w:val="20"/>
                <w:lang w:val="en-GB"/>
              </w:rPr>
            </w:pPr>
            <w:r w:rsidRPr="00A846C7">
              <w:rPr>
                <w:rFonts w:ascii="Arial" w:eastAsia="Times New Roman" w:hAnsi="Arial" w:cs="Arial"/>
                <w:color w:val="222222"/>
                <w:sz w:val="20"/>
                <w:szCs w:val="20"/>
                <w:lang w:eastAsia="en-PH"/>
              </w:rPr>
              <w:t>Monitoring of IBA/KBA in spring and autumn. Monitoring of the Andasai Nature Reserve. Standard methods of field surveys will be used, including general evaluation of status of ecosystems and surveys of terrestrial vertebrates at control plots and routes</w:t>
            </w:r>
          </w:p>
        </w:tc>
        <w:tc>
          <w:tcPr>
            <w:tcW w:w="2800" w:type="dxa"/>
          </w:tcPr>
          <w:p w14:paraId="6BB30BC4" w14:textId="0A322B8D" w:rsidR="00D740F3" w:rsidRPr="00A846C7" w:rsidRDefault="00D740F3" w:rsidP="00047090">
            <w:pPr>
              <w:tabs>
                <w:tab w:val="left" w:pos="290"/>
              </w:tabs>
              <w:rPr>
                <w:rFonts w:ascii="Arial" w:hAnsi="Arial" w:cs="Arial"/>
                <w:sz w:val="20"/>
                <w:szCs w:val="20"/>
                <w:lang w:val="en-GB"/>
              </w:rPr>
            </w:pPr>
            <w:r w:rsidRPr="00A846C7">
              <w:rPr>
                <w:rFonts w:ascii="Arial" w:hAnsi="Arial" w:cs="Arial"/>
                <w:sz w:val="20"/>
                <w:szCs w:val="20"/>
                <w:lang w:val="en-GB"/>
              </w:rPr>
              <w:t xml:space="preserve">For IBA – </w:t>
            </w:r>
            <w:r w:rsidRPr="00A846C7">
              <w:rPr>
                <w:rFonts w:ascii="Arial" w:hAnsi="Arial" w:cs="Arial"/>
                <w:sz w:val="20"/>
                <w:szCs w:val="20"/>
                <w:lang w:val="en"/>
              </w:rPr>
              <w:t>one-time Survey at the end of May and in September</w:t>
            </w:r>
            <w:r w:rsidRPr="00A846C7">
              <w:rPr>
                <w:rFonts w:ascii="Arial" w:hAnsi="Arial" w:cs="Arial"/>
                <w:sz w:val="20"/>
                <w:szCs w:val="20"/>
              </w:rPr>
              <w:t xml:space="preserve">; </w:t>
            </w:r>
            <w:r w:rsidRPr="00A846C7">
              <w:rPr>
                <w:rFonts w:ascii="Arial" w:hAnsi="Arial" w:cs="Arial"/>
                <w:sz w:val="20"/>
                <w:szCs w:val="20"/>
                <w:lang w:val="en"/>
              </w:rPr>
              <w:t>for the Sanctuary - according to the schedule of state surveys in the Sanctuary.</w:t>
            </w:r>
          </w:p>
        </w:tc>
        <w:tc>
          <w:tcPr>
            <w:tcW w:w="1820" w:type="dxa"/>
          </w:tcPr>
          <w:p w14:paraId="4ED746BA" w14:textId="394E5F62" w:rsidR="00D740F3" w:rsidRPr="00A846C7" w:rsidRDefault="00D740F3" w:rsidP="00047090">
            <w:pPr>
              <w:rPr>
                <w:rFonts w:ascii="Arial" w:hAnsi="Arial" w:cs="Arial"/>
                <w:sz w:val="20"/>
                <w:szCs w:val="20"/>
              </w:rPr>
            </w:pPr>
            <w:r w:rsidRPr="00A846C7">
              <w:rPr>
                <w:rFonts w:ascii="Arial" w:hAnsi="Arial" w:cs="Arial"/>
                <w:sz w:val="20"/>
                <w:szCs w:val="20"/>
              </w:rPr>
              <w:t xml:space="preserve">Contractor (KTZ) </w:t>
            </w:r>
            <w:r w:rsidRPr="00A846C7">
              <w:rPr>
                <w:rFonts w:ascii="Arial" w:hAnsi="Arial" w:cs="Arial"/>
                <w:sz w:val="20"/>
                <w:szCs w:val="20"/>
                <w:lang w:val="en"/>
              </w:rPr>
              <w:t>KTZ in order to ensure funding for monitoring and to involve the relevant organization in its implementation</w:t>
            </w:r>
          </w:p>
        </w:tc>
      </w:tr>
    </w:tbl>
    <w:p w14:paraId="562419E6" w14:textId="77777777" w:rsidR="00F61F8E" w:rsidRPr="002B3F36" w:rsidRDefault="00F61F8E">
      <w:pPr>
        <w:pStyle w:val="ReportBodyTextNogap"/>
      </w:pPr>
    </w:p>
    <w:p w14:paraId="42025ED3" w14:textId="77777777" w:rsidR="00F61F8E" w:rsidRPr="002B3F36" w:rsidRDefault="00F61F8E">
      <w:pPr>
        <w:pStyle w:val="ReportBodyTextNogap"/>
      </w:pPr>
    </w:p>
    <w:p w14:paraId="6FFCAF6C" w14:textId="77777777" w:rsidR="00F61F8E" w:rsidRPr="002B3F36" w:rsidRDefault="00F61F8E">
      <w:pPr>
        <w:pStyle w:val="ReportBodyTextNogap"/>
      </w:pPr>
    </w:p>
    <w:p w14:paraId="4BE2BC38" w14:textId="77777777" w:rsidR="00F61F8E" w:rsidRPr="002B3F36" w:rsidRDefault="00F61F8E">
      <w:pPr>
        <w:pStyle w:val="ReportBodyTextNogap"/>
      </w:pPr>
    </w:p>
    <w:p w14:paraId="545B7F18" w14:textId="77777777" w:rsidR="00F61F8E" w:rsidRPr="002B3F36" w:rsidRDefault="00F61F8E">
      <w:pPr>
        <w:pStyle w:val="ReportBodyTextNogap"/>
        <w:rPr>
          <w:lang w:val="en-GB"/>
        </w:rPr>
        <w:sectPr w:rsidR="00F61F8E" w:rsidRPr="002B3F36">
          <w:pgSz w:w="16834" w:h="11909" w:orient="landscape" w:code="9"/>
          <w:pgMar w:top="1080" w:right="958" w:bottom="1109" w:left="1350" w:header="720" w:footer="720" w:gutter="0"/>
          <w:cols w:space="720"/>
          <w:docGrid w:linePitch="360"/>
        </w:sectPr>
      </w:pPr>
    </w:p>
    <w:p w14:paraId="552791E3" w14:textId="77777777" w:rsidR="00F61F8E" w:rsidRPr="002B3F36" w:rsidRDefault="000F264B" w:rsidP="00A66DE7">
      <w:pPr>
        <w:pStyle w:val="20"/>
        <w:keepNext/>
        <w:tabs>
          <w:tab w:val="clear" w:pos="540"/>
          <w:tab w:val="clear" w:pos="542"/>
        </w:tabs>
        <w:spacing w:before="240" w:after="240"/>
        <w:ind w:right="0"/>
        <w:rPr>
          <w:rFonts w:eastAsia="SimSun"/>
          <w:color w:val="auto"/>
        </w:rPr>
      </w:pPr>
      <w:bookmarkStart w:id="2602" w:name="_Toc169094807"/>
      <w:bookmarkStart w:id="2603" w:name="_Toc208973886"/>
      <w:bookmarkStart w:id="2604" w:name="_Toc208974086"/>
      <w:bookmarkStart w:id="2605" w:name="_Toc208974286"/>
      <w:bookmarkStart w:id="2606" w:name="_Toc208974489"/>
      <w:bookmarkStart w:id="2607" w:name="_Toc208974691"/>
      <w:bookmarkStart w:id="2608" w:name="_Toc210589531"/>
      <w:r w:rsidRPr="002B3F36">
        <w:rPr>
          <w:rFonts w:eastAsia="SimSun"/>
          <w:color w:val="auto"/>
          <w:lang w:eastAsia="en-GB"/>
        </w:rPr>
        <w:lastRenderedPageBreak/>
        <w:t>Contractor’s ‘Site Specific’ ES Management Plans (C-ESMP)</w:t>
      </w:r>
      <w:bookmarkEnd w:id="2602"/>
      <w:bookmarkEnd w:id="2603"/>
      <w:bookmarkEnd w:id="2604"/>
      <w:bookmarkEnd w:id="2605"/>
      <w:bookmarkEnd w:id="2606"/>
      <w:bookmarkEnd w:id="2607"/>
      <w:bookmarkEnd w:id="2608"/>
    </w:p>
    <w:p w14:paraId="64A7E6B2" w14:textId="47F041BA" w:rsidR="00A66DE7" w:rsidRPr="002B3F36" w:rsidRDefault="00A66DE7" w:rsidP="009C738F">
      <w:pPr>
        <w:pStyle w:val="ReportBodyTextNogap"/>
      </w:pPr>
      <w:bookmarkStart w:id="2609" w:name="_Toc169094808"/>
      <w:bookmarkStart w:id="2610" w:name="_Toc208973887"/>
      <w:bookmarkStart w:id="2611" w:name="_Toc208974087"/>
      <w:bookmarkStart w:id="2612" w:name="_Toc208974287"/>
      <w:bookmarkStart w:id="2613" w:name="_Toc208974490"/>
      <w:bookmarkStart w:id="2614" w:name="_Toc208974692"/>
      <w:r w:rsidRPr="002B3F36">
        <w:t>The selected Contractor</w:t>
      </w:r>
      <w:r w:rsidR="00275CF4" w:rsidRPr="002B3F36">
        <w:t>/or subcontractors for the project</w:t>
      </w:r>
      <w:r w:rsidRPr="002B3F36">
        <w:t xml:space="preserve"> shall prepare </w:t>
      </w:r>
      <w:r w:rsidRPr="002B3F36">
        <w:rPr>
          <w:b/>
          <w:bCs/>
        </w:rPr>
        <w:t>site-specific Environmental and Social Management Plans (C-ESMPs)</w:t>
      </w:r>
      <w:r w:rsidRPr="002B3F36">
        <w:t>, derived from the Project ESMP, detailed design, and applicable permits. The C-ESMP is intended to operationalize all commitments during the construction phase, covering the full footprint of civil works and associated facilities.</w:t>
      </w:r>
    </w:p>
    <w:p w14:paraId="211CE34F" w14:textId="77777777" w:rsidR="009C738F" w:rsidRPr="002B3F36" w:rsidRDefault="009C738F" w:rsidP="009C738F">
      <w:pPr>
        <w:pStyle w:val="ReportBodyTextNogap"/>
      </w:pPr>
    </w:p>
    <w:p w14:paraId="184A316E" w14:textId="77777777" w:rsidR="00A66DE7" w:rsidRPr="002B3F36" w:rsidRDefault="00A66DE7" w:rsidP="004B4042">
      <w:pPr>
        <w:pStyle w:val="ReportBodyTextNogap"/>
      </w:pPr>
      <w:r w:rsidRPr="002B3F36">
        <w:t>The C-ESMP shall:</w:t>
      </w:r>
    </w:p>
    <w:p w14:paraId="7156F89D" w14:textId="798FA459" w:rsidR="00A66DE7" w:rsidRPr="002B3F36" w:rsidRDefault="00A66DE7" w:rsidP="009B4CDB">
      <w:pPr>
        <w:widowControl/>
        <w:numPr>
          <w:ilvl w:val="0"/>
          <w:numId w:val="203"/>
        </w:numPr>
        <w:autoSpaceDE/>
        <w:autoSpaceDN/>
        <w:jc w:val="both"/>
        <w:rPr>
          <w:rFonts w:ascii="Arial" w:eastAsia="Times New Roman" w:hAnsi="Arial" w:cs="Arial"/>
          <w:sz w:val="24"/>
          <w:szCs w:val="24"/>
        </w:rPr>
      </w:pPr>
      <w:r w:rsidRPr="002B3F36">
        <w:rPr>
          <w:rFonts w:ascii="Arial" w:eastAsia="Times New Roman" w:hAnsi="Arial" w:cs="Arial"/>
          <w:sz w:val="24"/>
          <w:szCs w:val="24"/>
        </w:rPr>
        <w:t xml:space="preserve">Be prepared, consulted (where relevant), and submitted for review and approval by the </w:t>
      </w:r>
      <w:r w:rsidRPr="002B3F36">
        <w:rPr>
          <w:rFonts w:ascii="Arial" w:eastAsia="Times New Roman" w:hAnsi="Arial" w:cs="Arial"/>
          <w:b/>
          <w:bCs/>
          <w:sz w:val="24"/>
          <w:szCs w:val="24"/>
        </w:rPr>
        <w:t>Construction Supervision Consultant (CSC)</w:t>
      </w:r>
      <w:r w:rsidRPr="002B3F36">
        <w:rPr>
          <w:rFonts w:ascii="Arial" w:eastAsia="Times New Roman" w:hAnsi="Arial" w:cs="Arial"/>
          <w:sz w:val="24"/>
          <w:szCs w:val="24"/>
        </w:rPr>
        <w:t xml:space="preserve"> and </w:t>
      </w:r>
      <w:r w:rsidR="00A728DA" w:rsidRPr="002B3F36">
        <w:rPr>
          <w:rFonts w:ascii="Arial" w:eastAsia="Times New Roman" w:hAnsi="Arial" w:cs="Arial"/>
          <w:b/>
          <w:bCs/>
          <w:sz w:val="24"/>
          <w:szCs w:val="24"/>
        </w:rPr>
        <w:t>KTZ</w:t>
      </w:r>
      <w:r w:rsidRPr="002B3F36">
        <w:rPr>
          <w:rFonts w:ascii="Arial" w:eastAsia="Times New Roman" w:hAnsi="Arial" w:cs="Arial"/>
          <w:b/>
          <w:bCs/>
          <w:sz w:val="24"/>
          <w:szCs w:val="24"/>
        </w:rPr>
        <w:t xml:space="preserve"> E&amp;S staff</w:t>
      </w:r>
      <w:r w:rsidRPr="002B3F36">
        <w:rPr>
          <w:rFonts w:ascii="Arial" w:eastAsia="Times New Roman" w:hAnsi="Arial" w:cs="Arial"/>
          <w:sz w:val="24"/>
          <w:szCs w:val="24"/>
        </w:rPr>
        <w:t xml:space="preserve"> prior to mobilization;</w:t>
      </w:r>
    </w:p>
    <w:p w14:paraId="308C8CF5" w14:textId="77777777" w:rsidR="00A66DE7" w:rsidRPr="002B3F36" w:rsidRDefault="00A66DE7" w:rsidP="009B4CDB">
      <w:pPr>
        <w:widowControl/>
        <w:numPr>
          <w:ilvl w:val="0"/>
          <w:numId w:val="20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Translate the ESIA/ESMP mitigation measures into practical procedures and method statements at site level;</w:t>
      </w:r>
    </w:p>
    <w:p w14:paraId="1B085877" w14:textId="77777777" w:rsidR="00A66DE7" w:rsidRPr="002B3F36" w:rsidRDefault="00A66DE7" w:rsidP="009B4CDB">
      <w:pPr>
        <w:widowControl/>
        <w:numPr>
          <w:ilvl w:val="0"/>
          <w:numId w:val="20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Identify site-specific impacts and risks, propose detailed mitigation measures, and define an </w:t>
      </w:r>
      <w:r w:rsidRPr="002B3F36">
        <w:rPr>
          <w:rFonts w:ascii="Arial" w:eastAsia="Times New Roman" w:hAnsi="Arial" w:cs="Arial"/>
          <w:b/>
          <w:bCs/>
          <w:sz w:val="24"/>
          <w:szCs w:val="24"/>
        </w:rPr>
        <w:t>Action Plan</w:t>
      </w:r>
      <w:r w:rsidRPr="002B3F36">
        <w:rPr>
          <w:rFonts w:ascii="Arial" w:eastAsia="Times New Roman" w:hAnsi="Arial" w:cs="Arial"/>
          <w:sz w:val="24"/>
          <w:szCs w:val="24"/>
        </w:rPr>
        <w:t xml:space="preserve"> with roles, resources, schedules, KPIs, monitoring and reporting protocols;</w:t>
      </w:r>
    </w:p>
    <w:p w14:paraId="2A368F52" w14:textId="77777777" w:rsidR="00A66DE7" w:rsidRPr="002B3F36" w:rsidRDefault="00A66DE7" w:rsidP="009B4CDB">
      <w:pPr>
        <w:widowControl/>
        <w:numPr>
          <w:ilvl w:val="0"/>
          <w:numId w:val="203"/>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Include a </w:t>
      </w:r>
      <w:r w:rsidRPr="002B3F36">
        <w:rPr>
          <w:rFonts w:ascii="Arial" w:eastAsia="Times New Roman" w:hAnsi="Arial" w:cs="Arial"/>
          <w:b/>
          <w:bCs/>
          <w:sz w:val="24"/>
          <w:szCs w:val="24"/>
        </w:rPr>
        <w:t>Management of Change procedure</w:t>
      </w:r>
      <w:r w:rsidRPr="002B3F36">
        <w:rPr>
          <w:rFonts w:ascii="Arial" w:eastAsia="Times New Roman" w:hAnsi="Arial" w:cs="Arial"/>
          <w:sz w:val="24"/>
          <w:szCs w:val="24"/>
        </w:rPr>
        <w:t xml:space="preserve"> to ensure the C-ESMP remains updated in line with evolving site conditions or design adjustments.</w:t>
      </w:r>
    </w:p>
    <w:p w14:paraId="0A24F836" w14:textId="77777777" w:rsidR="00A66DE7" w:rsidRPr="002B3F36" w:rsidRDefault="00A66DE7" w:rsidP="004B4042">
      <w:pPr>
        <w:pStyle w:val="ReportBodyTextNogap"/>
      </w:pPr>
      <w:r w:rsidRPr="002B3F36">
        <w:t xml:space="preserve">At a minimum, the following </w:t>
      </w:r>
      <w:r w:rsidRPr="002B3F36">
        <w:rPr>
          <w:b/>
          <w:bCs/>
        </w:rPr>
        <w:t>topic-specific management plans</w:t>
      </w:r>
      <w:r w:rsidRPr="002B3F36">
        <w:t xml:space="preserve"> shall form part of the C-ESMP:</w:t>
      </w:r>
    </w:p>
    <w:p w14:paraId="4752E4AB" w14:textId="77777777" w:rsidR="00A66DE7" w:rsidRPr="002B3F36" w:rsidRDefault="00A66DE7" w:rsidP="009B4CDB">
      <w:pPr>
        <w:widowControl/>
        <w:numPr>
          <w:ilvl w:val="0"/>
          <w:numId w:val="204"/>
        </w:numPr>
        <w:autoSpaceDE/>
        <w:autoSpaceDN/>
        <w:jc w:val="both"/>
        <w:rPr>
          <w:rFonts w:ascii="Arial" w:eastAsia="Times New Roman" w:hAnsi="Arial" w:cs="Arial"/>
          <w:sz w:val="24"/>
          <w:szCs w:val="24"/>
        </w:rPr>
      </w:pPr>
      <w:r w:rsidRPr="002B3F36">
        <w:rPr>
          <w:rFonts w:ascii="Arial" w:eastAsia="Times New Roman" w:hAnsi="Arial" w:cs="Arial"/>
          <w:bCs/>
          <w:sz w:val="24"/>
          <w:szCs w:val="24"/>
        </w:rPr>
        <w:t>Air Quality &amp; Dust Suppression Plan</w:t>
      </w:r>
      <w:r w:rsidRPr="002B3F36">
        <w:rPr>
          <w:rFonts w:ascii="Arial" w:eastAsia="Times New Roman" w:hAnsi="Arial" w:cs="Arial"/>
          <w:sz w:val="24"/>
          <w:szCs w:val="24"/>
        </w:rPr>
        <w:t xml:space="preserve"> (PS3)</w:t>
      </w:r>
    </w:p>
    <w:p w14:paraId="521B3EAD" w14:textId="77777777" w:rsidR="00A66DE7" w:rsidRPr="002B3F36" w:rsidRDefault="00A66DE7" w:rsidP="009B4CDB">
      <w:pPr>
        <w:widowControl/>
        <w:numPr>
          <w:ilvl w:val="0"/>
          <w:numId w:val="204"/>
        </w:numPr>
        <w:autoSpaceDE/>
        <w:autoSpaceDN/>
        <w:jc w:val="both"/>
        <w:rPr>
          <w:rFonts w:ascii="Arial" w:eastAsia="Times New Roman" w:hAnsi="Arial" w:cs="Arial"/>
          <w:sz w:val="24"/>
          <w:szCs w:val="24"/>
        </w:rPr>
      </w:pPr>
      <w:r w:rsidRPr="002B3F36">
        <w:rPr>
          <w:rFonts w:ascii="Arial" w:eastAsia="Times New Roman" w:hAnsi="Arial" w:cs="Arial"/>
          <w:bCs/>
          <w:sz w:val="24"/>
          <w:szCs w:val="24"/>
        </w:rPr>
        <w:t>Noise and Vibration Management Plan</w:t>
      </w:r>
      <w:r w:rsidRPr="002B3F36">
        <w:rPr>
          <w:rFonts w:ascii="Arial" w:eastAsia="Times New Roman" w:hAnsi="Arial" w:cs="Arial"/>
          <w:sz w:val="24"/>
          <w:szCs w:val="24"/>
        </w:rPr>
        <w:t xml:space="preserve"> (PS3)</w:t>
      </w:r>
    </w:p>
    <w:p w14:paraId="7A40426B"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Water Resources / Erosion &amp; Sediment Control (ESC) Plan</w:t>
      </w:r>
      <w:r w:rsidRPr="002B3F36">
        <w:rPr>
          <w:rFonts w:ascii="Arial" w:eastAsia="Times New Roman" w:hAnsi="Arial" w:cs="Arial"/>
          <w:sz w:val="24"/>
          <w:szCs w:val="24"/>
        </w:rPr>
        <w:t xml:space="preserve"> (PS3)</w:t>
      </w:r>
    </w:p>
    <w:p w14:paraId="0E40FF55"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Soil Management Plan</w:t>
      </w:r>
      <w:r w:rsidRPr="002B3F36">
        <w:rPr>
          <w:rFonts w:ascii="Arial" w:eastAsia="Times New Roman" w:hAnsi="Arial" w:cs="Arial"/>
          <w:sz w:val="24"/>
          <w:szCs w:val="24"/>
        </w:rPr>
        <w:t xml:space="preserve"> (PS3)</w:t>
      </w:r>
    </w:p>
    <w:p w14:paraId="6E90081D"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Construction Materials, Waste &amp; Hazardous Materials Management Plan</w:t>
      </w:r>
      <w:r w:rsidRPr="002B3F36">
        <w:rPr>
          <w:rFonts w:ascii="Arial" w:eastAsia="Times New Roman" w:hAnsi="Arial" w:cs="Arial"/>
          <w:sz w:val="24"/>
          <w:szCs w:val="24"/>
        </w:rPr>
        <w:t xml:space="preserve"> (PS3)</w:t>
      </w:r>
    </w:p>
    <w:p w14:paraId="26942F22"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Borrow Pit / Quarry Management Plan</w:t>
      </w:r>
      <w:r w:rsidRPr="002B3F36">
        <w:rPr>
          <w:rFonts w:ascii="Arial" w:eastAsia="Times New Roman" w:hAnsi="Arial" w:cs="Arial"/>
          <w:sz w:val="24"/>
          <w:szCs w:val="24"/>
        </w:rPr>
        <w:t xml:space="preserve"> (PS3/PS6)</w:t>
      </w:r>
    </w:p>
    <w:p w14:paraId="1DE0E2BA"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Spill Prevention &amp; Pollution Control Plan</w:t>
      </w:r>
      <w:r w:rsidRPr="002B3F36">
        <w:rPr>
          <w:rFonts w:ascii="Arial" w:eastAsia="Times New Roman" w:hAnsi="Arial" w:cs="Arial"/>
          <w:sz w:val="24"/>
          <w:szCs w:val="24"/>
        </w:rPr>
        <w:t xml:space="preserve"> (PS3)</w:t>
      </w:r>
    </w:p>
    <w:p w14:paraId="5766B5F6"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Emergency Preparedness and Response Plan</w:t>
      </w:r>
      <w:r w:rsidRPr="002B3F36">
        <w:rPr>
          <w:rFonts w:ascii="Arial" w:eastAsia="Times New Roman" w:hAnsi="Arial" w:cs="Arial"/>
          <w:sz w:val="24"/>
          <w:szCs w:val="24"/>
        </w:rPr>
        <w:t xml:space="preserve"> (PS1/PS3/PS4)</w:t>
      </w:r>
    </w:p>
    <w:p w14:paraId="1A5F87A5"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Occupational Health and Safety Plan (OHS)</w:t>
      </w:r>
      <w:r w:rsidRPr="002B3F36">
        <w:rPr>
          <w:rFonts w:ascii="Arial" w:eastAsia="Times New Roman" w:hAnsi="Arial" w:cs="Arial"/>
          <w:sz w:val="24"/>
          <w:szCs w:val="24"/>
        </w:rPr>
        <w:t xml:space="preserve"> (PS2)</w:t>
      </w:r>
    </w:p>
    <w:p w14:paraId="5DE38048"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Labor Management Plan, incl. Code of Conduct &amp; SEA/SH Action Plan</w:t>
      </w:r>
      <w:r w:rsidRPr="002B3F36">
        <w:rPr>
          <w:rFonts w:ascii="Arial" w:eastAsia="Times New Roman" w:hAnsi="Arial" w:cs="Arial"/>
          <w:sz w:val="24"/>
          <w:szCs w:val="24"/>
        </w:rPr>
        <w:t xml:space="preserve"> (PS2)</w:t>
      </w:r>
    </w:p>
    <w:p w14:paraId="7BBD44F6"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Community Health, Safety, and Security Plan (CHSSP)</w:t>
      </w:r>
      <w:r w:rsidRPr="002B3F36">
        <w:rPr>
          <w:rFonts w:ascii="Arial" w:eastAsia="Times New Roman" w:hAnsi="Arial" w:cs="Arial"/>
          <w:sz w:val="24"/>
          <w:szCs w:val="24"/>
        </w:rPr>
        <w:t xml:space="preserve"> (PS4)</w:t>
      </w:r>
    </w:p>
    <w:p w14:paraId="270B8668"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Traffic and Access Management Plan / Railroad Safety Plan</w:t>
      </w:r>
      <w:r w:rsidRPr="002B3F36">
        <w:rPr>
          <w:rFonts w:ascii="Arial" w:eastAsia="Times New Roman" w:hAnsi="Arial" w:cs="Arial"/>
          <w:sz w:val="24"/>
          <w:szCs w:val="24"/>
        </w:rPr>
        <w:t xml:space="preserve"> (PS4/PS5)</w:t>
      </w:r>
    </w:p>
    <w:p w14:paraId="00301322" w14:textId="522BBE12"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Labor Camp / Worker Accommodation Management Plan</w:t>
      </w:r>
      <w:r w:rsidRPr="002B3F36">
        <w:rPr>
          <w:rFonts w:ascii="Arial" w:eastAsia="Times New Roman" w:hAnsi="Arial" w:cs="Arial"/>
          <w:sz w:val="24"/>
          <w:szCs w:val="24"/>
        </w:rPr>
        <w:t xml:space="preserve"> (PS2/</w:t>
      </w:r>
      <w:r w:rsidR="00F95BD8" w:rsidRPr="002B3F36">
        <w:rPr>
          <w:rFonts w:ascii="Arial" w:eastAsia="Times New Roman" w:hAnsi="Arial" w:cs="Arial"/>
          <w:sz w:val="24"/>
          <w:szCs w:val="24"/>
        </w:rPr>
        <w:t>WB</w:t>
      </w:r>
      <w:r w:rsidRPr="002B3F36">
        <w:rPr>
          <w:rFonts w:ascii="Arial" w:eastAsia="Times New Roman" w:hAnsi="Arial" w:cs="Arial"/>
          <w:sz w:val="24"/>
          <w:szCs w:val="24"/>
        </w:rPr>
        <w:t xml:space="preserve"> Guidance)</w:t>
      </w:r>
    </w:p>
    <w:p w14:paraId="4F5AC08A"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Biodiversity Management &amp; SPNA Compliance Plan (incl. fauna crossings, lighting)</w:t>
      </w:r>
      <w:r w:rsidRPr="002B3F36">
        <w:rPr>
          <w:rFonts w:ascii="Arial" w:eastAsia="Times New Roman" w:hAnsi="Arial" w:cs="Arial"/>
          <w:sz w:val="24"/>
          <w:szCs w:val="24"/>
        </w:rPr>
        <w:t xml:space="preserve"> (PS6)</w:t>
      </w:r>
    </w:p>
    <w:p w14:paraId="67994905"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Cultural Heritage and Chance Finds Procedure</w:t>
      </w:r>
      <w:r w:rsidRPr="002B3F36">
        <w:rPr>
          <w:rFonts w:ascii="Arial" w:eastAsia="Times New Roman" w:hAnsi="Arial" w:cs="Arial"/>
          <w:sz w:val="24"/>
          <w:szCs w:val="24"/>
        </w:rPr>
        <w:t xml:space="preserve"> (PS8)</w:t>
      </w:r>
    </w:p>
    <w:p w14:paraId="7E9339B3"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Site Layout, Facilities &amp; Plant Operation Plan</w:t>
      </w:r>
      <w:r w:rsidRPr="002B3F36">
        <w:rPr>
          <w:rFonts w:ascii="Arial" w:eastAsia="Times New Roman" w:hAnsi="Arial" w:cs="Arial"/>
          <w:sz w:val="24"/>
          <w:szCs w:val="24"/>
        </w:rPr>
        <w:t xml:space="preserve"> (PS1/PS3)</w:t>
      </w:r>
    </w:p>
    <w:p w14:paraId="71199604"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Site Restoration &amp; Reinstatement Plan (all disturbed lands)</w:t>
      </w:r>
      <w:r w:rsidRPr="002B3F36">
        <w:rPr>
          <w:rFonts w:ascii="Arial" w:eastAsia="Times New Roman" w:hAnsi="Arial" w:cs="Arial"/>
          <w:sz w:val="24"/>
          <w:szCs w:val="24"/>
        </w:rPr>
        <w:t xml:space="preserve"> (PS3/PS6)</w:t>
      </w:r>
    </w:p>
    <w:p w14:paraId="7D9CF962" w14:textId="77777777" w:rsidR="00A66DE7" w:rsidRPr="002B3F36" w:rsidRDefault="00A66DE7" w:rsidP="009B4CDB">
      <w:pPr>
        <w:widowControl/>
        <w:numPr>
          <w:ilvl w:val="0"/>
          <w:numId w:val="204"/>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Cs/>
          <w:sz w:val="24"/>
          <w:szCs w:val="24"/>
        </w:rPr>
        <w:t>Other site-specific management plans</w:t>
      </w:r>
      <w:r w:rsidRPr="002B3F36">
        <w:rPr>
          <w:rFonts w:ascii="Arial" w:eastAsia="Times New Roman" w:hAnsi="Arial" w:cs="Arial"/>
          <w:sz w:val="24"/>
          <w:szCs w:val="24"/>
        </w:rPr>
        <w:t xml:space="preserve"> as may be required by the CSC during implementation.</w:t>
      </w:r>
    </w:p>
    <w:p w14:paraId="0A180E07" w14:textId="16A0EFA2" w:rsidR="00A66DE7" w:rsidRPr="002B3F36" w:rsidRDefault="00A66DE7" w:rsidP="00A66DE7">
      <w:pPr>
        <w:widowControl/>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 xml:space="preserve">The Contractor shall integrate these topic plans into a single </w:t>
      </w:r>
      <w:r w:rsidRPr="002B3F36">
        <w:rPr>
          <w:rFonts w:ascii="Arial" w:eastAsia="Times New Roman" w:hAnsi="Arial" w:cs="Arial"/>
          <w:b/>
          <w:bCs/>
          <w:sz w:val="24"/>
          <w:szCs w:val="24"/>
        </w:rPr>
        <w:t>C-ESMP framework</w:t>
      </w:r>
      <w:r w:rsidRPr="002B3F36">
        <w:rPr>
          <w:rFonts w:ascii="Arial" w:eastAsia="Times New Roman" w:hAnsi="Arial" w:cs="Arial"/>
          <w:sz w:val="24"/>
          <w:szCs w:val="24"/>
        </w:rPr>
        <w:t xml:space="preserve"> to ensure consistency, cross-referencing, and accountability. Compliance will be regularly monitored by the CSC and enforced by the </w:t>
      </w:r>
      <w:r w:rsidR="00A728DA" w:rsidRPr="002B3F36">
        <w:rPr>
          <w:rFonts w:ascii="Arial" w:eastAsia="Times New Roman" w:hAnsi="Arial" w:cs="Arial"/>
          <w:sz w:val="24"/>
          <w:szCs w:val="24"/>
        </w:rPr>
        <w:t>KTZ</w:t>
      </w:r>
      <w:r w:rsidRPr="002B3F36">
        <w:rPr>
          <w:rFonts w:ascii="Arial" w:eastAsia="Times New Roman" w:hAnsi="Arial" w:cs="Arial"/>
          <w:sz w:val="24"/>
          <w:szCs w:val="24"/>
        </w:rPr>
        <w:t xml:space="preserve"> as part of contractual obligations.</w:t>
      </w:r>
    </w:p>
    <w:p w14:paraId="2CDE1451" w14:textId="4CFA9B2E" w:rsidR="00D82FB3" w:rsidRPr="002B3F36" w:rsidRDefault="00D82FB3" w:rsidP="00A66DE7">
      <w:pPr>
        <w:pStyle w:val="20"/>
        <w:keepNext/>
        <w:numPr>
          <w:ilvl w:val="0"/>
          <w:numId w:val="0"/>
        </w:numPr>
        <w:tabs>
          <w:tab w:val="clear" w:pos="540"/>
          <w:tab w:val="clear" w:pos="542"/>
        </w:tabs>
        <w:spacing w:before="240" w:after="240"/>
        <w:ind w:left="576" w:right="0" w:hanging="576"/>
        <w:rPr>
          <w:rFonts w:eastAsia="SimSun"/>
          <w:color w:val="auto"/>
        </w:rPr>
      </w:pPr>
      <w:r w:rsidRPr="002B3F36">
        <w:rPr>
          <w:rFonts w:eastAsia="SimSun"/>
          <w:color w:val="auto"/>
        </w:rPr>
        <w:br w:type="page"/>
      </w:r>
    </w:p>
    <w:p w14:paraId="225C0218" w14:textId="77777777" w:rsidR="00D82FB3" w:rsidRPr="002B3F36" w:rsidRDefault="00D82FB3" w:rsidP="00A66DE7">
      <w:pPr>
        <w:pStyle w:val="20"/>
        <w:keepNext/>
        <w:numPr>
          <w:ilvl w:val="0"/>
          <w:numId w:val="0"/>
        </w:numPr>
        <w:tabs>
          <w:tab w:val="clear" w:pos="540"/>
          <w:tab w:val="clear" w:pos="542"/>
        </w:tabs>
        <w:spacing w:before="240" w:after="240"/>
        <w:ind w:left="576" w:right="0" w:hanging="576"/>
        <w:rPr>
          <w:rFonts w:eastAsia="SimSun"/>
          <w:color w:val="auto"/>
        </w:rPr>
        <w:sectPr w:rsidR="00D82FB3" w:rsidRPr="002B3F36" w:rsidSect="00D33A4A">
          <w:headerReference w:type="default" r:id="rId54"/>
          <w:footerReference w:type="even" r:id="rId55"/>
          <w:footerReference w:type="first" r:id="rId56"/>
          <w:pgSz w:w="11910" w:h="16840"/>
          <w:pgMar w:top="1860" w:right="1133" w:bottom="900" w:left="850" w:header="0" w:footer="0" w:gutter="0"/>
          <w:cols w:space="720"/>
        </w:sectPr>
      </w:pPr>
    </w:p>
    <w:p w14:paraId="45201CD6" w14:textId="065B548C" w:rsidR="00A66DE7" w:rsidRPr="002B3F36" w:rsidRDefault="00D82FB3" w:rsidP="00D82FB3">
      <w:pPr>
        <w:pStyle w:val="CaptionTable"/>
      </w:pPr>
      <w:bookmarkStart w:id="2615" w:name="_Toc210589587"/>
      <w:r w:rsidRPr="002B3F36">
        <w:lastRenderedPageBreak/>
        <w:t xml:space="preserve">Table </w:t>
      </w:r>
      <w:r w:rsidRPr="002B3F36">
        <w:rPr>
          <w:noProof/>
        </w:rPr>
        <w:fldChar w:fldCharType="begin"/>
      </w:r>
      <w:r w:rsidRPr="002B3F36">
        <w:rPr>
          <w:noProof/>
        </w:rPr>
        <w:instrText xml:space="preserve"> SEQ Table \* ARABIC </w:instrText>
      </w:r>
      <w:r w:rsidRPr="002B3F36">
        <w:rPr>
          <w:noProof/>
        </w:rPr>
        <w:fldChar w:fldCharType="separate"/>
      </w:r>
      <w:r w:rsidR="00A023DA">
        <w:rPr>
          <w:noProof/>
        </w:rPr>
        <w:t>43</w:t>
      </w:r>
      <w:r w:rsidRPr="002B3F36">
        <w:rPr>
          <w:noProof/>
        </w:rPr>
        <w:fldChar w:fldCharType="end"/>
      </w:r>
      <w:r w:rsidRPr="002B3F36">
        <w:t xml:space="preserve">: </w:t>
      </w:r>
      <w:r w:rsidR="00054551" w:rsidRPr="002B3F36">
        <w:t>Summary ES</w:t>
      </w:r>
      <w:r w:rsidRPr="002B3F36">
        <w:t xml:space="preserve"> Risks and Impacts and Mitigation Measures</w:t>
      </w:r>
      <w:bookmarkEnd w:id="2615"/>
    </w:p>
    <w:tbl>
      <w:tblPr>
        <w:tblStyle w:val="TableGrid2"/>
        <w:tblW w:w="15241" w:type="dxa"/>
        <w:tblInd w:w="-725" w:type="dxa"/>
        <w:tblLayout w:type="fixed"/>
        <w:tblLook w:val="04A0" w:firstRow="1" w:lastRow="0" w:firstColumn="1" w:lastColumn="0" w:noHBand="0" w:noVBand="1"/>
      </w:tblPr>
      <w:tblGrid>
        <w:gridCol w:w="2070"/>
        <w:gridCol w:w="810"/>
        <w:gridCol w:w="1923"/>
        <w:gridCol w:w="2119"/>
        <w:gridCol w:w="2052"/>
        <w:gridCol w:w="3081"/>
        <w:gridCol w:w="2052"/>
        <w:gridCol w:w="1134"/>
      </w:tblGrid>
      <w:tr w:rsidR="00D82FB3" w:rsidRPr="002B3F36" w14:paraId="7D690C38" w14:textId="77777777" w:rsidTr="4935C770">
        <w:trPr>
          <w:tblHeader/>
        </w:trPr>
        <w:tc>
          <w:tcPr>
            <w:tcW w:w="2070" w:type="dxa"/>
            <w:shd w:val="clear" w:color="auto" w:fill="F2F2F2" w:themeFill="background1" w:themeFillShade="F2"/>
            <w:hideMark/>
          </w:tcPr>
          <w:p w14:paraId="0552A15E"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Phase</w:t>
            </w:r>
          </w:p>
        </w:tc>
        <w:tc>
          <w:tcPr>
            <w:tcW w:w="810" w:type="dxa"/>
            <w:shd w:val="clear" w:color="auto" w:fill="F2F2F2" w:themeFill="background1" w:themeFillShade="F2"/>
            <w:hideMark/>
          </w:tcPr>
          <w:p w14:paraId="4E0546EC"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PS</w:t>
            </w:r>
          </w:p>
        </w:tc>
        <w:tc>
          <w:tcPr>
            <w:tcW w:w="1923" w:type="dxa"/>
            <w:shd w:val="clear" w:color="auto" w:fill="F2F2F2" w:themeFill="background1" w:themeFillShade="F2"/>
            <w:hideMark/>
          </w:tcPr>
          <w:p w14:paraId="3B7EB948"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Issue</w:t>
            </w:r>
          </w:p>
        </w:tc>
        <w:tc>
          <w:tcPr>
            <w:tcW w:w="2119" w:type="dxa"/>
            <w:shd w:val="clear" w:color="auto" w:fill="F2F2F2" w:themeFill="background1" w:themeFillShade="F2"/>
            <w:hideMark/>
          </w:tcPr>
          <w:p w14:paraId="0796C811"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Source/Activity</w:t>
            </w:r>
          </w:p>
        </w:tc>
        <w:tc>
          <w:tcPr>
            <w:tcW w:w="2052" w:type="dxa"/>
            <w:shd w:val="clear" w:color="auto" w:fill="F2F2F2" w:themeFill="background1" w:themeFillShade="F2"/>
            <w:hideMark/>
          </w:tcPr>
          <w:p w14:paraId="3E85DD89"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Expected Impact</w:t>
            </w:r>
          </w:p>
        </w:tc>
        <w:tc>
          <w:tcPr>
            <w:tcW w:w="3081" w:type="dxa"/>
            <w:shd w:val="clear" w:color="auto" w:fill="F2F2F2" w:themeFill="background1" w:themeFillShade="F2"/>
            <w:hideMark/>
          </w:tcPr>
          <w:p w14:paraId="3090B4CD"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Key Mitigation / Management Measures</w:t>
            </w:r>
          </w:p>
        </w:tc>
        <w:tc>
          <w:tcPr>
            <w:tcW w:w="2052" w:type="dxa"/>
            <w:shd w:val="clear" w:color="auto" w:fill="F2F2F2" w:themeFill="background1" w:themeFillShade="F2"/>
            <w:hideMark/>
          </w:tcPr>
          <w:p w14:paraId="3A74E2C2"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Responsibility (Implement / Supervise)</w:t>
            </w:r>
          </w:p>
        </w:tc>
        <w:tc>
          <w:tcPr>
            <w:tcW w:w="1134" w:type="dxa"/>
            <w:shd w:val="clear" w:color="auto" w:fill="F2F2F2" w:themeFill="background1" w:themeFillShade="F2"/>
            <w:hideMark/>
          </w:tcPr>
          <w:p w14:paraId="312BEE7D" w14:textId="77777777" w:rsidR="00D82FB3" w:rsidRPr="002B3F36" w:rsidRDefault="00D82FB3" w:rsidP="00D82FB3">
            <w:pPr>
              <w:jc w:val="center"/>
              <w:rPr>
                <w:rFonts w:ascii="Arial" w:eastAsia="Times New Roman" w:hAnsi="Arial" w:cs="Arial"/>
                <w:b/>
                <w:bCs/>
                <w:sz w:val="20"/>
                <w:szCs w:val="20"/>
              </w:rPr>
            </w:pPr>
            <w:r w:rsidRPr="002B3F36">
              <w:rPr>
                <w:rFonts w:ascii="Arial" w:eastAsia="Times New Roman" w:hAnsi="Arial" w:cs="Arial"/>
                <w:b/>
                <w:bCs/>
                <w:sz w:val="20"/>
                <w:szCs w:val="20"/>
              </w:rPr>
              <w:t>Cost*</w:t>
            </w:r>
          </w:p>
        </w:tc>
      </w:tr>
      <w:tr w:rsidR="00D82FB3" w:rsidRPr="002B3F36" w14:paraId="120FE208" w14:textId="77777777" w:rsidTr="4935C770">
        <w:tc>
          <w:tcPr>
            <w:tcW w:w="2070" w:type="dxa"/>
            <w:hideMark/>
          </w:tcPr>
          <w:p w14:paraId="4206C63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Pre-Construction</w:t>
            </w:r>
          </w:p>
        </w:tc>
        <w:tc>
          <w:tcPr>
            <w:tcW w:w="810" w:type="dxa"/>
            <w:hideMark/>
          </w:tcPr>
          <w:p w14:paraId="18F002C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PS1</w:t>
            </w:r>
          </w:p>
        </w:tc>
        <w:tc>
          <w:tcPr>
            <w:tcW w:w="1923" w:type="dxa"/>
            <w:hideMark/>
          </w:tcPr>
          <w:p w14:paraId="4AA7665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E&amp;S risk management</w:t>
            </w:r>
          </w:p>
        </w:tc>
        <w:tc>
          <w:tcPr>
            <w:tcW w:w="2119" w:type="dxa"/>
            <w:hideMark/>
          </w:tcPr>
          <w:p w14:paraId="130E97A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Final ESIA/ESMP; detailed design; permits</w:t>
            </w:r>
          </w:p>
        </w:tc>
        <w:tc>
          <w:tcPr>
            <w:tcW w:w="2052" w:type="dxa"/>
            <w:hideMark/>
          </w:tcPr>
          <w:p w14:paraId="31DC153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Unmanaged E&amp;S risks; design gaps</w:t>
            </w:r>
          </w:p>
        </w:tc>
        <w:tc>
          <w:tcPr>
            <w:tcW w:w="3081" w:type="dxa"/>
            <w:hideMark/>
          </w:tcPr>
          <w:p w14:paraId="6327BAD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Finalize ESIA; embed ESMP &amp; KPIs in contracts; require </w:t>
            </w:r>
            <w:r w:rsidRPr="002B3F36">
              <w:rPr>
                <w:rFonts w:ascii="Arial" w:eastAsia="Times New Roman" w:hAnsi="Arial" w:cs="Arial"/>
                <w:b/>
                <w:bCs/>
                <w:sz w:val="20"/>
                <w:szCs w:val="20"/>
              </w:rPr>
              <w:t>C-ESMP</w:t>
            </w:r>
            <w:r w:rsidRPr="002B3F36">
              <w:rPr>
                <w:rFonts w:ascii="Arial" w:eastAsia="Times New Roman" w:hAnsi="Arial" w:cs="Arial"/>
                <w:sz w:val="20"/>
                <w:szCs w:val="20"/>
              </w:rPr>
              <w:t xml:space="preserve"> and method statements; define monitoring, reporting, incident escalation; </w:t>
            </w:r>
            <w:r w:rsidRPr="002B3F36">
              <w:rPr>
                <w:rFonts w:ascii="Arial" w:eastAsia="Times New Roman" w:hAnsi="Arial" w:cs="Arial"/>
                <w:b/>
                <w:bCs/>
                <w:sz w:val="20"/>
                <w:szCs w:val="20"/>
              </w:rPr>
              <w:t>Management of Change</w:t>
            </w:r>
            <w:r w:rsidRPr="002B3F36">
              <w:rPr>
                <w:rFonts w:ascii="Arial" w:eastAsia="Times New Roman" w:hAnsi="Arial" w:cs="Arial"/>
                <w:sz w:val="20"/>
                <w:szCs w:val="20"/>
              </w:rPr>
              <w:t xml:space="preserve"> for micro-siting; cumulative &amp; seasonal baselines; GHG screening</w:t>
            </w:r>
          </w:p>
        </w:tc>
        <w:tc>
          <w:tcPr>
            <w:tcW w:w="2052" w:type="dxa"/>
            <w:hideMark/>
          </w:tcPr>
          <w:p w14:paraId="0638E491" w14:textId="5B41D7E0"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 oversight</w:t>
            </w:r>
          </w:p>
        </w:tc>
        <w:tc>
          <w:tcPr>
            <w:tcW w:w="1134" w:type="dxa"/>
            <w:hideMark/>
          </w:tcPr>
          <w:p w14:paraId="4FA5433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In EPC &amp; CSC</w:t>
            </w:r>
          </w:p>
        </w:tc>
      </w:tr>
      <w:tr w:rsidR="00D82FB3" w:rsidRPr="002B3F36" w14:paraId="2AC93EF2" w14:textId="77777777" w:rsidTr="4935C770">
        <w:tc>
          <w:tcPr>
            <w:tcW w:w="2070" w:type="dxa"/>
            <w:hideMark/>
          </w:tcPr>
          <w:p w14:paraId="065F12F8" w14:textId="77777777" w:rsidR="00D82FB3" w:rsidRPr="002B3F36" w:rsidRDefault="00D82FB3" w:rsidP="00D82FB3">
            <w:pPr>
              <w:rPr>
                <w:rFonts w:ascii="Arial" w:eastAsia="Times New Roman" w:hAnsi="Arial" w:cs="Arial"/>
                <w:sz w:val="20"/>
                <w:szCs w:val="20"/>
              </w:rPr>
            </w:pPr>
          </w:p>
        </w:tc>
        <w:tc>
          <w:tcPr>
            <w:tcW w:w="810" w:type="dxa"/>
            <w:hideMark/>
          </w:tcPr>
          <w:p w14:paraId="0867613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PS1/PS6</w:t>
            </w:r>
          </w:p>
        </w:tc>
        <w:tc>
          <w:tcPr>
            <w:tcW w:w="1923" w:type="dxa"/>
            <w:hideMark/>
          </w:tcPr>
          <w:p w14:paraId="0108C8B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Route &amp; site selection (greenfield)</w:t>
            </w:r>
          </w:p>
        </w:tc>
        <w:tc>
          <w:tcPr>
            <w:tcW w:w="2119" w:type="dxa"/>
            <w:hideMark/>
          </w:tcPr>
          <w:p w14:paraId="49087FC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New ROW definition; siting of bridges, camps, plants</w:t>
            </w:r>
          </w:p>
        </w:tc>
        <w:tc>
          <w:tcPr>
            <w:tcW w:w="2052" w:type="dxa"/>
            <w:hideMark/>
          </w:tcPr>
          <w:p w14:paraId="661BB037"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Avoidable habitat/social conflict</w:t>
            </w:r>
          </w:p>
        </w:tc>
        <w:tc>
          <w:tcPr>
            <w:tcW w:w="3081" w:type="dxa"/>
            <w:hideMark/>
          </w:tcPr>
          <w:p w14:paraId="4F4423F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Alternatives analysis</w:t>
            </w:r>
            <w:r w:rsidRPr="002B3F36">
              <w:rPr>
                <w:rFonts w:ascii="Arial" w:eastAsia="Times New Roman" w:hAnsi="Arial" w:cs="Arial"/>
                <w:sz w:val="20"/>
                <w:szCs w:val="20"/>
              </w:rPr>
              <w:t xml:space="preserve"> to avoid sensitive habitats/settlements; micro-alignments to reduce fragmentation and water crossings; no-go buffers for riparian and sanctuary zones</w:t>
            </w:r>
          </w:p>
        </w:tc>
        <w:tc>
          <w:tcPr>
            <w:tcW w:w="2052" w:type="dxa"/>
            <w:hideMark/>
          </w:tcPr>
          <w:p w14:paraId="0425A457" w14:textId="707A4ED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Designer/</w:t>
            </w:r>
            <w:r w:rsidR="009D0CE5" w:rsidRPr="002B3F36">
              <w:rPr>
                <w:rFonts w:ascii="Arial" w:eastAsia="Times New Roman" w:hAnsi="Arial" w:cs="Arial"/>
                <w:sz w:val="20"/>
                <w:szCs w:val="20"/>
              </w:rPr>
              <w:t>Contractor</w:t>
            </w:r>
            <w:r w:rsidRPr="002B3F36">
              <w:rPr>
                <w:rFonts w:ascii="Arial" w:eastAsia="Times New Roman" w:hAnsi="Arial" w:cs="Arial"/>
                <w:sz w:val="20"/>
                <w:szCs w:val="20"/>
              </w:rPr>
              <w:t xml:space="preserve">;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331E41A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Design scope</w:t>
            </w:r>
          </w:p>
        </w:tc>
      </w:tr>
      <w:tr w:rsidR="00D82FB3" w:rsidRPr="002B3F36" w14:paraId="372FDC2F" w14:textId="77777777" w:rsidTr="4935C770">
        <w:tc>
          <w:tcPr>
            <w:tcW w:w="2070" w:type="dxa"/>
            <w:hideMark/>
          </w:tcPr>
          <w:p w14:paraId="058081E4" w14:textId="77777777" w:rsidR="00D82FB3" w:rsidRPr="002B3F36" w:rsidRDefault="00D82FB3" w:rsidP="00D82FB3">
            <w:pPr>
              <w:rPr>
                <w:rFonts w:ascii="Arial" w:eastAsia="Times New Roman" w:hAnsi="Arial" w:cs="Arial"/>
                <w:sz w:val="20"/>
                <w:szCs w:val="20"/>
              </w:rPr>
            </w:pPr>
          </w:p>
        </w:tc>
        <w:tc>
          <w:tcPr>
            <w:tcW w:w="810" w:type="dxa"/>
            <w:hideMark/>
          </w:tcPr>
          <w:p w14:paraId="2E03AF3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5E66A5D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Borrow/quarry siting</w:t>
            </w:r>
          </w:p>
        </w:tc>
        <w:tc>
          <w:tcPr>
            <w:tcW w:w="2119" w:type="dxa"/>
            <w:hideMark/>
          </w:tcPr>
          <w:p w14:paraId="22F49AB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Material sources; access</w:t>
            </w:r>
          </w:p>
        </w:tc>
        <w:tc>
          <w:tcPr>
            <w:tcW w:w="2052" w:type="dxa"/>
            <w:hideMark/>
          </w:tcPr>
          <w:p w14:paraId="1CE0637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Land degradation; nuisance</w:t>
            </w:r>
          </w:p>
        </w:tc>
        <w:tc>
          <w:tcPr>
            <w:tcW w:w="3081" w:type="dxa"/>
            <w:hideMark/>
          </w:tcPr>
          <w:p w14:paraId="0B90F8E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Borrow/Quarry Plan</w:t>
            </w:r>
            <w:r w:rsidRPr="002B3F36">
              <w:rPr>
                <w:rFonts w:ascii="Arial" w:eastAsia="Times New Roman" w:hAnsi="Arial" w:cs="Arial"/>
                <w:sz w:val="20"/>
                <w:szCs w:val="20"/>
              </w:rPr>
              <w:t>: licensed sources; SPNA no-go; haul road dust/noise controls; rehab bonds; progressive restoration</w:t>
            </w:r>
          </w:p>
          <w:p w14:paraId="675528F8" w14:textId="6FB83A9C" w:rsidR="00054551" w:rsidRPr="002B3F36" w:rsidRDefault="00236FCB" w:rsidP="00D82FB3">
            <w:pPr>
              <w:rPr>
                <w:rFonts w:ascii="Arial" w:eastAsia="Times New Roman" w:hAnsi="Arial" w:cs="Arial"/>
                <w:sz w:val="20"/>
                <w:szCs w:val="20"/>
              </w:rPr>
            </w:pPr>
            <w:r w:rsidRPr="002B3F36">
              <w:rPr>
                <w:rFonts w:ascii="Arial" w:eastAsia="Times New Roman" w:hAnsi="Arial" w:cs="Arial"/>
                <w:sz w:val="20"/>
                <w:szCs w:val="20"/>
              </w:rPr>
              <w:t>Site</w:t>
            </w:r>
            <w:r w:rsidR="00054551" w:rsidRPr="002B3F36">
              <w:rPr>
                <w:rFonts w:ascii="Arial" w:eastAsia="Times New Roman" w:hAnsi="Arial" w:cs="Arial"/>
                <w:sz w:val="20"/>
                <w:szCs w:val="20"/>
              </w:rPr>
              <w:t xml:space="preserve"> Re</w:t>
            </w:r>
            <w:r w:rsidRPr="002B3F36">
              <w:rPr>
                <w:rFonts w:ascii="Arial" w:eastAsia="Times New Roman" w:hAnsi="Arial" w:cs="Arial"/>
                <w:sz w:val="20"/>
                <w:szCs w:val="20"/>
              </w:rPr>
              <w:t>storation</w:t>
            </w:r>
            <w:r w:rsidR="00054551" w:rsidRPr="002B3F36">
              <w:rPr>
                <w:rFonts w:ascii="Arial" w:eastAsia="Times New Roman" w:hAnsi="Arial" w:cs="Arial"/>
                <w:sz w:val="20"/>
                <w:szCs w:val="20"/>
              </w:rPr>
              <w:t xml:space="preserve"> Plan</w:t>
            </w:r>
          </w:p>
        </w:tc>
        <w:tc>
          <w:tcPr>
            <w:tcW w:w="2052" w:type="dxa"/>
            <w:hideMark/>
          </w:tcPr>
          <w:p w14:paraId="49119047" w14:textId="1F2F8D09"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Contractor;</w:t>
            </w:r>
            <w:r w:rsidR="00A728DA" w:rsidRPr="002B3F36">
              <w:rPr>
                <w:rFonts w:ascii="Arial" w:eastAsia="Times New Roman" w:hAnsi="Arial" w:cs="Arial"/>
                <w:sz w:val="20"/>
                <w:szCs w:val="20"/>
              </w:rPr>
              <w:t xml:space="preserve"> KTZ</w:t>
            </w:r>
            <w:r w:rsidRPr="002B3F36">
              <w:rPr>
                <w:rFonts w:ascii="Arial" w:eastAsia="Times New Roman" w:hAnsi="Arial" w:cs="Arial"/>
                <w:sz w:val="20"/>
                <w:szCs w:val="20"/>
              </w:rPr>
              <w:t>/CSC</w:t>
            </w:r>
            <w:r w:rsidR="00BD5AE3" w:rsidRPr="002B3F36">
              <w:rPr>
                <w:rFonts w:ascii="Arial" w:eastAsia="Times New Roman" w:hAnsi="Arial" w:cs="Arial"/>
                <w:sz w:val="20"/>
                <w:szCs w:val="20"/>
              </w:rPr>
              <w:t>; Biodiversity Specialist</w:t>
            </w:r>
          </w:p>
        </w:tc>
        <w:tc>
          <w:tcPr>
            <w:tcW w:w="1134" w:type="dxa"/>
            <w:hideMark/>
          </w:tcPr>
          <w:p w14:paraId="41D8D9F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577B3E97" w14:textId="77777777" w:rsidTr="4935C770">
        <w:tc>
          <w:tcPr>
            <w:tcW w:w="2070" w:type="dxa"/>
            <w:hideMark/>
          </w:tcPr>
          <w:p w14:paraId="421EDB07" w14:textId="77777777" w:rsidR="00D82FB3" w:rsidRPr="002B3F36" w:rsidRDefault="00D82FB3" w:rsidP="00D82FB3">
            <w:pPr>
              <w:rPr>
                <w:rFonts w:ascii="Arial" w:eastAsia="Times New Roman" w:hAnsi="Arial" w:cs="Arial"/>
                <w:sz w:val="20"/>
                <w:szCs w:val="20"/>
              </w:rPr>
            </w:pPr>
          </w:p>
        </w:tc>
        <w:tc>
          <w:tcPr>
            <w:tcW w:w="810" w:type="dxa"/>
            <w:hideMark/>
          </w:tcPr>
          <w:p w14:paraId="34C5813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PS5</w:t>
            </w:r>
          </w:p>
        </w:tc>
        <w:tc>
          <w:tcPr>
            <w:tcW w:w="1923" w:type="dxa"/>
            <w:hideMark/>
          </w:tcPr>
          <w:p w14:paraId="17FB2DD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Land acquisition &amp; livelihoods</w:t>
            </w:r>
          </w:p>
        </w:tc>
        <w:tc>
          <w:tcPr>
            <w:tcW w:w="2119" w:type="dxa"/>
            <w:hideMark/>
          </w:tcPr>
          <w:p w14:paraId="1A1A6B8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New ROW, permanent/temporary easements</w:t>
            </w:r>
          </w:p>
        </w:tc>
        <w:tc>
          <w:tcPr>
            <w:tcW w:w="2052" w:type="dxa"/>
            <w:hideMark/>
          </w:tcPr>
          <w:p w14:paraId="029C968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Land take; asset/livelihood loss</w:t>
            </w:r>
          </w:p>
        </w:tc>
        <w:tc>
          <w:tcPr>
            <w:tcW w:w="3081" w:type="dxa"/>
            <w:hideMark/>
          </w:tcPr>
          <w:p w14:paraId="4C487E02" w14:textId="5E5E72E5"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Implement </w:t>
            </w:r>
            <w:r w:rsidR="002E585D" w:rsidRPr="002B3F36">
              <w:rPr>
                <w:rFonts w:ascii="Arial" w:eastAsia="Times New Roman" w:hAnsi="Arial" w:cs="Arial"/>
                <w:b/>
                <w:bCs/>
                <w:sz w:val="20"/>
                <w:szCs w:val="20"/>
              </w:rPr>
              <w:t>LARAP</w:t>
            </w:r>
            <w:r w:rsidRPr="002B3F36">
              <w:rPr>
                <w:rFonts w:ascii="Arial" w:eastAsia="Times New Roman" w:hAnsi="Arial" w:cs="Arial"/>
                <w:sz w:val="20"/>
                <w:szCs w:val="20"/>
              </w:rPr>
              <w:t xml:space="preserve">: census, replacement-cost compensation </w:t>
            </w:r>
            <w:r w:rsidRPr="002B3F36">
              <w:rPr>
                <w:rFonts w:ascii="Arial" w:eastAsia="Times New Roman" w:hAnsi="Arial" w:cs="Arial"/>
                <w:b/>
                <w:bCs/>
                <w:sz w:val="20"/>
                <w:szCs w:val="20"/>
              </w:rPr>
              <w:t>before works</w:t>
            </w:r>
            <w:r w:rsidRPr="002B3F36">
              <w:rPr>
                <w:rFonts w:ascii="Arial" w:eastAsia="Times New Roman" w:hAnsi="Arial" w:cs="Arial"/>
                <w:sz w:val="20"/>
                <w:szCs w:val="20"/>
              </w:rPr>
              <w:t xml:space="preserve">, livelihood restoration incl. grazing/pasture users; manage </w:t>
            </w:r>
            <w:r w:rsidRPr="002B3F36">
              <w:rPr>
                <w:rFonts w:ascii="Arial" w:eastAsia="Times New Roman" w:hAnsi="Arial" w:cs="Arial"/>
                <w:b/>
                <w:bCs/>
                <w:sz w:val="20"/>
                <w:szCs w:val="20"/>
              </w:rPr>
              <w:t>temporary construction easements</w:t>
            </w:r>
            <w:r w:rsidRPr="002B3F36">
              <w:rPr>
                <w:rFonts w:ascii="Arial" w:eastAsia="Times New Roman" w:hAnsi="Arial" w:cs="Arial"/>
                <w:sz w:val="20"/>
                <w:szCs w:val="20"/>
              </w:rPr>
              <w:t>; community GRM</w:t>
            </w:r>
          </w:p>
        </w:tc>
        <w:tc>
          <w:tcPr>
            <w:tcW w:w="2052" w:type="dxa"/>
            <w:hideMark/>
          </w:tcPr>
          <w:p w14:paraId="1416E3F4" w14:textId="53855380" w:rsidR="00D82FB3" w:rsidRPr="002B3F36" w:rsidRDefault="00A728DA" w:rsidP="00D82FB3">
            <w:pPr>
              <w:rPr>
                <w:rFonts w:ascii="Arial" w:eastAsia="Times New Roman" w:hAnsi="Arial" w:cs="Arial"/>
                <w:sz w:val="20"/>
                <w:szCs w:val="20"/>
              </w:rPr>
            </w:pPr>
            <w:r w:rsidRPr="002B3F36">
              <w:rPr>
                <w:rFonts w:ascii="Arial" w:eastAsia="Times New Roman" w:hAnsi="Arial" w:cs="Arial"/>
                <w:sz w:val="20"/>
                <w:szCs w:val="20"/>
              </w:rPr>
              <w:t>KTZ</w:t>
            </w:r>
            <w:r w:rsidR="00D82FB3" w:rsidRPr="002B3F36">
              <w:rPr>
                <w:rFonts w:ascii="Arial" w:eastAsia="Times New Roman" w:hAnsi="Arial" w:cs="Arial"/>
                <w:sz w:val="20"/>
                <w:szCs w:val="20"/>
              </w:rPr>
              <w:t xml:space="preserve"> &amp; Akimat (lead); Contractor (support)</w:t>
            </w:r>
          </w:p>
        </w:tc>
        <w:tc>
          <w:tcPr>
            <w:tcW w:w="1134" w:type="dxa"/>
            <w:hideMark/>
          </w:tcPr>
          <w:p w14:paraId="4D33CE39" w14:textId="3CE13BA1"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w:t>
            </w:r>
          </w:p>
        </w:tc>
      </w:tr>
      <w:tr w:rsidR="00D82FB3" w:rsidRPr="002B3F36" w14:paraId="27B4969A" w14:textId="77777777" w:rsidTr="4935C770">
        <w:tc>
          <w:tcPr>
            <w:tcW w:w="2070" w:type="dxa"/>
            <w:hideMark/>
          </w:tcPr>
          <w:p w14:paraId="2E1D178D" w14:textId="77777777" w:rsidR="00D82FB3" w:rsidRPr="002B3F36" w:rsidRDefault="00D82FB3" w:rsidP="00D82FB3">
            <w:pPr>
              <w:rPr>
                <w:rFonts w:ascii="Arial" w:eastAsia="Times New Roman" w:hAnsi="Arial" w:cs="Arial"/>
                <w:sz w:val="20"/>
                <w:szCs w:val="20"/>
              </w:rPr>
            </w:pPr>
          </w:p>
        </w:tc>
        <w:tc>
          <w:tcPr>
            <w:tcW w:w="810" w:type="dxa"/>
            <w:hideMark/>
          </w:tcPr>
          <w:p w14:paraId="2D1D36E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w:t>
            </w:r>
          </w:p>
        </w:tc>
        <w:tc>
          <w:tcPr>
            <w:tcW w:w="1923" w:type="dxa"/>
            <w:hideMark/>
          </w:tcPr>
          <w:p w14:paraId="54CFAB48" w14:textId="77777777" w:rsidR="00D82FB3" w:rsidRPr="00A846C7" w:rsidRDefault="00D82FB3" w:rsidP="00D82FB3">
            <w:pPr>
              <w:rPr>
                <w:rFonts w:ascii="Arial" w:eastAsia="Times New Roman" w:hAnsi="Arial" w:cs="Arial"/>
                <w:sz w:val="20"/>
                <w:szCs w:val="20"/>
              </w:rPr>
            </w:pPr>
            <w:r w:rsidRPr="00A846C7">
              <w:rPr>
                <w:rFonts w:ascii="Arial" w:eastAsia="Times New Roman" w:hAnsi="Arial" w:cs="Arial"/>
                <w:sz w:val="20"/>
                <w:szCs w:val="20"/>
              </w:rPr>
              <w:t>Biodiversity baseline &amp; critical habitat screen</w:t>
            </w:r>
          </w:p>
        </w:tc>
        <w:tc>
          <w:tcPr>
            <w:tcW w:w="2119" w:type="dxa"/>
            <w:hideMark/>
          </w:tcPr>
          <w:p w14:paraId="3DEADCEC" w14:textId="77777777" w:rsidR="00D82FB3" w:rsidRPr="00A846C7" w:rsidRDefault="00D82FB3" w:rsidP="00D82FB3">
            <w:pPr>
              <w:rPr>
                <w:rFonts w:ascii="Arial" w:eastAsia="Times New Roman" w:hAnsi="Arial" w:cs="Arial"/>
                <w:sz w:val="20"/>
                <w:szCs w:val="20"/>
              </w:rPr>
            </w:pPr>
            <w:r w:rsidRPr="00A846C7">
              <w:rPr>
                <w:rFonts w:ascii="Arial" w:eastAsia="Times New Roman" w:hAnsi="Arial" w:cs="Arial"/>
                <w:sz w:val="20"/>
                <w:szCs w:val="20"/>
              </w:rPr>
              <w:t>Andasai SNS clusters; saiga/argali range</w:t>
            </w:r>
          </w:p>
        </w:tc>
        <w:tc>
          <w:tcPr>
            <w:tcW w:w="2052" w:type="dxa"/>
            <w:hideMark/>
          </w:tcPr>
          <w:p w14:paraId="762A158F" w14:textId="77777777" w:rsidR="00D82FB3" w:rsidRPr="00A846C7" w:rsidRDefault="00D82FB3" w:rsidP="00D82FB3">
            <w:pPr>
              <w:rPr>
                <w:rFonts w:ascii="Arial" w:eastAsia="Times New Roman" w:hAnsi="Arial" w:cs="Arial"/>
                <w:sz w:val="20"/>
                <w:szCs w:val="20"/>
              </w:rPr>
            </w:pPr>
            <w:r w:rsidRPr="00A846C7">
              <w:rPr>
                <w:rFonts w:ascii="Arial" w:eastAsia="Times New Roman" w:hAnsi="Arial" w:cs="Arial"/>
                <w:sz w:val="20"/>
                <w:szCs w:val="20"/>
              </w:rPr>
              <w:t>Potential CH trigger</w:t>
            </w:r>
          </w:p>
        </w:tc>
        <w:tc>
          <w:tcPr>
            <w:tcW w:w="3081" w:type="dxa"/>
            <w:hideMark/>
          </w:tcPr>
          <w:p w14:paraId="478A0842" w14:textId="7327AC00" w:rsidR="00D82FB3" w:rsidRPr="00A846C7" w:rsidRDefault="00D82FB3" w:rsidP="00D82FB3">
            <w:pPr>
              <w:rPr>
                <w:rFonts w:ascii="Arial" w:eastAsia="Times New Roman" w:hAnsi="Arial" w:cs="Arial"/>
                <w:sz w:val="20"/>
                <w:szCs w:val="20"/>
              </w:rPr>
            </w:pPr>
            <w:r w:rsidRPr="00A846C7">
              <w:rPr>
                <w:rFonts w:ascii="Arial" w:eastAsia="Times New Roman" w:hAnsi="Arial" w:cs="Arial"/>
                <w:b/>
                <w:bCs/>
                <w:sz w:val="20"/>
                <w:szCs w:val="20"/>
              </w:rPr>
              <w:t>Critical Habitat screening</w:t>
            </w:r>
            <w:r w:rsidRPr="00A846C7">
              <w:rPr>
                <w:rFonts w:ascii="Arial" w:eastAsia="Times New Roman" w:hAnsi="Arial" w:cs="Arial"/>
                <w:sz w:val="20"/>
                <w:szCs w:val="20"/>
              </w:rPr>
              <w:t xml:space="preserve">; if CH  no net loss/net gain strategy and offsets; pre-construction ecological surveys; appoint </w:t>
            </w:r>
            <w:r w:rsidRPr="00A846C7">
              <w:rPr>
                <w:rFonts w:ascii="Arial" w:eastAsia="Times New Roman" w:hAnsi="Arial" w:cs="Arial"/>
                <w:b/>
                <w:bCs/>
                <w:sz w:val="20"/>
                <w:szCs w:val="20"/>
              </w:rPr>
              <w:t>Ecological Clerk of Works</w:t>
            </w:r>
          </w:p>
        </w:tc>
        <w:tc>
          <w:tcPr>
            <w:tcW w:w="2052" w:type="dxa"/>
            <w:hideMark/>
          </w:tcPr>
          <w:p w14:paraId="156BA8D1" w14:textId="27B95912" w:rsidR="00D82FB3" w:rsidRPr="00A846C7" w:rsidRDefault="00A728DA" w:rsidP="00D82FB3">
            <w:pPr>
              <w:rPr>
                <w:rFonts w:ascii="Arial" w:eastAsia="Times New Roman" w:hAnsi="Arial" w:cs="Arial"/>
                <w:sz w:val="20"/>
                <w:szCs w:val="20"/>
              </w:rPr>
            </w:pPr>
            <w:r w:rsidRPr="00A846C7">
              <w:rPr>
                <w:rFonts w:ascii="Arial" w:eastAsia="Times New Roman" w:hAnsi="Arial" w:cs="Arial"/>
                <w:sz w:val="20"/>
                <w:szCs w:val="20"/>
              </w:rPr>
              <w:t>KTZ</w:t>
            </w:r>
            <w:r w:rsidR="00D82FB3" w:rsidRPr="00A846C7">
              <w:rPr>
                <w:rFonts w:ascii="Arial" w:eastAsia="Times New Roman" w:hAnsi="Arial" w:cs="Arial"/>
                <w:sz w:val="20"/>
                <w:szCs w:val="20"/>
              </w:rPr>
              <w:t>/CSC; Biodiversity specialist</w:t>
            </w:r>
          </w:p>
        </w:tc>
        <w:tc>
          <w:tcPr>
            <w:tcW w:w="1134" w:type="dxa"/>
            <w:hideMark/>
          </w:tcPr>
          <w:p w14:paraId="5E380F6C" w14:textId="0C9AC941" w:rsidR="00D82FB3" w:rsidRPr="00A846C7" w:rsidRDefault="00A728DA" w:rsidP="00D82FB3">
            <w:pPr>
              <w:rPr>
                <w:rFonts w:ascii="Arial" w:eastAsia="Times New Roman" w:hAnsi="Arial" w:cs="Arial"/>
                <w:sz w:val="20"/>
                <w:szCs w:val="20"/>
              </w:rPr>
            </w:pPr>
            <w:r w:rsidRPr="00A846C7">
              <w:rPr>
                <w:rFonts w:ascii="Arial" w:eastAsia="Times New Roman" w:hAnsi="Arial" w:cs="Arial"/>
                <w:sz w:val="20"/>
                <w:szCs w:val="20"/>
              </w:rPr>
              <w:t>KTZ</w:t>
            </w:r>
            <w:r w:rsidR="00D82FB3" w:rsidRPr="00A846C7">
              <w:rPr>
                <w:rFonts w:ascii="Arial" w:eastAsia="Times New Roman" w:hAnsi="Arial" w:cs="Arial"/>
                <w:sz w:val="20"/>
                <w:szCs w:val="20"/>
              </w:rPr>
              <w:t>/CSC</w:t>
            </w:r>
          </w:p>
        </w:tc>
      </w:tr>
      <w:tr w:rsidR="00D82FB3" w:rsidRPr="002B3F36" w14:paraId="5D353C02" w14:textId="77777777" w:rsidTr="4935C770">
        <w:tc>
          <w:tcPr>
            <w:tcW w:w="2070" w:type="dxa"/>
            <w:hideMark/>
          </w:tcPr>
          <w:p w14:paraId="560248CB" w14:textId="77777777" w:rsidR="00D82FB3" w:rsidRPr="002B3F36" w:rsidRDefault="00D82FB3" w:rsidP="00D82FB3">
            <w:pPr>
              <w:rPr>
                <w:rFonts w:ascii="Arial" w:eastAsia="Times New Roman" w:hAnsi="Arial" w:cs="Arial"/>
                <w:sz w:val="20"/>
                <w:szCs w:val="20"/>
              </w:rPr>
            </w:pPr>
          </w:p>
        </w:tc>
        <w:tc>
          <w:tcPr>
            <w:tcW w:w="810" w:type="dxa"/>
            <w:hideMark/>
          </w:tcPr>
          <w:p w14:paraId="30AF6C1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PS8</w:t>
            </w:r>
          </w:p>
        </w:tc>
        <w:tc>
          <w:tcPr>
            <w:tcW w:w="1923" w:type="dxa"/>
            <w:hideMark/>
          </w:tcPr>
          <w:p w14:paraId="54D267C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Cultural heritage</w:t>
            </w:r>
          </w:p>
        </w:tc>
        <w:tc>
          <w:tcPr>
            <w:tcW w:w="2119" w:type="dxa"/>
            <w:hideMark/>
          </w:tcPr>
          <w:p w14:paraId="26E30FD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Desktop &amp; walkover survey</w:t>
            </w:r>
          </w:p>
        </w:tc>
        <w:tc>
          <w:tcPr>
            <w:tcW w:w="2052" w:type="dxa"/>
            <w:hideMark/>
          </w:tcPr>
          <w:p w14:paraId="6FE34B7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Chance damage</w:t>
            </w:r>
          </w:p>
        </w:tc>
        <w:tc>
          <w:tcPr>
            <w:tcW w:w="3081" w:type="dxa"/>
            <w:hideMark/>
          </w:tcPr>
          <w:p w14:paraId="7DD34CC7"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Pre-construction CH screening of ROW, camps, borrow sites; toolbox briefings</w:t>
            </w:r>
          </w:p>
        </w:tc>
        <w:tc>
          <w:tcPr>
            <w:tcW w:w="2052" w:type="dxa"/>
            <w:hideMark/>
          </w:tcPr>
          <w:p w14:paraId="2E3556D2" w14:textId="2927818E"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4F5078C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41814175" w14:textId="77777777" w:rsidTr="4935C770">
        <w:tc>
          <w:tcPr>
            <w:tcW w:w="2070" w:type="dxa"/>
            <w:hideMark/>
          </w:tcPr>
          <w:p w14:paraId="5E4C05E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lastRenderedPageBreak/>
              <w:t>Construction</w:t>
            </w:r>
          </w:p>
        </w:tc>
        <w:tc>
          <w:tcPr>
            <w:tcW w:w="810" w:type="dxa"/>
            <w:hideMark/>
          </w:tcPr>
          <w:p w14:paraId="258B14F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PS2</w:t>
            </w:r>
          </w:p>
        </w:tc>
        <w:tc>
          <w:tcPr>
            <w:tcW w:w="1923" w:type="dxa"/>
            <w:hideMark/>
          </w:tcPr>
          <w:p w14:paraId="63B0C58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Labor influx &amp; conditions; SEA/SH</w:t>
            </w:r>
          </w:p>
        </w:tc>
        <w:tc>
          <w:tcPr>
            <w:tcW w:w="2119" w:type="dxa"/>
            <w:hideMark/>
          </w:tcPr>
          <w:p w14:paraId="0F9614C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Recruitment; remote camps; subs</w:t>
            </w:r>
          </w:p>
        </w:tc>
        <w:tc>
          <w:tcPr>
            <w:tcW w:w="2052" w:type="dxa"/>
            <w:hideMark/>
          </w:tcPr>
          <w:p w14:paraId="0BA6BB4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Labor tensions; SEA/SH</w:t>
            </w:r>
          </w:p>
        </w:tc>
        <w:tc>
          <w:tcPr>
            <w:tcW w:w="3081" w:type="dxa"/>
            <w:hideMark/>
          </w:tcPr>
          <w:p w14:paraId="166B6F1C" w14:textId="53FE78AE"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Fair, transparent hiring; </w:t>
            </w:r>
            <w:r w:rsidRPr="002B3F36">
              <w:rPr>
                <w:rFonts w:ascii="Arial" w:eastAsia="Times New Roman" w:hAnsi="Arial" w:cs="Arial"/>
                <w:b/>
                <w:bCs/>
                <w:sz w:val="20"/>
                <w:szCs w:val="20"/>
              </w:rPr>
              <w:t>Code of Conduct</w:t>
            </w:r>
            <w:r w:rsidRPr="002B3F36">
              <w:rPr>
                <w:rFonts w:ascii="Arial" w:eastAsia="Times New Roman" w:hAnsi="Arial" w:cs="Arial"/>
                <w:sz w:val="20"/>
                <w:szCs w:val="20"/>
              </w:rPr>
              <w:t xml:space="preserve">; SEA/SH Action Plan with survivor-centered pathways; worker GRM; </w:t>
            </w:r>
            <w:r w:rsidR="00F95BD8" w:rsidRPr="002B3F36">
              <w:rPr>
                <w:rFonts w:ascii="Arial" w:eastAsia="Times New Roman" w:hAnsi="Arial" w:cs="Arial"/>
                <w:sz w:val="20"/>
                <w:szCs w:val="20"/>
              </w:rPr>
              <w:t>WB</w:t>
            </w:r>
            <w:r w:rsidRPr="002B3F36">
              <w:rPr>
                <w:rFonts w:ascii="Arial" w:eastAsia="Times New Roman" w:hAnsi="Arial" w:cs="Arial"/>
                <w:sz w:val="20"/>
                <w:szCs w:val="20"/>
              </w:rPr>
              <w:t xml:space="preserve"> </w:t>
            </w:r>
            <w:r w:rsidRPr="002B3F36">
              <w:rPr>
                <w:rFonts w:ascii="Arial" w:eastAsia="Times New Roman" w:hAnsi="Arial" w:cs="Arial"/>
                <w:b/>
                <w:bCs/>
                <w:sz w:val="20"/>
                <w:szCs w:val="20"/>
              </w:rPr>
              <w:t>Workers’ Accommodation</w:t>
            </w:r>
            <w:r w:rsidRPr="002B3F36">
              <w:rPr>
                <w:rFonts w:ascii="Arial" w:eastAsia="Times New Roman" w:hAnsi="Arial" w:cs="Arial"/>
                <w:sz w:val="20"/>
                <w:szCs w:val="20"/>
              </w:rPr>
              <w:t>; cultural awareness; reputable agencies</w:t>
            </w:r>
          </w:p>
        </w:tc>
        <w:tc>
          <w:tcPr>
            <w:tcW w:w="2052" w:type="dxa"/>
            <w:hideMark/>
          </w:tcPr>
          <w:p w14:paraId="32923042" w14:textId="6BA1EE3D"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2D52187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6BC361CE" w14:textId="77777777" w:rsidTr="4935C770">
        <w:tc>
          <w:tcPr>
            <w:tcW w:w="2070" w:type="dxa"/>
            <w:hideMark/>
          </w:tcPr>
          <w:p w14:paraId="16B8F023" w14:textId="77777777" w:rsidR="00D82FB3" w:rsidRPr="002B3F36" w:rsidRDefault="00D82FB3" w:rsidP="00D82FB3">
            <w:pPr>
              <w:rPr>
                <w:rFonts w:ascii="Arial" w:eastAsia="Times New Roman" w:hAnsi="Arial" w:cs="Arial"/>
                <w:sz w:val="20"/>
                <w:szCs w:val="20"/>
              </w:rPr>
            </w:pPr>
          </w:p>
        </w:tc>
        <w:tc>
          <w:tcPr>
            <w:tcW w:w="810" w:type="dxa"/>
            <w:hideMark/>
          </w:tcPr>
          <w:p w14:paraId="4FE11EE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PS2</w:t>
            </w:r>
          </w:p>
        </w:tc>
        <w:tc>
          <w:tcPr>
            <w:tcW w:w="1923" w:type="dxa"/>
            <w:hideMark/>
          </w:tcPr>
          <w:p w14:paraId="0A6B092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OHS</w:t>
            </w:r>
          </w:p>
        </w:tc>
        <w:tc>
          <w:tcPr>
            <w:tcW w:w="2119" w:type="dxa"/>
            <w:hideMark/>
          </w:tcPr>
          <w:p w14:paraId="474B5F2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Earthworks, structures, rail systems, WAME, hot work, electrical, heights, weather</w:t>
            </w:r>
          </w:p>
        </w:tc>
        <w:tc>
          <w:tcPr>
            <w:tcW w:w="2052" w:type="dxa"/>
            <w:hideMark/>
          </w:tcPr>
          <w:p w14:paraId="318E65A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Injuries/fatalities</w:t>
            </w:r>
          </w:p>
        </w:tc>
        <w:tc>
          <w:tcPr>
            <w:tcW w:w="3081" w:type="dxa"/>
            <w:hideMark/>
          </w:tcPr>
          <w:p w14:paraId="3EDDEB77"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OHS Plan (risk assessments, PTW, SOPs); PPE; WAME &amp; traffic plans; fall protection ≥1.3 m; hot-work permits; illumination; hearing conservation; emergency response &amp; drills; HAZMAT SDS, secondary containment</w:t>
            </w:r>
          </w:p>
        </w:tc>
        <w:tc>
          <w:tcPr>
            <w:tcW w:w="2052" w:type="dxa"/>
            <w:hideMark/>
          </w:tcPr>
          <w:p w14:paraId="629F187C" w14:textId="3E3D8934"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0C7B283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498965B7" w14:textId="77777777" w:rsidTr="4935C770">
        <w:tc>
          <w:tcPr>
            <w:tcW w:w="2070" w:type="dxa"/>
            <w:hideMark/>
          </w:tcPr>
          <w:p w14:paraId="418C1E23" w14:textId="77777777" w:rsidR="00D82FB3" w:rsidRPr="002B3F36" w:rsidRDefault="00D82FB3" w:rsidP="00D82FB3">
            <w:pPr>
              <w:rPr>
                <w:rFonts w:ascii="Arial" w:eastAsia="Times New Roman" w:hAnsi="Arial" w:cs="Arial"/>
                <w:sz w:val="20"/>
                <w:szCs w:val="20"/>
              </w:rPr>
            </w:pPr>
          </w:p>
        </w:tc>
        <w:tc>
          <w:tcPr>
            <w:tcW w:w="810" w:type="dxa"/>
            <w:hideMark/>
          </w:tcPr>
          <w:p w14:paraId="376CF9C2"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6AB6678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Soil quality/topsoil</w:t>
            </w:r>
          </w:p>
        </w:tc>
        <w:tc>
          <w:tcPr>
            <w:tcW w:w="2119" w:type="dxa"/>
            <w:hideMark/>
          </w:tcPr>
          <w:p w14:paraId="72AEC75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Formation cuts/fills; camps; plants</w:t>
            </w:r>
          </w:p>
        </w:tc>
        <w:tc>
          <w:tcPr>
            <w:tcW w:w="2052" w:type="dxa"/>
            <w:hideMark/>
          </w:tcPr>
          <w:p w14:paraId="3623176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Contamination; fertility loss</w:t>
            </w:r>
          </w:p>
        </w:tc>
        <w:tc>
          <w:tcPr>
            <w:tcW w:w="3081" w:type="dxa"/>
            <w:hideMark/>
          </w:tcPr>
          <w:p w14:paraId="37DFCBF6" w14:textId="77777777" w:rsidR="00236FCB"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Soil &amp; Borrow Management</w:t>
            </w:r>
            <w:r w:rsidRPr="002B3F36">
              <w:rPr>
                <w:rFonts w:ascii="Arial" w:eastAsia="Times New Roman" w:hAnsi="Arial" w:cs="Arial"/>
                <w:sz w:val="20"/>
                <w:szCs w:val="20"/>
              </w:rPr>
              <w:t>; topsoil salvage &amp; protected stockpiles (&lt;3 m);</w:t>
            </w:r>
          </w:p>
          <w:p w14:paraId="7B456B02" w14:textId="06956FAD" w:rsidR="00D82FB3" w:rsidRPr="002B3F36" w:rsidRDefault="00236FCB" w:rsidP="00D82FB3">
            <w:pPr>
              <w:rPr>
                <w:rFonts w:ascii="Arial" w:eastAsia="Times New Roman" w:hAnsi="Arial" w:cs="Arial"/>
                <w:sz w:val="20"/>
                <w:szCs w:val="20"/>
              </w:rPr>
            </w:pPr>
            <w:r w:rsidRPr="002B3F36">
              <w:rPr>
                <w:rFonts w:ascii="Arial" w:eastAsia="Times New Roman" w:hAnsi="Arial" w:cs="Arial"/>
                <w:sz w:val="20"/>
                <w:szCs w:val="20"/>
              </w:rPr>
              <w:t>I</w:t>
            </w:r>
            <w:r w:rsidR="00D82FB3" w:rsidRPr="002B3F36">
              <w:rPr>
                <w:rFonts w:ascii="Arial" w:eastAsia="Times New Roman" w:hAnsi="Arial" w:cs="Arial"/>
                <w:sz w:val="20"/>
                <w:szCs w:val="20"/>
              </w:rPr>
              <w:t>mpermeable pads for refuel/maintenance; oil-water separators; spill kits; licensed hazardous waste disposal</w:t>
            </w:r>
          </w:p>
        </w:tc>
        <w:tc>
          <w:tcPr>
            <w:tcW w:w="2052" w:type="dxa"/>
            <w:hideMark/>
          </w:tcPr>
          <w:p w14:paraId="31272C74" w14:textId="2DE9FCC4"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46E13A6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16A0BC43" w14:textId="77777777" w:rsidTr="4935C770">
        <w:tc>
          <w:tcPr>
            <w:tcW w:w="2070" w:type="dxa"/>
            <w:hideMark/>
          </w:tcPr>
          <w:p w14:paraId="37100C73" w14:textId="77777777" w:rsidR="00D82FB3" w:rsidRPr="002B3F36" w:rsidRDefault="00D82FB3" w:rsidP="00D82FB3">
            <w:pPr>
              <w:rPr>
                <w:rFonts w:ascii="Arial" w:eastAsia="Times New Roman" w:hAnsi="Arial" w:cs="Arial"/>
                <w:sz w:val="20"/>
                <w:szCs w:val="20"/>
              </w:rPr>
            </w:pPr>
          </w:p>
        </w:tc>
        <w:tc>
          <w:tcPr>
            <w:tcW w:w="810" w:type="dxa"/>
            <w:hideMark/>
          </w:tcPr>
          <w:p w14:paraId="7DBA71F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74B3EB6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Water resources &amp; quality</w:t>
            </w:r>
          </w:p>
        </w:tc>
        <w:tc>
          <w:tcPr>
            <w:tcW w:w="2119" w:type="dxa"/>
            <w:hideMark/>
          </w:tcPr>
          <w:p w14:paraId="355B797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Abstraction; in-channel works; camp sewage; plant washdown</w:t>
            </w:r>
          </w:p>
        </w:tc>
        <w:tc>
          <w:tcPr>
            <w:tcW w:w="2052" w:type="dxa"/>
            <w:hideMark/>
          </w:tcPr>
          <w:p w14:paraId="114F54A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Depletion; turbidity; pollution</w:t>
            </w:r>
          </w:p>
        </w:tc>
        <w:tc>
          <w:tcPr>
            <w:tcW w:w="3081" w:type="dxa"/>
            <w:hideMark/>
          </w:tcPr>
          <w:p w14:paraId="2B6F214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Water Resources Plan</w:t>
            </w:r>
            <w:r w:rsidRPr="002B3F36">
              <w:rPr>
                <w:rFonts w:ascii="Arial" w:eastAsia="Times New Roman" w:hAnsi="Arial" w:cs="Arial"/>
                <w:sz w:val="20"/>
                <w:szCs w:val="20"/>
              </w:rPr>
              <w:t>; permits &amp; water balance; buffers to water; ESC (silt fences, basins); no refuel/wash in protection zones; septic/WWTP for camps; portable toilets with septage hauling; settle/treat silty waters</w:t>
            </w:r>
          </w:p>
        </w:tc>
        <w:tc>
          <w:tcPr>
            <w:tcW w:w="2052" w:type="dxa"/>
            <w:hideMark/>
          </w:tcPr>
          <w:p w14:paraId="615D34E7" w14:textId="0492B888"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4FC3690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4E2E74DD" w14:textId="77777777" w:rsidTr="4935C770">
        <w:tc>
          <w:tcPr>
            <w:tcW w:w="2070" w:type="dxa"/>
            <w:hideMark/>
          </w:tcPr>
          <w:p w14:paraId="2F6308D8" w14:textId="77777777" w:rsidR="00D82FB3" w:rsidRPr="002B3F36" w:rsidRDefault="00D82FB3" w:rsidP="00D82FB3">
            <w:pPr>
              <w:rPr>
                <w:rFonts w:ascii="Arial" w:eastAsia="Times New Roman" w:hAnsi="Arial" w:cs="Arial"/>
                <w:sz w:val="20"/>
                <w:szCs w:val="20"/>
              </w:rPr>
            </w:pPr>
          </w:p>
        </w:tc>
        <w:tc>
          <w:tcPr>
            <w:tcW w:w="810" w:type="dxa"/>
            <w:hideMark/>
          </w:tcPr>
          <w:p w14:paraId="05570A4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77322E6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Air quality</w:t>
            </w:r>
          </w:p>
        </w:tc>
        <w:tc>
          <w:tcPr>
            <w:tcW w:w="2119" w:type="dxa"/>
            <w:hideMark/>
          </w:tcPr>
          <w:p w14:paraId="5B2AA20B" w14:textId="30A96F19"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Earthworks; haulage; crushers/</w:t>
            </w:r>
            <w:r w:rsidR="00DE341F" w:rsidRPr="002B3F36">
              <w:rPr>
                <w:rFonts w:ascii="Arial" w:eastAsia="Times New Roman" w:hAnsi="Arial" w:cs="Arial"/>
                <w:sz w:val="20"/>
                <w:szCs w:val="20"/>
              </w:rPr>
              <w:t>cement</w:t>
            </w:r>
            <w:r w:rsidRPr="002B3F36">
              <w:rPr>
                <w:rFonts w:ascii="Arial" w:eastAsia="Times New Roman" w:hAnsi="Arial" w:cs="Arial"/>
                <w:sz w:val="20"/>
                <w:szCs w:val="20"/>
              </w:rPr>
              <w:t>; DG sets</w:t>
            </w:r>
          </w:p>
        </w:tc>
        <w:tc>
          <w:tcPr>
            <w:tcW w:w="2052" w:type="dxa"/>
            <w:hideMark/>
          </w:tcPr>
          <w:p w14:paraId="0D97799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Dust/PM; exhaust</w:t>
            </w:r>
          </w:p>
        </w:tc>
        <w:tc>
          <w:tcPr>
            <w:tcW w:w="3081" w:type="dxa"/>
            <w:hideMark/>
          </w:tcPr>
          <w:p w14:paraId="0721019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Air Plan</w:t>
            </w:r>
            <w:r w:rsidRPr="002B3F36">
              <w:rPr>
                <w:rFonts w:ascii="Arial" w:eastAsia="Times New Roman" w:hAnsi="Arial" w:cs="Arial"/>
                <w:sz w:val="20"/>
                <w:szCs w:val="20"/>
              </w:rPr>
              <w:t>; cover loads; speed control; regular watering; equipment maintenance; low-sulfur diesel; adequate stack heights; no open burning; periodic monitoring</w:t>
            </w:r>
          </w:p>
        </w:tc>
        <w:tc>
          <w:tcPr>
            <w:tcW w:w="2052" w:type="dxa"/>
            <w:hideMark/>
          </w:tcPr>
          <w:p w14:paraId="1846758B" w14:textId="0BBDFE45"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621802C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747BE258" w14:textId="77777777" w:rsidTr="4935C770">
        <w:tc>
          <w:tcPr>
            <w:tcW w:w="2070" w:type="dxa"/>
            <w:hideMark/>
          </w:tcPr>
          <w:p w14:paraId="67461873" w14:textId="77777777" w:rsidR="00D82FB3" w:rsidRPr="002B3F36" w:rsidRDefault="00D82FB3" w:rsidP="00D82FB3">
            <w:pPr>
              <w:rPr>
                <w:rFonts w:ascii="Arial" w:eastAsia="Times New Roman" w:hAnsi="Arial" w:cs="Arial"/>
                <w:sz w:val="20"/>
                <w:szCs w:val="20"/>
              </w:rPr>
            </w:pPr>
          </w:p>
        </w:tc>
        <w:tc>
          <w:tcPr>
            <w:tcW w:w="810" w:type="dxa"/>
            <w:hideMark/>
          </w:tcPr>
          <w:p w14:paraId="0724EFA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2F09FD5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Noise &amp; vibration</w:t>
            </w:r>
          </w:p>
        </w:tc>
        <w:tc>
          <w:tcPr>
            <w:tcW w:w="2119" w:type="dxa"/>
            <w:hideMark/>
          </w:tcPr>
          <w:p w14:paraId="2D496E4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Heavy plant; crushing; pile/compaction</w:t>
            </w:r>
          </w:p>
        </w:tc>
        <w:tc>
          <w:tcPr>
            <w:tcW w:w="2052" w:type="dxa"/>
            <w:hideMark/>
          </w:tcPr>
          <w:p w14:paraId="7518EBB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Community &amp; worker exposure</w:t>
            </w:r>
          </w:p>
        </w:tc>
        <w:tc>
          <w:tcPr>
            <w:tcW w:w="3081" w:type="dxa"/>
            <w:hideMark/>
          </w:tcPr>
          <w:p w14:paraId="5818B037"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Noise/Vibration Plan</w:t>
            </w:r>
            <w:r w:rsidRPr="002B3F36">
              <w:rPr>
                <w:rFonts w:ascii="Arial" w:eastAsia="Times New Roman" w:hAnsi="Arial" w:cs="Arial"/>
                <w:sz w:val="20"/>
                <w:szCs w:val="20"/>
              </w:rPr>
              <w:t xml:space="preserve">; baseline; silencers; schedule high-noise works daytime; setbacks for </w:t>
            </w:r>
            <w:r w:rsidRPr="002B3F36">
              <w:rPr>
                <w:rFonts w:ascii="Arial" w:eastAsia="Times New Roman" w:hAnsi="Arial" w:cs="Arial"/>
                <w:sz w:val="20"/>
                <w:szCs w:val="20"/>
              </w:rPr>
              <w:lastRenderedPageBreak/>
              <w:t>plants; ear protection; monitoring &amp; corrective actions</w:t>
            </w:r>
          </w:p>
        </w:tc>
        <w:tc>
          <w:tcPr>
            <w:tcW w:w="2052" w:type="dxa"/>
            <w:hideMark/>
          </w:tcPr>
          <w:p w14:paraId="462CFFE1" w14:textId="12D04DC6"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lastRenderedPageBreak/>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476122A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57C002CF" w14:textId="77777777" w:rsidTr="4935C770">
        <w:tc>
          <w:tcPr>
            <w:tcW w:w="2070" w:type="dxa"/>
            <w:hideMark/>
          </w:tcPr>
          <w:p w14:paraId="4FA73D35" w14:textId="77777777" w:rsidR="00D82FB3" w:rsidRPr="002B3F36" w:rsidRDefault="00D82FB3" w:rsidP="00D82FB3">
            <w:pPr>
              <w:rPr>
                <w:rFonts w:ascii="Arial" w:eastAsia="Times New Roman" w:hAnsi="Arial" w:cs="Arial"/>
                <w:sz w:val="20"/>
                <w:szCs w:val="20"/>
              </w:rPr>
            </w:pPr>
          </w:p>
        </w:tc>
        <w:tc>
          <w:tcPr>
            <w:tcW w:w="810" w:type="dxa"/>
            <w:hideMark/>
          </w:tcPr>
          <w:p w14:paraId="5DE4022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0F34761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Waste &amp; hazardous materials</w:t>
            </w:r>
          </w:p>
        </w:tc>
        <w:tc>
          <w:tcPr>
            <w:tcW w:w="2119" w:type="dxa"/>
            <w:hideMark/>
          </w:tcPr>
          <w:p w14:paraId="6AA2AF2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Camps; works; plants</w:t>
            </w:r>
          </w:p>
        </w:tc>
        <w:tc>
          <w:tcPr>
            <w:tcW w:w="2052" w:type="dxa"/>
            <w:hideMark/>
          </w:tcPr>
          <w:p w14:paraId="7E26A62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Improper disposal; spills</w:t>
            </w:r>
          </w:p>
        </w:tc>
        <w:tc>
          <w:tcPr>
            <w:tcW w:w="3081" w:type="dxa"/>
            <w:hideMark/>
          </w:tcPr>
          <w:p w14:paraId="2BC267A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Waste &amp; HazMat Plan</w:t>
            </w:r>
            <w:r w:rsidRPr="002B3F36">
              <w:rPr>
                <w:rFonts w:ascii="Arial" w:eastAsia="Times New Roman" w:hAnsi="Arial" w:cs="Arial"/>
                <w:sz w:val="20"/>
                <w:szCs w:val="20"/>
              </w:rPr>
              <w:t>; minimize &amp; segregate; labeled bins; licensed removal; recycle construction waste; hazardous storage per SDS</w:t>
            </w:r>
          </w:p>
        </w:tc>
        <w:tc>
          <w:tcPr>
            <w:tcW w:w="2052" w:type="dxa"/>
            <w:hideMark/>
          </w:tcPr>
          <w:p w14:paraId="5C0FB1B5" w14:textId="5C445AF4"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61215B7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0F96480D" w14:textId="77777777" w:rsidTr="4935C770">
        <w:tc>
          <w:tcPr>
            <w:tcW w:w="2070" w:type="dxa"/>
            <w:hideMark/>
          </w:tcPr>
          <w:p w14:paraId="7C3899B6" w14:textId="77777777" w:rsidR="00D82FB3" w:rsidRPr="002B3F36" w:rsidRDefault="00D82FB3" w:rsidP="00D82FB3">
            <w:pPr>
              <w:rPr>
                <w:rFonts w:ascii="Arial" w:eastAsia="Times New Roman" w:hAnsi="Arial" w:cs="Arial"/>
                <w:sz w:val="20"/>
                <w:szCs w:val="20"/>
              </w:rPr>
            </w:pPr>
          </w:p>
        </w:tc>
        <w:tc>
          <w:tcPr>
            <w:tcW w:w="810" w:type="dxa"/>
            <w:hideMark/>
          </w:tcPr>
          <w:p w14:paraId="226DC52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PS4</w:t>
            </w:r>
          </w:p>
        </w:tc>
        <w:tc>
          <w:tcPr>
            <w:tcW w:w="1923" w:type="dxa"/>
            <w:hideMark/>
          </w:tcPr>
          <w:p w14:paraId="6830D0D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Community health, safety &amp; security</w:t>
            </w:r>
          </w:p>
        </w:tc>
        <w:tc>
          <w:tcPr>
            <w:tcW w:w="2119" w:type="dxa"/>
            <w:hideMark/>
          </w:tcPr>
          <w:p w14:paraId="33C7BA7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Haul roads; level-crossing works; open excavations; cranes</w:t>
            </w:r>
          </w:p>
        </w:tc>
        <w:tc>
          <w:tcPr>
            <w:tcW w:w="2052" w:type="dxa"/>
            <w:hideMark/>
          </w:tcPr>
          <w:p w14:paraId="104A421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Public accidents; livestock conflicts</w:t>
            </w:r>
          </w:p>
        </w:tc>
        <w:tc>
          <w:tcPr>
            <w:tcW w:w="3081" w:type="dxa"/>
            <w:hideMark/>
          </w:tcPr>
          <w:p w14:paraId="0BD5A5A0" w14:textId="063751ED"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Traffic &amp; Access Plan</w:t>
            </w:r>
            <w:r w:rsidRPr="002B3F36">
              <w:rPr>
                <w:rFonts w:ascii="Arial" w:eastAsia="Times New Roman" w:hAnsi="Arial" w:cs="Arial"/>
                <w:sz w:val="20"/>
                <w:szCs w:val="20"/>
              </w:rPr>
              <w:t xml:space="preserve"> for </w:t>
            </w:r>
            <w:r w:rsidR="004B4042" w:rsidRPr="002B3F36">
              <w:rPr>
                <w:rFonts w:ascii="Arial" w:eastAsia="Times New Roman" w:hAnsi="Arial" w:cs="Arial"/>
                <w:sz w:val="20"/>
                <w:szCs w:val="20"/>
              </w:rPr>
              <w:t xml:space="preserve">construction access </w:t>
            </w:r>
            <w:r w:rsidRPr="002B3F36">
              <w:rPr>
                <w:rFonts w:ascii="Arial" w:eastAsia="Times New Roman" w:hAnsi="Arial" w:cs="Arial"/>
                <w:sz w:val="20"/>
                <w:szCs w:val="20"/>
              </w:rPr>
              <w:t>roads; barriers/fencing/lighting/signage; secure excavations; community notices; security proportional &amp; trained in VP</w:t>
            </w:r>
          </w:p>
        </w:tc>
        <w:tc>
          <w:tcPr>
            <w:tcW w:w="2052" w:type="dxa"/>
            <w:hideMark/>
          </w:tcPr>
          <w:p w14:paraId="1E3FB2FC" w14:textId="45621B0E"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0CC22872"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6C06F3E7" w14:textId="77777777" w:rsidTr="4935C770">
        <w:tc>
          <w:tcPr>
            <w:tcW w:w="2070" w:type="dxa"/>
            <w:hideMark/>
          </w:tcPr>
          <w:p w14:paraId="1356DBC3" w14:textId="77777777" w:rsidR="00D82FB3" w:rsidRPr="002B3F36" w:rsidRDefault="00D82FB3" w:rsidP="00D82FB3">
            <w:pPr>
              <w:rPr>
                <w:rFonts w:ascii="Arial" w:eastAsia="Times New Roman" w:hAnsi="Arial" w:cs="Arial"/>
                <w:sz w:val="20"/>
                <w:szCs w:val="20"/>
              </w:rPr>
            </w:pPr>
          </w:p>
        </w:tc>
        <w:tc>
          <w:tcPr>
            <w:tcW w:w="810" w:type="dxa"/>
            <w:hideMark/>
          </w:tcPr>
          <w:p w14:paraId="063994C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w:t>
            </w:r>
          </w:p>
        </w:tc>
        <w:tc>
          <w:tcPr>
            <w:tcW w:w="1923" w:type="dxa"/>
            <w:hideMark/>
          </w:tcPr>
          <w:p w14:paraId="6A0DF82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Flora</w:t>
            </w:r>
          </w:p>
        </w:tc>
        <w:tc>
          <w:tcPr>
            <w:tcW w:w="2119" w:type="dxa"/>
            <w:hideMark/>
          </w:tcPr>
          <w:p w14:paraId="34F4CF4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Clearing/grubbing</w:t>
            </w:r>
          </w:p>
        </w:tc>
        <w:tc>
          <w:tcPr>
            <w:tcW w:w="2052" w:type="dxa"/>
            <w:hideMark/>
          </w:tcPr>
          <w:p w14:paraId="2EC1712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Vegetation loss</w:t>
            </w:r>
          </w:p>
        </w:tc>
        <w:tc>
          <w:tcPr>
            <w:tcW w:w="3081" w:type="dxa"/>
            <w:hideMark/>
          </w:tcPr>
          <w:p w14:paraId="4E1D9C4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Minimize footprint; permits; ball &amp; transplant where feasible; </w:t>
            </w:r>
            <w:r w:rsidRPr="002B3F36">
              <w:rPr>
                <w:rFonts w:ascii="Arial" w:eastAsia="Times New Roman" w:hAnsi="Arial" w:cs="Arial"/>
                <w:b/>
                <w:bCs/>
                <w:sz w:val="20"/>
                <w:szCs w:val="20"/>
              </w:rPr>
              <w:t>10:1 compensatory planting</w:t>
            </w:r>
            <w:r w:rsidRPr="002B3F36">
              <w:rPr>
                <w:rFonts w:ascii="Arial" w:eastAsia="Times New Roman" w:hAnsi="Arial" w:cs="Arial"/>
                <w:sz w:val="20"/>
                <w:szCs w:val="20"/>
              </w:rPr>
              <w:t>; landscaping; no off-track driving; dust suppression; no grass burning/foraging</w:t>
            </w:r>
          </w:p>
        </w:tc>
        <w:tc>
          <w:tcPr>
            <w:tcW w:w="2052" w:type="dxa"/>
            <w:hideMark/>
          </w:tcPr>
          <w:p w14:paraId="6101772E" w14:textId="5FB4CED0"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104617A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 + tree comp.</w:t>
            </w:r>
          </w:p>
        </w:tc>
      </w:tr>
      <w:tr w:rsidR="00D82FB3" w:rsidRPr="002B3F36" w14:paraId="45A0EE10" w14:textId="77777777" w:rsidTr="4935C770">
        <w:tc>
          <w:tcPr>
            <w:tcW w:w="2070" w:type="dxa"/>
            <w:hideMark/>
          </w:tcPr>
          <w:p w14:paraId="61C7DDA0" w14:textId="77777777" w:rsidR="00D82FB3" w:rsidRPr="002B3F36" w:rsidRDefault="00D82FB3" w:rsidP="00D82FB3">
            <w:pPr>
              <w:rPr>
                <w:rFonts w:ascii="Arial" w:eastAsia="Times New Roman" w:hAnsi="Arial" w:cs="Arial"/>
                <w:sz w:val="20"/>
                <w:szCs w:val="20"/>
              </w:rPr>
            </w:pPr>
          </w:p>
        </w:tc>
        <w:tc>
          <w:tcPr>
            <w:tcW w:w="810" w:type="dxa"/>
            <w:hideMark/>
          </w:tcPr>
          <w:p w14:paraId="4B8E34F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w:t>
            </w:r>
          </w:p>
        </w:tc>
        <w:tc>
          <w:tcPr>
            <w:tcW w:w="1923" w:type="dxa"/>
            <w:hideMark/>
          </w:tcPr>
          <w:p w14:paraId="2991D80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Fauna—birds</w:t>
            </w:r>
          </w:p>
        </w:tc>
        <w:tc>
          <w:tcPr>
            <w:tcW w:w="2119" w:type="dxa"/>
            <w:hideMark/>
          </w:tcPr>
          <w:p w14:paraId="5B1902D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Tree removal; new/relocated OHL; lighting</w:t>
            </w:r>
          </w:p>
        </w:tc>
        <w:tc>
          <w:tcPr>
            <w:tcW w:w="2052" w:type="dxa"/>
            <w:hideMark/>
          </w:tcPr>
          <w:p w14:paraId="698E054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Nest disturbance; electrocution; light disorientation</w:t>
            </w:r>
          </w:p>
        </w:tc>
        <w:tc>
          <w:tcPr>
            <w:tcW w:w="3081" w:type="dxa"/>
            <w:hideMark/>
          </w:tcPr>
          <w:p w14:paraId="086E8B6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Avoid </w:t>
            </w:r>
            <w:r w:rsidRPr="002B3F36">
              <w:rPr>
                <w:rFonts w:ascii="Arial" w:eastAsia="Times New Roman" w:hAnsi="Arial" w:cs="Arial"/>
                <w:b/>
                <w:bCs/>
                <w:sz w:val="20"/>
                <w:szCs w:val="20"/>
              </w:rPr>
              <w:t>Apr–Aug</w:t>
            </w:r>
            <w:r w:rsidRPr="002B3F36">
              <w:rPr>
                <w:rFonts w:ascii="Arial" w:eastAsia="Times New Roman" w:hAnsi="Arial" w:cs="Arial"/>
                <w:sz w:val="20"/>
                <w:szCs w:val="20"/>
              </w:rPr>
              <w:t xml:space="preserve"> nesting; replace raptor nests with </w:t>
            </w:r>
            <w:r w:rsidRPr="002B3F36">
              <w:rPr>
                <w:rFonts w:ascii="Arial" w:eastAsia="Times New Roman" w:hAnsi="Arial" w:cs="Arial"/>
                <w:b/>
                <w:bCs/>
                <w:sz w:val="20"/>
                <w:szCs w:val="20"/>
              </w:rPr>
              <w:t>3:1 artificial nests</w:t>
            </w:r>
            <w:r w:rsidRPr="002B3F36">
              <w:rPr>
                <w:rFonts w:ascii="Arial" w:eastAsia="Times New Roman" w:hAnsi="Arial" w:cs="Arial"/>
                <w:sz w:val="20"/>
                <w:szCs w:val="20"/>
              </w:rPr>
              <w:t xml:space="preserve"> sited ≥500 m from works &amp; 3–5 km apart; bird-safe powerline (SIP, insulating caps, suspended insulators); directional/“ground” lighting; migration-season dimming schedule</w:t>
            </w:r>
          </w:p>
        </w:tc>
        <w:tc>
          <w:tcPr>
            <w:tcW w:w="2052" w:type="dxa"/>
            <w:hideMark/>
          </w:tcPr>
          <w:p w14:paraId="13E7CBBD" w14:textId="366EDC8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 Biodiversity specialist</w:t>
            </w:r>
          </w:p>
        </w:tc>
        <w:tc>
          <w:tcPr>
            <w:tcW w:w="1134" w:type="dxa"/>
            <w:hideMark/>
          </w:tcPr>
          <w:p w14:paraId="3E7FBDC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4BCF7AD7" w14:textId="77777777" w:rsidTr="4935C770">
        <w:tc>
          <w:tcPr>
            <w:tcW w:w="2070" w:type="dxa"/>
            <w:hideMark/>
          </w:tcPr>
          <w:p w14:paraId="49D9A312" w14:textId="77777777" w:rsidR="00D82FB3" w:rsidRPr="002B3F36" w:rsidRDefault="00D82FB3" w:rsidP="00D82FB3">
            <w:pPr>
              <w:rPr>
                <w:rFonts w:ascii="Arial" w:eastAsia="Times New Roman" w:hAnsi="Arial" w:cs="Arial"/>
                <w:sz w:val="20"/>
                <w:szCs w:val="20"/>
              </w:rPr>
            </w:pPr>
          </w:p>
        </w:tc>
        <w:tc>
          <w:tcPr>
            <w:tcW w:w="810" w:type="dxa"/>
            <w:hideMark/>
          </w:tcPr>
          <w:p w14:paraId="3D51B96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w:t>
            </w:r>
          </w:p>
        </w:tc>
        <w:tc>
          <w:tcPr>
            <w:tcW w:w="1923" w:type="dxa"/>
            <w:hideMark/>
          </w:tcPr>
          <w:p w14:paraId="0342E31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Fauna—reptiles</w:t>
            </w:r>
          </w:p>
        </w:tc>
        <w:tc>
          <w:tcPr>
            <w:tcW w:w="2119" w:type="dxa"/>
            <w:hideMark/>
          </w:tcPr>
          <w:p w14:paraId="380F8D9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Trenches; pits</w:t>
            </w:r>
          </w:p>
        </w:tc>
        <w:tc>
          <w:tcPr>
            <w:tcW w:w="2052" w:type="dxa"/>
            <w:hideMark/>
          </w:tcPr>
          <w:p w14:paraId="47B72987" w14:textId="25C90AC4"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Entrapment/</w:t>
            </w:r>
            <w:r w:rsidR="00025CCF">
              <w:rPr>
                <w:rFonts w:ascii="Arial" w:eastAsia="Times New Roman" w:hAnsi="Arial" w:cs="Arial"/>
                <w:sz w:val="20"/>
                <w:szCs w:val="20"/>
              </w:rPr>
              <w:t xml:space="preserve"> </w:t>
            </w:r>
            <w:r w:rsidRPr="002B3F36">
              <w:rPr>
                <w:rFonts w:ascii="Arial" w:eastAsia="Times New Roman" w:hAnsi="Arial" w:cs="Arial"/>
                <w:sz w:val="20"/>
                <w:szCs w:val="20"/>
              </w:rPr>
              <w:t>mortality</w:t>
            </w:r>
          </w:p>
        </w:tc>
        <w:tc>
          <w:tcPr>
            <w:tcW w:w="3081" w:type="dxa"/>
            <w:hideMark/>
          </w:tcPr>
          <w:p w14:paraId="58C10AD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Daily trench inspections &amp; fauna rescue; time works outside </w:t>
            </w:r>
            <w:r w:rsidRPr="002B3F36">
              <w:rPr>
                <w:rFonts w:ascii="Arial" w:eastAsia="Times New Roman" w:hAnsi="Arial" w:cs="Arial"/>
                <w:b/>
                <w:bCs/>
                <w:sz w:val="20"/>
                <w:szCs w:val="20"/>
              </w:rPr>
              <w:t>Apr–May</w:t>
            </w:r>
            <w:r w:rsidRPr="002B3F36">
              <w:rPr>
                <w:rFonts w:ascii="Arial" w:eastAsia="Times New Roman" w:hAnsi="Arial" w:cs="Arial"/>
                <w:sz w:val="20"/>
                <w:szCs w:val="20"/>
              </w:rPr>
              <w:t xml:space="preserve"> breeding where feasible</w:t>
            </w:r>
          </w:p>
        </w:tc>
        <w:tc>
          <w:tcPr>
            <w:tcW w:w="2052" w:type="dxa"/>
            <w:hideMark/>
          </w:tcPr>
          <w:p w14:paraId="00C8C78D" w14:textId="560EEE26"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319C149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06975FC7" w14:textId="77777777" w:rsidTr="4935C770">
        <w:tc>
          <w:tcPr>
            <w:tcW w:w="2070" w:type="dxa"/>
            <w:hideMark/>
          </w:tcPr>
          <w:p w14:paraId="71A86B19" w14:textId="77777777" w:rsidR="00D82FB3" w:rsidRPr="002B3F36" w:rsidRDefault="00D82FB3" w:rsidP="00D82FB3">
            <w:pPr>
              <w:rPr>
                <w:rFonts w:ascii="Arial" w:eastAsia="Times New Roman" w:hAnsi="Arial" w:cs="Arial"/>
                <w:sz w:val="20"/>
                <w:szCs w:val="20"/>
              </w:rPr>
            </w:pPr>
          </w:p>
        </w:tc>
        <w:tc>
          <w:tcPr>
            <w:tcW w:w="810" w:type="dxa"/>
            <w:hideMark/>
          </w:tcPr>
          <w:p w14:paraId="6521904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w:t>
            </w:r>
          </w:p>
        </w:tc>
        <w:tc>
          <w:tcPr>
            <w:tcW w:w="1923" w:type="dxa"/>
            <w:hideMark/>
          </w:tcPr>
          <w:p w14:paraId="53A8A06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Fauna—fish/amphibians</w:t>
            </w:r>
          </w:p>
        </w:tc>
        <w:tc>
          <w:tcPr>
            <w:tcW w:w="2119" w:type="dxa"/>
            <w:hideMark/>
          </w:tcPr>
          <w:p w14:paraId="071D5FA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Water intakes; in-channel works</w:t>
            </w:r>
          </w:p>
        </w:tc>
        <w:tc>
          <w:tcPr>
            <w:tcW w:w="2052" w:type="dxa"/>
            <w:hideMark/>
          </w:tcPr>
          <w:p w14:paraId="0CEAC51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Intake mortality; siltation</w:t>
            </w:r>
          </w:p>
        </w:tc>
        <w:tc>
          <w:tcPr>
            <w:tcW w:w="3081" w:type="dxa"/>
            <w:hideMark/>
          </w:tcPr>
          <w:p w14:paraId="2598954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Fish screens; avoid spawning/wintering sites; timing windows; no wastewater discharge to channels; waste removal from crews</w:t>
            </w:r>
          </w:p>
        </w:tc>
        <w:tc>
          <w:tcPr>
            <w:tcW w:w="2052" w:type="dxa"/>
            <w:hideMark/>
          </w:tcPr>
          <w:p w14:paraId="69A43B14" w14:textId="15D3101C"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5C7B707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71DEA55F" w14:textId="77777777" w:rsidTr="4935C770">
        <w:tc>
          <w:tcPr>
            <w:tcW w:w="2070" w:type="dxa"/>
            <w:hideMark/>
          </w:tcPr>
          <w:p w14:paraId="78420C23" w14:textId="77777777" w:rsidR="00D82FB3" w:rsidRPr="002B3F36" w:rsidRDefault="00D82FB3" w:rsidP="00D82FB3">
            <w:pPr>
              <w:rPr>
                <w:rFonts w:ascii="Arial" w:eastAsia="Times New Roman" w:hAnsi="Arial" w:cs="Arial"/>
                <w:sz w:val="20"/>
                <w:szCs w:val="20"/>
              </w:rPr>
            </w:pPr>
          </w:p>
        </w:tc>
        <w:tc>
          <w:tcPr>
            <w:tcW w:w="810" w:type="dxa"/>
            <w:hideMark/>
          </w:tcPr>
          <w:p w14:paraId="18D8996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 (SPNA)</w:t>
            </w:r>
          </w:p>
        </w:tc>
        <w:tc>
          <w:tcPr>
            <w:tcW w:w="1923" w:type="dxa"/>
            <w:hideMark/>
          </w:tcPr>
          <w:p w14:paraId="48827DB4" w14:textId="5D1DAFA7" w:rsidR="00D82FB3" w:rsidRPr="002B3F36" w:rsidRDefault="00D82FB3" w:rsidP="00D740F3">
            <w:pPr>
              <w:rPr>
                <w:rFonts w:ascii="Arial" w:eastAsia="Times New Roman" w:hAnsi="Arial" w:cs="Arial"/>
                <w:sz w:val="20"/>
                <w:szCs w:val="20"/>
              </w:rPr>
            </w:pPr>
            <w:r w:rsidRPr="002B3F36">
              <w:rPr>
                <w:rFonts w:ascii="Arial" w:eastAsia="Times New Roman" w:hAnsi="Arial" w:cs="Arial"/>
                <w:b/>
                <w:bCs/>
                <w:sz w:val="20"/>
                <w:szCs w:val="20"/>
              </w:rPr>
              <w:t>Andasai SNS clusters</w:t>
            </w:r>
            <w:r w:rsidR="00D740F3" w:rsidRPr="002B3F36">
              <w:rPr>
                <w:rFonts w:ascii="Arial" w:eastAsia="Times New Roman" w:hAnsi="Arial" w:cs="Arial"/>
                <w:b/>
                <w:bCs/>
                <w:sz w:val="20"/>
                <w:szCs w:val="20"/>
              </w:rPr>
              <w:t xml:space="preserve"> </w:t>
            </w:r>
            <w:r w:rsidR="00D740F3" w:rsidRPr="00A846C7">
              <w:rPr>
                <w:rFonts w:ascii="Arial" w:eastAsia="Times New Roman" w:hAnsi="Arial" w:cs="Arial"/>
                <w:b/>
                <w:bCs/>
                <w:sz w:val="20"/>
                <w:szCs w:val="20"/>
              </w:rPr>
              <w:t>and IBAs/KBAs</w:t>
            </w:r>
          </w:p>
        </w:tc>
        <w:tc>
          <w:tcPr>
            <w:tcW w:w="2119" w:type="dxa"/>
            <w:hideMark/>
          </w:tcPr>
          <w:p w14:paraId="511D4871" w14:textId="03EE3693" w:rsidR="00D82FB3" w:rsidRPr="002B3F36" w:rsidRDefault="00D82FB3" w:rsidP="00D740F3">
            <w:pPr>
              <w:rPr>
                <w:rFonts w:ascii="Arial" w:eastAsia="Times New Roman" w:hAnsi="Arial" w:cs="Arial"/>
                <w:sz w:val="20"/>
                <w:szCs w:val="20"/>
              </w:rPr>
            </w:pPr>
            <w:r w:rsidRPr="002B3F36">
              <w:rPr>
                <w:rFonts w:ascii="Arial" w:eastAsia="Times New Roman" w:hAnsi="Arial" w:cs="Arial"/>
                <w:sz w:val="20"/>
                <w:szCs w:val="20"/>
              </w:rPr>
              <w:t>Works within</w:t>
            </w:r>
            <w:r w:rsidR="00D740F3" w:rsidRPr="002B3F36">
              <w:rPr>
                <w:rFonts w:ascii="Arial" w:eastAsia="Times New Roman" w:hAnsi="Arial" w:cs="Arial"/>
                <w:sz w:val="20"/>
                <w:szCs w:val="20"/>
              </w:rPr>
              <w:t xml:space="preserve"> </w:t>
            </w:r>
            <w:r w:rsidRPr="002B3F36">
              <w:rPr>
                <w:rFonts w:ascii="Arial" w:eastAsia="Times New Roman" w:hAnsi="Arial" w:cs="Arial"/>
                <w:sz w:val="20"/>
                <w:szCs w:val="20"/>
              </w:rPr>
              <w:t xml:space="preserve"> cluster boundaries/buffers</w:t>
            </w:r>
          </w:p>
        </w:tc>
        <w:tc>
          <w:tcPr>
            <w:tcW w:w="2052" w:type="dxa"/>
            <w:hideMark/>
          </w:tcPr>
          <w:p w14:paraId="6B71000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Habitat disturbance; non-compliance</w:t>
            </w:r>
          </w:p>
        </w:tc>
        <w:tc>
          <w:tcPr>
            <w:tcW w:w="3081" w:type="dxa"/>
            <w:hideMark/>
          </w:tcPr>
          <w:p w14:paraId="691AD26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Enforce </w:t>
            </w:r>
            <w:r w:rsidRPr="002B3F36">
              <w:rPr>
                <w:rFonts w:ascii="Arial" w:eastAsia="Times New Roman" w:hAnsi="Arial" w:cs="Arial"/>
                <w:b/>
                <w:bCs/>
                <w:sz w:val="20"/>
                <w:szCs w:val="20"/>
              </w:rPr>
              <w:t>SPNA obligations &amp; prohibitions</w:t>
            </w:r>
            <w:r w:rsidRPr="002B3F36">
              <w:rPr>
                <w:rFonts w:ascii="Arial" w:eastAsia="Times New Roman" w:hAnsi="Arial" w:cs="Arial"/>
                <w:sz w:val="20"/>
                <w:szCs w:val="20"/>
              </w:rPr>
              <w:t xml:space="preserve"> (fire control, waste, chemicals transport, no hunting/collection); internal workforce rules (seasonal restrictions, speed on access roads, lighting schedule); allow PA inspections; compensatory measures if damage occurs</w:t>
            </w:r>
          </w:p>
        </w:tc>
        <w:tc>
          <w:tcPr>
            <w:tcW w:w="2052" w:type="dxa"/>
            <w:hideMark/>
          </w:tcPr>
          <w:p w14:paraId="450591CE" w14:textId="56E87D52"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(implement); </w:t>
            </w:r>
            <w:r w:rsidR="00A728DA" w:rsidRPr="002B3F36">
              <w:rPr>
                <w:rFonts w:ascii="Arial" w:eastAsia="Times New Roman" w:hAnsi="Arial" w:cs="Arial"/>
                <w:sz w:val="20"/>
                <w:szCs w:val="20"/>
              </w:rPr>
              <w:t>KTZ</w:t>
            </w:r>
            <w:r w:rsidRPr="002B3F36">
              <w:rPr>
                <w:rFonts w:ascii="Arial" w:eastAsia="Times New Roman" w:hAnsi="Arial" w:cs="Arial"/>
                <w:sz w:val="20"/>
                <w:szCs w:val="20"/>
              </w:rPr>
              <w:t>/CSC &amp; Sanctuary Admin (oversight)</w:t>
            </w:r>
          </w:p>
        </w:tc>
        <w:tc>
          <w:tcPr>
            <w:tcW w:w="1134" w:type="dxa"/>
            <w:hideMark/>
          </w:tcPr>
          <w:p w14:paraId="01B7590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1E0D8013" w14:textId="77777777" w:rsidTr="4935C770">
        <w:tc>
          <w:tcPr>
            <w:tcW w:w="2070" w:type="dxa"/>
            <w:hideMark/>
          </w:tcPr>
          <w:p w14:paraId="057B3331" w14:textId="77777777" w:rsidR="00D82FB3" w:rsidRPr="002B3F36" w:rsidRDefault="00D82FB3" w:rsidP="00D82FB3">
            <w:pPr>
              <w:rPr>
                <w:rFonts w:ascii="Arial" w:eastAsia="Times New Roman" w:hAnsi="Arial" w:cs="Arial"/>
                <w:sz w:val="20"/>
                <w:szCs w:val="20"/>
              </w:rPr>
            </w:pPr>
          </w:p>
        </w:tc>
        <w:tc>
          <w:tcPr>
            <w:tcW w:w="810" w:type="dxa"/>
            <w:hideMark/>
          </w:tcPr>
          <w:p w14:paraId="626784C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PS8</w:t>
            </w:r>
          </w:p>
        </w:tc>
        <w:tc>
          <w:tcPr>
            <w:tcW w:w="1923" w:type="dxa"/>
            <w:hideMark/>
          </w:tcPr>
          <w:p w14:paraId="385E16B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Cultural heritage</w:t>
            </w:r>
          </w:p>
        </w:tc>
        <w:tc>
          <w:tcPr>
            <w:tcW w:w="2119" w:type="dxa"/>
            <w:hideMark/>
          </w:tcPr>
          <w:p w14:paraId="0C9B5D4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Excavations/borrow</w:t>
            </w:r>
          </w:p>
        </w:tc>
        <w:tc>
          <w:tcPr>
            <w:tcW w:w="2052" w:type="dxa"/>
            <w:hideMark/>
          </w:tcPr>
          <w:p w14:paraId="3F572A7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Damage to undiscovered assets</w:t>
            </w:r>
          </w:p>
        </w:tc>
        <w:tc>
          <w:tcPr>
            <w:tcW w:w="3081" w:type="dxa"/>
            <w:hideMark/>
          </w:tcPr>
          <w:p w14:paraId="0E05DD3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Chance Finds Procedure</w:t>
            </w:r>
            <w:r w:rsidRPr="002B3F36">
              <w:rPr>
                <w:rFonts w:ascii="Arial" w:eastAsia="Times New Roman" w:hAnsi="Arial" w:cs="Arial"/>
                <w:sz w:val="20"/>
                <w:szCs w:val="20"/>
              </w:rPr>
              <w:t>: stop-work, secure, notify Ministry of Culture/KTZ, expert evaluation, resume only by direction; worker induction</w:t>
            </w:r>
          </w:p>
        </w:tc>
        <w:tc>
          <w:tcPr>
            <w:tcW w:w="2052" w:type="dxa"/>
            <w:hideMark/>
          </w:tcPr>
          <w:p w14:paraId="12057994" w14:textId="301CA2F5"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 xml:space="preserve">Contractor; </w:t>
            </w:r>
            <w:r w:rsidR="00A728DA" w:rsidRPr="002B3F36">
              <w:rPr>
                <w:rFonts w:ascii="Arial" w:eastAsia="Times New Roman" w:hAnsi="Arial" w:cs="Arial"/>
                <w:sz w:val="20"/>
                <w:szCs w:val="20"/>
              </w:rPr>
              <w:t>KTZ</w:t>
            </w:r>
            <w:r w:rsidRPr="002B3F36">
              <w:rPr>
                <w:rFonts w:ascii="Arial" w:eastAsia="Times New Roman" w:hAnsi="Arial" w:cs="Arial"/>
                <w:sz w:val="20"/>
                <w:szCs w:val="20"/>
              </w:rPr>
              <w:t>/CSC</w:t>
            </w:r>
          </w:p>
        </w:tc>
        <w:tc>
          <w:tcPr>
            <w:tcW w:w="1134" w:type="dxa"/>
            <w:hideMark/>
          </w:tcPr>
          <w:p w14:paraId="7715E56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EPC</w:t>
            </w:r>
          </w:p>
        </w:tc>
      </w:tr>
      <w:tr w:rsidR="00D82FB3" w:rsidRPr="002B3F36" w14:paraId="64493F81" w14:textId="77777777" w:rsidTr="4935C770">
        <w:tc>
          <w:tcPr>
            <w:tcW w:w="2070" w:type="dxa"/>
            <w:hideMark/>
          </w:tcPr>
          <w:p w14:paraId="06F7177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Operations</w:t>
            </w:r>
          </w:p>
        </w:tc>
        <w:tc>
          <w:tcPr>
            <w:tcW w:w="810" w:type="dxa"/>
            <w:hideMark/>
          </w:tcPr>
          <w:p w14:paraId="504C23C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PS2</w:t>
            </w:r>
          </w:p>
        </w:tc>
        <w:tc>
          <w:tcPr>
            <w:tcW w:w="1923" w:type="dxa"/>
            <w:hideMark/>
          </w:tcPr>
          <w:p w14:paraId="140519D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Worker OHS (maintenance)</w:t>
            </w:r>
          </w:p>
        </w:tc>
        <w:tc>
          <w:tcPr>
            <w:tcW w:w="2119" w:type="dxa"/>
            <w:hideMark/>
          </w:tcPr>
          <w:p w14:paraId="22BD9F82"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Track, structures, signaling, power</w:t>
            </w:r>
          </w:p>
        </w:tc>
        <w:tc>
          <w:tcPr>
            <w:tcW w:w="2052" w:type="dxa"/>
            <w:hideMark/>
          </w:tcPr>
          <w:p w14:paraId="5F9CF38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Injuries</w:t>
            </w:r>
          </w:p>
        </w:tc>
        <w:tc>
          <w:tcPr>
            <w:tcW w:w="3081" w:type="dxa"/>
            <w:hideMark/>
          </w:tcPr>
          <w:p w14:paraId="233654F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SOPs; PPE; track-outage protection; worksite traffic control; emergency preparedness</w:t>
            </w:r>
          </w:p>
        </w:tc>
        <w:tc>
          <w:tcPr>
            <w:tcW w:w="2052" w:type="dxa"/>
            <w:hideMark/>
          </w:tcPr>
          <w:p w14:paraId="7666249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w:t>
            </w:r>
          </w:p>
        </w:tc>
        <w:tc>
          <w:tcPr>
            <w:tcW w:w="1134" w:type="dxa"/>
            <w:hideMark/>
          </w:tcPr>
          <w:p w14:paraId="479618FB"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O&amp;M</w:t>
            </w:r>
          </w:p>
        </w:tc>
      </w:tr>
      <w:tr w:rsidR="00D82FB3" w:rsidRPr="002B3F36" w14:paraId="0A6B9333" w14:textId="77777777" w:rsidTr="4935C770">
        <w:tc>
          <w:tcPr>
            <w:tcW w:w="2070" w:type="dxa"/>
            <w:hideMark/>
          </w:tcPr>
          <w:p w14:paraId="69162E66" w14:textId="77777777" w:rsidR="00D82FB3" w:rsidRPr="002B3F36" w:rsidRDefault="00D82FB3" w:rsidP="00D82FB3">
            <w:pPr>
              <w:rPr>
                <w:rFonts w:ascii="Arial" w:eastAsia="Times New Roman" w:hAnsi="Arial" w:cs="Arial"/>
                <w:sz w:val="20"/>
                <w:szCs w:val="20"/>
              </w:rPr>
            </w:pPr>
          </w:p>
        </w:tc>
        <w:tc>
          <w:tcPr>
            <w:tcW w:w="810" w:type="dxa"/>
            <w:hideMark/>
          </w:tcPr>
          <w:p w14:paraId="12FEE68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57DEC35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Erosion &amp; drainage</w:t>
            </w:r>
          </w:p>
        </w:tc>
        <w:tc>
          <w:tcPr>
            <w:tcW w:w="2119" w:type="dxa"/>
            <w:hideMark/>
          </w:tcPr>
          <w:p w14:paraId="17F831C7"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Embankments; culverts; drains</w:t>
            </w:r>
          </w:p>
        </w:tc>
        <w:tc>
          <w:tcPr>
            <w:tcW w:w="2052" w:type="dxa"/>
            <w:hideMark/>
          </w:tcPr>
          <w:p w14:paraId="279A64F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Erosion; sediment</w:t>
            </w:r>
          </w:p>
        </w:tc>
        <w:tc>
          <w:tcPr>
            <w:tcW w:w="3081" w:type="dxa"/>
            <w:hideMark/>
          </w:tcPr>
          <w:p w14:paraId="6920A1C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Vegetate/armor slopes; routine drain maintenance; post-storm inspections &amp; repairs</w:t>
            </w:r>
          </w:p>
        </w:tc>
        <w:tc>
          <w:tcPr>
            <w:tcW w:w="2052" w:type="dxa"/>
            <w:hideMark/>
          </w:tcPr>
          <w:p w14:paraId="23EC7DF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w:t>
            </w:r>
          </w:p>
        </w:tc>
        <w:tc>
          <w:tcPr>
            <w:tcW w:w="1134" w:type="dxa"/>
            <w:hideMark/>
          </w:tcPr>
          <w:p w14:paraId="42A9E2B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O&amp;M</w:t>
            </w:r>
          </w:p>
        </w:tc>
      </w:tr>
      <w:tr w:rsidR="00D82FB3" w:rsidRPr="002B3F36" w14:paraId="44BE6385" w14:textId="77777777" w:rsidTr="4935C770">
        <w:tc>
          <w:tcPr>
            <w:tcW w:w="2070" w:type="dxa"/>
            <w:hideMark/>
          </w:tcPr>
          <w:p w14:paraId="5BFAC3A6" w14:textId="77777777" w:rsidR="00D82FB3" w:rsidRPr="002B3F36" w:rsidRDefault="00D82FB3" w:rsidP="00D82FB3">
            <w:pPr>
              <w:rPr>
                <w:rFonts w:ascii="Arial" w:eastAsia="Times New Roman" w:hAnsi="Arial" w:cs="Arial"/>
                <w:sz w:val="20"/>
                <w:szCs w:val="20"/>
              </w:rPr>
            </w:pPr>
          </w:p>
        </w:tc>
        <w:tc>
          <w:tcPr>
            <w:tcW w:w="810" w:type="dxa"/>
            <w:hideMark/>
          </w:tcPr>
          <w:p w14:paraId="3E30930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6884E6E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Air &amp; noise (trains)</w:t>
            </w:r>
          </w:p>
        </w:tc>
        <w:tc>
          <w:tcPr>
            <w:tcW w:w="2119" w:type="dxa"/>
            <w:hideMark/>
          </w:tcPr>
          <w:p w14:paraId="4D9A2B3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Train operations; tamping/grinding</w:t>
            </w:r>
          </w:p>
        </w:tc>
        <w:tc>
          <w:tcPr>
            <w:tcW w:w="2052" w:type="dxa"/>
            <w:hideMark/>
          </w:tcPr>
          <w:p w14:paraId="2E77CE6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Diesel emissions; noise/vibration</w:t>
            </w:r>
          </w:p>
        </w:tc>
        <w:tc>
          <w:tcPr>
            <w:tcW w:w="3081" w:type="dxa"/>
            <w:hideMark/>
          </w:tcPr>
          <w:p w14:paraId="4535B92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Fleet maintenance; if diesel—low-sulfur fuel where applicable; rail grinding &amp; track lubrication at curves; targeted barriers at sensitive receptors; horn use consistent with safety &amp; any quiet-zone rules</w:t>
            </w:r>
          </w:p>
        </w:tc>
        <w:tc>
          <w:tcPr>
            <w:tcW w:w="2052" w:type="dxa"/>
            <w:hideMark/>
          </w:tcPr>
          <w:p w14:paraId="390C08E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w:t>
            </w:r>
          </w:p>
        </w:tc>
        <w:tc>
          <w:tcPr>
            <w:tcW w:w="1134" w:type="dxa"/>
            <w:hideMark/>
          </w:tcPr>
          <w:p w14:paraId="1DBF08B9"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O&amp;M</w:t>
            </w:r>
          </w:p>
        </w:tc>
      </w:tr>
      <w:tr w:rsidR="00D82FB3" w:rsidRPr="002B3F36" w14:paraId="21BB93A1" w14:textId="77777777" w:rsidTr="4935C770">
        <w:tc>
          <w:tcPr>
            <w:tcW w:w="2070" w:type="dxa"/>
            <w:hideMark/>
          </w:tcPr>
          <w:p w14:paraId="56FCB5A3" w14:textId="77777777" w:rsidR="00D82FB3" w:rsidRPr="002B3F36" w:rsidRDefault="00D82FB3" w:rsidP="00D82FB3">
            <w:pPr>
              <w:rPr>
                <w:rFonts w:ascii="Arial" w:eastAsia="Times New Roman" w:hAnsi="Arial" w:cs="Arial"/>
                <w:sz w:val="20"/>
                <w:szCs w:val="20"/>
              </w:rPr>
            </w:pPr>
          </w:p>
        </w:tc>
        <w:tc>
          <w:tcPr>
            <w:tcW w:w="810" w:type="dxa"/>
            <w:hideMark/>
          </w:tcPr>
          <w:p w14:paraId="37D123A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PS3</w:t>
            </w:r>
          </w:p>
        </w:tc>
        <w:tc>
          <w:tcPr>
            <w:tcW w:w="1923" w:type="dxa"/>
            <w:hideMark/>
          </w:tcPr>
          <w:p w14:paraId="6D50A32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Spills &amp; pollution</w:t>
            </w:r>
          </w:p>
        </w:tc>
        <w:tc>
          <w:tcPr>
            <w:tcW w:w="2119" w:type="dxa"/>
            <w:hideMark/>
          </w:tcPr>
          <w:p w14:paraId="49906DA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Derailments/incidents</w:t>
            </w:r>
          </w:p>
        </w:tc>
        <w:tc>
          <w:tcPr>
            <w:tcW w:w="2052" w:type="dxa"/>
            <w:hideMark/>
          </w:tcPr>
          <w:p w14:paraId="44CA9E9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Hydrocarbon release</w:t>
            </w:r>
          </w:p>
        </w:tc>
        <w:tc>
          <w:tcPr>
            <w:tcW w:w="3081" w:type="dxa"/>
            <w:hideMark/>
          </w:tcPr>
          <w:p w14:paraId="2C31FBC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Spill response kits &amp; trained teams; inter-agency protocols; rapid cleanup &amp; waste manifests</w:t>
            </w:r>
          </w:p>
        </w:tc>
        <w:tc>
          <w:tcPr>
            <w:tcW w:w="2052" w:type="dxa"/>
            <w:hideMark/>
          </w:tcPr>
          <w:p w14:paraId="1495496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 EMER services</w:t>
            </w:r>
          </w:p>
        </w:tc>
        <w:tc>
          <w:tcPr>
            <w:tcW w:w="1134" w:type="dxa"/>
            <w:hideMark/>
          </w:tcPr>
          <w:p w14:paraId="3E2EBAA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O&amp;M</w:t>
            </w:r>
          </w:p>
        </w:tc>
      </w:tr>
      <w:tr w:rsidR="00D82FB3" w:rsidRPr="002B3F36" w14:paraId="1B377849" w14:textId="77777777" w:rsidTr="4935C770">
        <w:tc>
          <w:tcPr>
            <w:tcW w:w="2070" w:type="dxa"/>
            <w:hideMark/>
          </w:tcPr>
          <w:p w14:paraId="341B3DBD" w14:textId="77777777" w:rsidR="00D82FB3" w:rsidRPr="002B3F36" w:rsidRDefault="00D82FB3" w:rsidP="00D82FB3">
            <w:pPr>
              <w:rPr>
                <w:rFonts w:ascii="Arial" w:eastAsia="Times New Roman" w:hAnsi="Arial" w:cs="Arial"/>
                <w:sz w:val="20"/>
                <w:szCs w:val="20"/>
              </w:rPr>
            </w:pPr>
          </w:p>
        </w:tc>
        <w:tc>
          <w:tcPr>
            <w:tcW w:w="810" w:type="dxa"/>
            <w:hideMark/>
          </w:tcPr>
          <w:p w14:paraId="141C429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PS4</w:t>
            </w:r>
          </w:p>
        </w:tc>
        <w:tc>
          <w:tcPr>
            <w:tcW w:w="1923" w:type="dxa"/>
            <w:hideMark/>
          </w:tcPr>
          <w:p w14:paraId="1B3481C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Public safety (rail)</w:t>
            </w:r>
          </w:p>
        </w:tc>
        <w:tc>
          <w:tcPr>
            <w:tcW w:w="2119" w:type="dxa"/>
            <w:hideMark/>
          </w:tcPr>
          <w:p w14:paraId="4862F1E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Level/grade crossings; trespass; livestock</w:t>
            </w:r>
          </w:p>
        </w:tc>
        <w:tc>
          <w:tcPr>
            <w:tcW w:w="2052" w:type="dxa"/>
            <w:hideMark/>
          </w:tcPr>
          <w:p w14:paraId="16E7F401"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Collisions/fatalities</w:t>
            </w:r>
          </w:p>
        </w:tc>
        <w:tc>
          <w:tcPr>
            <w:tcW w:w="3081" w:type="dxa"/>
            <w:hideMark/>
          </w:tcPr>
          <w:p w14:paraId="5B889B36" w14:textId="58F1CBE6"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Rail Safety Program</w:t>
            </w:r>
            <w:r w:rsidRPr="002B3F36">
              <w:rPr>
                <w:rFonts w:ascii="Arial" w:eastAsia="Times New Roman" w:hAnsi="Arial" w:cs="Arial"/>
                <w:sz w:val="20"/>
                <w:szCs w:val="20"/>
              </w:rPr>
              <w:t>: active protections (gates/lights/alarms), sightlines, community awareness; fencing at hotspot trespass zones; livestock fencing &amp; coordinated herder access points</w:t>
            </w:r>
          </w:p>
        </w:tc>
        <w:tc>
          <w:tcPr>
            <w:tcW w:w="2052" w:type="dxa"/>
            <w:hideMark/>
          </w:tcPr>
          <w:p w14:paraId="22B74015"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 Local authorities</w:t>
            </w:r>
          </w:p>
        </w:tc>
        <w:tc>
          <w:tcPr>
            <w:tcW w:w="1134" w:type="dxa"/>
            <w:hideMark/>
          </w:tcPr>
          <w:p w14:paraId="6B223AD2"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Capex + O&amp;M</w:t>
            </w:r>
          </w:p>
        </w:tc>
      </w:tr>
      <w:tr w:rsidR="00D82FB3" w:rsidRPr="002B3F36" w14:paraId="48C18C8C" w14:textId="77777777" w:rsidTr="4935C770">
        <w:tc>
          <w:tcPr>
            <w:tcW w:w="2070" w:type="dxa"/>
            <w:hideMark/>
          </w:tcPr>
          <w:p w14:paraId="3A0E54DF" w14:textId="77777777" w:rsidR="00D82FB3" w:rsidRPr="002B3F36" w:rsidRDefault="00D82FB3" w:rsidP="00D82FB3">
            <w:pPr>
              <w:rPr>
                <w:rFonts w:ascii="Arial" w:eastAsia="Times New Roman" w:hAnsi="Arial" w:cs="Arial"/>
                <w:sz w:val="20"/>
                <w:szCs w:val="20"/>
              </w:rPr>
            </w:pPr>
          </w:p>
        </w:tc>
        <w:tc>
          <w:tcPr>
            <w:tcW w:w="810" w:type="dxa"/>
            <w:hideMark/>
          </w:tcPr>
          <w:p w14:paraId="52DACC5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PS6</w:t>
            </w:r>
          </w:p>
        </w:tc>
        <w:tc>
          <w:tcPr>
            <w:tcW w:w="1923" w:type="dxa"/>
            <w:hideMark/>
          </w:tcPr>
          <w:p w14:paraId="2EDF3EC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Wildlife strikes &amp; connectivity</w:t>
            </w:r>
          </w:p>
        </w:tc>
        <w:tc>
          <w:tcPr>
            <w:tcW w:w="2119" w:type="dxa"/>
            <w:hideMark/>
          </w:tcPr>
          <w:p w14:paraId="4578A2E6"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Trains; fenced ROW</w:t>
            </w:r>
          </w:p>
        </w:tc>
        <w:tc>
          <w:tcPr>
            <w:tcW w:w="2052" w:type="dxa"/>
            <w:hideMark/>
          </w:tcPr>
          <w:p w14:paraId="400E3163"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Wildlife mortality; migration disruption</w:t>
            </w:r>
          </w:p>
        </w:tc>
        <w:tc>
          <w:tcPr>
            <w:tcW w:w="3081" w:type="dxa"/>
            <w:hideMark/>
          </w:tcPr>
          <w:p w14:paraId="7B898904"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Wildlife-friendly design</w:t>
            </w:r>
            <w:r w:rsidRPr="002B3F36">
              <w:rPr>
                <w:rFonts w:ascii="Arial" w:eastAsia="Times New Roman" w:hAnsi="Arial" w:cs="Arial"/>
                <w:sz w:val="20"/>
                <w:szCs w:val="20"/>
              </w:rPr>
              <w:t xml:space="preserve">: continuous fencing that funnels to </w:t>
            </w:r>
            <w:r w:rsidRPr="002B3F36">
              <w:rPr>
                <w:rFonts w:ascii="Arial" w:eastAsia="Times New Roman" w:hAnsi="Arial" w:cs="Arial"/>
                <w:b/>
                <w:bCs/>
                <w:sz w:val="20"/>
                <w:szCs w:val="20"/>
              </w:rPr>
              <w:t>fauna under/overpasses</w:t>
            </w:r>
            <w:r w:rsidRPr="002B3F36">
              <w:rPr>
                <w:rFonts w:ascii="Arial" w:eastAsia="Times New Roman" w:hAnsi="Arial" w:cs="Arial"/>
                <w:sz w:val="20"/>
                <w:szCs w:val="20"/>
              </w:rPr>
              <w:t xml:space="preserve"> (spacing per species, ≥~2 km for saiga corridors where applicable); earthen ramps; guide fencing; seasonal monitoring; adaptive management (e.g., deterrents, targeted speed advisories to drivers in hotspots if operationally feasible)</w:t>
            </w:r>
          </w:p>
        </w:tc>
        <w:tc>
          <w:tcPr>
            <w:tcW w:w="2052" w:type="dxa"/>
            <w:hideMark/>
          </w:tcPr>
          <w:p w14:paraId="665A476D"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 Biodiversity specialist</w:t>
            </w:r>
          </w:p>
        </w:tc>
        <w:tc>
          <w:tcPr>
            <w:tcW w:w="1134" w:type="dxa"/>
            <w:hideMark/>
          </w:tcPr>
          <w:p w14:paraId="30730CDF"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Capex + O&amp;M</w:t>
            </w:r>
          </w:p>
        </w:tc>
      </w:tr>
      <w:tr w:rsidR="00D82FB3" w:rsidRPr="002B3F36" w14:paraId="0408873C" w14:textId="77777777" w:rsidTr="4935C770">
        <w:tc>
          <w:tcPr>
            <w:tcW w:w="2070" w:type="dxa"/>
            <w:hideMark/>
          </w:tcPr>
          <w:p w14:paraId="44399FEA" w14:textId="77777777" w:rsidR="00D82FB3" w:rsidRPr="002B3F36" w:rsidRDefault="00D82FB3" w:rsidP="00D82FB3">
            <w:pPr>
              <w:rPr>
                <w:rFonts w:ascii="Arial" w:eastAsia="Times New Roman" w:hAnsi="Arial" w:cs="Arial"/>
                <w:sz w:val="20"/>
                <w:szCs w:val="20"/>
              </w:rPr>
            </w:pPr>
          </w:p>
        </w:tc>
        <w:tc>
          <w:tcPr>
            <w:tcW w:w="810" w:type="dxa"/>
            <w:hideMark/>
          </w:tcPr>
          <w:p w14:paraId="71B8B1AA"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b/>
                <w:bCs/>
                <w:sz w:val="20"/>
                <w:szCs w:val="20"/>
              </w:rPr>
              <w:t>PS1</w:t>
            </w:r>
          </w:p>
        </w:tc>
        <w:tc>
          <w:tcPr>
            <w:tcW w:w="1923" w:type="dxa"/>
            <w:hideMark/>
          </w:tcPr>
          <w:p w14:paraId="5584C8E8"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Monitoring &amp; adaptive management</w:t>
            </w:r>
          </w:p>
        </w:tc>
        <w:tc>
          <w:tcPr>
            <w:tcW w:w="2119" w:type="dxa"/>
            <w:hideMark/>
          </w:tcPr>
          <w:p w14:paraId="621C59C0"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All</w:t>
            </w:r>
          </w:p>
        </w:tc>
        <w:tc>
          <w:tcPr>
            <w:tcW w:w="2052" w:type="dxa"/>
            <w:hideMark/>
          </w:tcPr>
          <w:p w14:paraId="74AC030C"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Missed trends</w:t>
            </w:r>
          </w:p>
        </w:tc>
        <w:tc>
          <w:tcPr>
            <w:tcW w:w="3081" w:type="dxa"/>
            <w:hideMark/>
          </w:tcPr>
          <w:p w14:paraId="05FDDD92"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Implement monitoring plan (air, noise, water, biodiversity, safety); publish KPIs; corrective actions via MoC</w:t>
            </w:r>
          </w:p>
        </w:tc>
        <w:tc>
          <w:tcPr>
            <w:tcW w:w="2052" w:type="dxa"/>
            <w:hideMark/>
          </w:tcPr>
          <w:p w14:paraId="7729E767" w14:textId="55A4679F"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KTZ/Operator; (reporting to lenders)</w:t>
            </w:r>
          </w:p>
        </w:tc>
        <w:tc>
          <w:tcPr>
            <w:tcW w:w="1134" w:type="dxa"/>
            <w:hideMark/>
          </w:tcPr>
          <w:p w14:paraId="1D9F518E" w14:textId="77777777" w:rsidR="00D82FB3" w:rsidRPr="002B3F36" w:rsidRDefault="00D82FB3" w:rsidP="00D82FB3">
            <w:pPr>
              <w:rPr>
                <w:rFonts w:ascii="Arial" w:eastAsia="Times New Roman" w:hAnsi="Arial" w:cs="Arial"/>
                <w:sz w:val="20"/>
                <w:szCs w:val="20"/>
              </w:rPr>
            </w:pPr>
            <w:r w:rsidRPr="002B3F36">
              <w:rPr>
                <w:rFonts w:ascii="Arial" w:eastAsia="Times New Roman" w:hAnsi="Arial" w:cs="Arial"/>
                <w:sz w:val="20"/>
                <w:szCs w:val="20"/>
              </w:rPr>
              <w:t>O&amp;M</w:t>
            </w:r>
          </w:p>
        </w:tc>
      </w:tr>
    </w:tbl>
    <w:p w14:paraId="2791B0C5" w14:textId="60221F2B" w:rsidR="00D82FB3" w:rsidRPr="002B3F36" w:rsidRDefault="00D82FB3" w:rsidP="00D82FB3">
      <w:pPr>
        <w:pStyle w:val="ad"/>
        <w:rPr>
          <w:rFonts w:ascii="Arial" w:hAnsi="Arial" w:cs="Arial"/>
          <w:i w:val="0"/>
          <w:iCs w:val="0"/>
          <w:color w:val="auto"/>
          <w:sz w:val="24"/>
          <w:szCs w:val="24"/>
        </w:rPr>
      </w:pPr>
      <w:r w:rsidRPr="002B3F36">
        <w:rPr>
          <w:rFonts w:ascii="Arial" w:hAnsi="Arial" w:cs="Arial"/>
          <w:b/>
          <w:bCs/>
          <w:i w:val="0"/>
          <w:iCs w:val="0"/>
          <w:color w:val="auto"/>
          <w:sz w:val="24"/>
          <w:szCs w:val="24"/>
        </w:rPr>
        <w:t>Costs:</w:t>
      </w:r>
      <w:r w:rsidRPr="002B3F36">
        <w:rPr>
          <w:rFonts w:ascii="Arial" w:hAnsi="Arial" w:cs="Arial"/>
          <w:i w:val="0"/>
          <w:iCs w:val="0"/>
          <w:color w:val="auto"/>
          <w:sz w:val="24"/>
          <w:szCs w:val="24"/>
        </w:rPr>
        <w:t xml:space="preserve"> Contractor implementation within </w:t>
      </w:r>
      <w:r w:rsidRPr="002B3F36">
        <w:rPr>
          <w:rFonts w:ascii="Arial" w:hAnsi="Arial" w:cs="Arial"/>
          <w:b/>
          <w:bCs/>
          <w:i w:val="0"/>
          <w:iCs w:val="0"/>
          <w:color w:val="auto"/>
          <w:sz w:val="24"/>
          <w:szCs w:val="24"/>
        </w:rPr>
        <w:t>EPC</w:t>
      </w:r>
      <w:r w:rsidRPr="002B3F36">
        <w:rPr>
          <w:rFonts w:ascii="Arial" w:hAnsi="Arial" w:cs="Arial"/>
          <w:i w:val="0"/>
          <w:iCs w:val="0"/>
          <w:color w:val="auto"/>
          <w:sz w:val="24"/>
          <w:szCs w:val="24"/>
        </w:rPr>
        <w:t xml:space="preserve">; supervision within </w:t>
      </w:r>
      <w:r w:rsidRPr="002B3F36">
        <w:rPr>
          <w:rFonts w:ascii="Arial" w:hAnsi="Arial" w:cs="Arial"/>
          <w:b/>
          <w:bCs/>
          <w:i w:val="0"/>
          <w:iCs w:val="0"/>
          <w:color w:val="auto"/>
          <w:sz w:val="24"/>
          <w:szCs w:val="24"/>
        </w:rPr>
        <w:t>CSC/</w:t>
      </w:r>
      <w:r w:rsidR="00A728DA" w:rsidRPr="002B3F36">
        <w:rPr>
          <w:rFonts w:ascii="Arial" w:hAnsi="Arial" w:cs="Arial"/>
          <w:b/>
          <w:bCs/>
          <w:i w:val="0"/>
          <w:iCs w:val="0"/>
          <w:color w:val="auto"/>
          <w:sz w:val="24"/>
          <w:szCs w:val="24"/>
        </w:rPr>
        <w:t>KTZ</w:t>
      </w:r>
      <w:r w:rsidRPr="002B3F36">
        <w:rPr>
          <w:rFonts w:ascii="Arial" w:hAnsi="Arial" w:cs="Arial"/>
          <w:i w:val="0"/>
          <w:iCs w:val="0"/>
          <w:color w:val="auto"/>
          <w:sz w:val="24"/>
          <w:szCs w:val="24"/>
        </w:rPr>
        <w:t xml:space="preserve">; </w:t>
      </w:r>
      <w:r w:rsidR="00193CAA" w:rsidRPr="002B3F36">
        <w:rPr>
          <w:rFonts w:ascii="Arial" w:hAnsi="Arial" w:cs="Arial"/>
          <w:i w:val="0"/>
          <w:iCs w:val="0"/>
          <w:color w:val="auto"/>
          <w:sz w:val="24"/>
          <w:szCs w:val="24"/>
        </w:rPr>
        <w:t>LA</w:t>
      </w:r>
      <w:r w:rsidRPr="002B3F36">
        <w:rPr>
          <w:rFonts w:ascii="Arial" w:hAnsi="Arial" w:cs="Arial"/>
          <w:i w:val="0"/>
          <w:iCs w:val="0"/>
          <w:color w:val="auto"/>
          <w:sz w:val="24"/>
          <w:szCs w:val="24"/>
        </w:rPr>
        <w:t xml:space="preserve">RAP within </w:t>
      </w:r>
      <w:r w:rsidRPr="002B3F36">
        <w:rPr>
          <w:rFonts w:ascii="Arial" w:hAnsi="Arial" w:cs="Arial"/>
          <w:b/>
          <w:bCs/>
          <w:i w:val="0"/>
          <w:iCs w:val="0"/>
          <w:color w:val="auto"/>
          <w:sz w:val="24"/>
          <w:szCs w:val="24"/>
        </w:rPr>
        <w:t>KTZ</w:t>
      </w:r>
      <w:r w:rsidRPr="002B3F36">
        <w:rPr>
          <w:rFonts w:ascii="Arial" w:hAnsi="Arial" w:cs="Arial"/>
          <w:i w:val="0"/>
          <w:iCs w:val="0"/>
          <w:color w:val="auto"/>
          <w:sz w:val="24"/>
          <w:szCs w:val="24"/>
        </w:rPr>
        <w:t xml:space="preserve">; operations measures within </w:t>
      </w:r>
      <w:r w:rsidRPr="002B3F36">
        <w:rPr>
          <w:rFonts w:ascii="Arial" w:hAnsi="Arial" w:cs="Arial"/>
          <w:b/>
          <w:bCs/>
          <w:i w:val="0"/>
          <w:iCs w:val="0"/>
          <w:color w:val="auto"/>
          <w:sz w:val="24"/>
          <w:szCs w:val="24"/>
        </w:rPr>
        <w:t>KTZ O&amp;M</w:t>
      </w:r>
      <w:r w:rsidRPr="002B3F36">
        <w:rPr>
          <w:rFonts w:ascii="Arial" w:hAnsi="Arial" w:cs="Arial"/>
          <w:i w:val="0"/>
          <w:iCs w:val="0"/>
          <w:color w:val="auto"/>
          <w:sz w:val="24"/>
          <w:szCs w:val="24"/>
        </w:rPr>
        <w:t>. Biodiversity offsets (if CH triggered) to be separately budgeted.</w:t>
      </w:r>
    </w:p>
    <w:p w14:paraId="56304587" w14:textId="77777777" w:rsidR="00D82FB3" w:rsidRPr="002B3F36" w:rsidRDefault="00D82FB3" w:rsidP="00D82FB3">
      <w:pPr>
        <w:rPr>
          <w:rFonts w:ascii="Arial" w:hAnsi="Arial" w:cs="Arial"/>
          <w:b/>
          <w:sz w:val="24"/>
          <w:szCs w:val="24"/>
        </w:rPr>
      </w:pPr>
      <w:r w:rsidRPr="002B3F36">
        <w:rPr>
          <w:rFonts w:ascii="Arial" w:hAnsi="Arial" w:cs="Arial"/>
          <w:b/>
          <w:sz w:val="24"/>
          <w:szCs w:val="24"/>
        </w:rPr>
        <w:t xml:space="preserve">Implementation Notes: </w:t>
      </w:r>
    </w:p>
    <w:p w14:paraId="14E82416" w14:textId="2CAEBE92" w:rsidR="00D82FB3" w:rsidRPr="002B3F36" w:rsidRDefault="00D82FB3" w:rsidP="7D9D0D1E">
      <w:pPr>
        <w:pStyle w:val="a0"/>
        <w:widowControl/>
        <w:autoSpaceDE/>
        <w:autoSpaceDN/>
        <w:rPr>
          <w:rFonts w:eastAsia="Times New Roman"/>
        </w:rPr>
      </w:pPr>
      <w:r w:rsidRPr="002B3F36">
        <w:rPr>
          <w:rFonts w:eastAsia="Times New Roman"/>
          <w:b/>
          <w:bCs/>
        </w:rPr>
        <w:t>Design integration (PS1/PS6):</w:t>
      </w:r>
      <w:r w:rsidRPr="002B3F36">
        <w:rPr>
          <w:rFonts w:eastAsia="Times New Roman"/>
        </w:rPr>
        <w:t xml:space="preserve"> Lock in wildlife crossing locations, fencing continuity, flatter side-slopes where effective, culvert retrofits for fauna, and bird-safe powerline standards </w:t>
      </w:r>
      <w:r w:rsidRPr="002B3F36">
        <w:rPr>
          <w:rFonts w:eastAsia="Times New Roman"/>
          <w:b/>
          <w:bCs/>
        </w:rPr>
        <w:t>at design stage</w:t>
      </w:r>
      <w:r w:rsidR="00D740F3" w:rsidRPr="002B3F36">
        <w:rPr>
          <w:rFonts w:eastAsia="Times New Roman"/>
          <w:b/>
          <w:bCs/>
        </w:rPr>
        <w:t xml:space="preserve">, </w:t>
      </w:r>
      <w:r w:rsidR="00D740F3" w:rsidRPr="00A846C7">
        <w:rPr>
          <w:rFonts w:eastAsia="Times New Roman"/>
        </w:rPr>
        <w:t>using recommendations from BMP, with participation of Regional Inspectorate for Forestry and Wildlife and ACBK (Association for the Conservation of Biodiversity of Kazakhstan) and other relevant organization (with funding from Contractor is necessary).</w:t>
      </w:r>
    </w:p>
    <w:p w14:paraId="28BD23E1" w14:textId="77777777" w:rsidR="00D82FB3" w:rsidRPr="002B3F36" w:rsidRDefault="00D82FB3" w:rsidP="009B4CDB">
      <w:pPr>
        <w:pStyle w:val="a0"/>
        <w:widowControl/>
        <w:numPr>
          <w:ilvl w:val="0"/>
          <w:numId w:val="205"/>
        </w:numPr>
        <w:autoSpaceDE/>
        <w:autoSpaceDN/>
        <w:rPr>
          <w:rFonts w:eastAsia="Times New Roman"/>
        </w:rPr>
      </w:pPr>
      <w:r w:rsidRPr="002B3F36">
        <w:rPr>
          <w:rFonts w:eastAsia="Times New Roman"/>
          <w:b/>
          <w:bCs/>
        </w:rPr>
        <w:t>Access/haul (PS4/PS3):</w:t>
      </w:r>
      <w:r w:rsidRPr="002B3F36">
        <w:rPr>
          <w:rFonts w:eastAsia="Times New Roman"/>
        </w:rPr>
        <w:t xml:space="preserve"> Plan temporary </w:t>
      </w:r>
      <w:r w:rsidRPr="002B3F36">
        <w:rPr>
          <w:rFonts w:eastAsia="Times New Roman"/>
          <w:b/>
          <w:bCs/>
        </w:rPr>
        <w:t>construction haul roads</w:t>
      </w:r>
      <w:r w:rsidRPr="002B3F36">
        <w:rPr>
          <w:rFonts w:eastAsia="Times New Roman"/>
        </w:rPr>
        <w:t xml:space="preserve"> with community safety controls, dust suppression, and progressive decommissioning/restoration.</w:t>
      </w:r>
    </w:p>
    <w:p w14:paraId="7B1637F1" w14:textId="77777777" w:rsidR="00D82FB3" w:rsidRPr="002B3F36" w:rsidRDefault="00D82FB3" w:rsidP="009B4CDB">
      <w:pPr>
        <w:pStyle w:val="a0"/>
        <w:widowControl/>
        <w:numPr>
          <w:ilvl w:val="0"/>
          <w:numId w:val="205"/>
        </w:numPr>
        <w:autoSpaceDE/>
        <w:autoSpaceDN/>
        <w:rPr>
          <w:rFonts w:eastAsia="Times New Roman"/>
        </w:rPr>
      </w:pPr>
      <w:r w:rsidRPr="002B3F36">
        <w:rPr>
          <w:rFonts w:eastAsia="Times New Roman"/>
          <w:b/>
          <w:bCs/>
        </w:rPr>
        <w:t>ROW rehabilitation (PS3/PS6):</w:t>
      </w:r>
      <w:r w:rsidRPr="002B3F36">
        <w:rPr>
          <w:rFonts w:eastAsia="Times New Roman"/>
        </w:rPr>
        <w:t xml:space="preserve"> Salvage topsoil along the formation; re-vegetate shoulders and disturbed areas with </w:t>
      </w:r>
      <w:r w:rsidRPr="002B3F36">
        <w:rPr>
          <w:rFonts w:eastAsia="Times New Roman"/>
          <w:b/>
          <w:bCs/>
        </w:rPr>
        <w:t>native steppe species</w:t>
      </w:r>
      <w:r w:rsidRPr="002B3F36">
        <w:rPr>
          <w:rFonts w:eastAsia="Times New Roman"/>
        </w:rPr>
        <w:t>.</w:t>
      </w:r>
    </w:p>
    <w:p w14:paraId="1E6D0426" w14:textId="77777777" w:rsidR="00D82FB3" w:rsidRPr="002B3F36" w:rsidRDefault="00D82FB3" w:rsidP="009B4CDB">
      <w:pPr>
        <w:pStyle w:val="a0"/>
        <w:widowControl/>
        <w:numPr>
          <w:ilvl w:val="0"/>
          <w:numId w:val="205"/>
        </w:numPr>
        <w:autoSpaceDE/>
        <w:autoSpaceDN/>
        <w:rPr>
          <w:rFonts w:eastAsia="Times New Roman"/>
        </w:rPr>
      </w:pPr>
      <w:r w:rsidRPr="002B3F36">
        <w:rPr>
          <w:rFonts w:eastAsia="Times New Roman"/>
          <w:b/>
          <w:bCs/>
        </w:rPr>
        <w:t>SPNA compliance (PS6):</w:t>
      </w:r>
      <w:r w:rsidRPr="002B3F36">
        <w:rPr>
          <w:rFonts w:eastAsia="Times New Roman"/>
        </w:rPr>
        <w:t xml:space="preserve"> Apply Andasai SNS </w:t>
      </w:r>
      <w:r w:rsidRPr="002B3F36">
        <w:rPr>
          <w:rFonts w:eastAsia="Times New Roman"/>
          <w:b/>
          <w:bCs/>
        </w:rPr>
        <w:t>obligations &amp; prohibitions</w:t>
      </w:r>
      <w:r w:rsidRPr="002B3F36">
        <w:rPr>
          <w:rFonts w:eastAsia="Times New Roman"/>
        </w:rPr>
        <w:t xml:space="preserve"> for all project actors; maintain a standing liaison with Sanctuary Administration.</w:t>
      </w:r>
    </w:p>
    <w:p w14:paraId="5744F959" w14:textId="59936AB6" w:rsidR="00D82FB3" w:rsidRPr="002B3F36" w:rsidRDefault="00D82FB3" w:rsidP="009B4CDB">
      <w:pPr>
        <w:pStyle w:val="a0"/>
        <w:widowControl/>
        <w:numPr>
          <w:ilvl w:val="0"/>
          <w:numId w:val="205"/>
        </w:numPr>
        <w:autoSpaceDE/>
        <w:autoSpaceDN/>
        <w:rPr>
          <w:rFonts w:eastAsia="Times New Roman"/>
        </w:rPr>
      </w:pPr>
      <w:r w:rsidRPr="002B3F36">
        <w:rPr>
          <w:rFonts w:eastAsia="Times New Roman"/>
          <w:b/>
          <w:bCs/>
        </w:rPr>
        <w:t>LARAP (PS5):</w:t>
      </w:r>
      <w:r w:rsidRPr="002B3F36">
        <w:rPr>
          <w:rFonts w:eastAsia="Times New Roman"/>
        </w:rPr>
        <w:t xml:space="preserve"> No site handover or works in each chainage section until </w:t>
      </w:r>
      <w:r w:rsidRPr="002B3F36">
        <w:rPr>
          <w:rFonts w:eastAsia="Times New Roman"/>
          <w:b/>
          <w:bCs/>
        </w:rPr>
        <w:t>compensation is fully paid</w:t>
      </w:r>
      <w:r w:rsidRPr="002B3F36">
        <w:rPr>
          <w:rFonts w:eastAsia="Times New Roman"/>
        </w:rPr>
        <w:t xml:space="preserve"> and </w:t>
      </w:r>
      <w:r w:rsidRPr="002B3F36">
        <w:rPr>
          <w:rFonts w:eastAsia="Times New Roman"/>
          <w:b/>
          <w:bCs/>
        </w:rPr>
        <w:t>livelihood restoration</w:t>
      </w:r>
      <w:r w:rsidRPr="002B3F36">
        <w:rPr>
          <w:rFonts w:eastAsia="Times New Roman"/>
        </w:rPr>
        <w:t xml:space="preserve"> begins; include </w:t>
      </w:r>
      <w:r w:rsidRPr="002B3F36">
        <w:rPr>
          <w:rFonts w:eastAsia="Times New Roman"/>
          <w:b/>
          <w:bCs/>
        </w:rPr>
        <w:t>seasonal grazers and communal users</w:t>
      </w:r>
      <w:r w:rsidRPr="002B3F36">
        <w:rPr>
          <w:rFonts w:eastAsia="Times New Roman"/>
        </w:rPr>
        <w:t>.</w:t>
      </w:r>
    </w:p>
    <w:p w14:paraId="0C1EB97B" w14:textId="77777777" w:rsidR="00D82FB3" w:rsidRPr="002B3F36" w:rsidRDefault="00D82FB3" w:rsidP="009B4CDB">
      <w:pPr>
        <w:pStyle w:val="a0"/>
        <w:widowControl/>
        <w:numPr>
          <w:ilvl w:val="0"/>
          <w:numId w:val="205"/>
        </w:numPr>
        <w:autoSpaceDE/>
        <w:autoSpaceDN/>
        <w:rPr>
          <w:rFonts w:eastAsia="Times New Roman"/>
        </w:rPr>
      </w:pPr>
      <w:r w:rsidRPr="002B3F36">
        <w:rPr>
          <w:rFonts w:eastAsia="Times New Roman"/>
          <w:b/>
          <w:bCs/>
        </w:rPr>
        <w:t>Security (PS4/PS2):</w:t>
      </w:r>
      <w:r w:rsidRPr="002B3F36">
        <w:rPr>
          <w:rFonts w:eastAsia="Times New Roman"/>
        </w:rPr>
        <w:t xml:space="preserve"> Any security providers trained in </w:t>
      </w:r>
      <w:r w:rsidRPr="002B3F36">
        <w:rPr>
          <w:rFonts w:eastAsia="Times New Roman"/>
          <w:b/>
          <w:bCs/>
        </w:rPr>
        <w:t>Voluntary Principles</w:t>
      </w:r>
      <w:r w:rsidRPr="002B3F36">
        <w:rPr>
          <w:rFonts w:eastAsia="Times New Roman"/>
        </w:rPr>
        <w:t>; rules of engagement, proportionality, and GRM integration.</w:t>
      </w:r>
    </w:p>
    <w:p w14:paraId="593197A2" w14:textId="5E931A7C" w:rsidR="00A66DE7" w:rsidRPr="002B3F36" w:rsidRDefault="00A66DE7" w:rsidP="00377180"/>
    <w:p w14:paraId="4183B7E3" w14:textId="77777777" w:rsidR="00821EF4" w:rsidRPr="002B3F36" w:rsidRDefault="00821EF4" w:rsidP="00377180">
      <w:pPr>
        <w:rPr>
          <w:b/>
        </w:rPr>
        <w:sectPr w:rsidR="00821EF4" w:rsidRPr="002B3F36" w:rsidSect="00D82FB3">
          <w:pgSz w:w="16840" w:h="11910" w:orient="landscape"/>
          <w:pgMar w:top="1133" w:right="900" w:bottom="850" w:left="1860" w:header="0" w:footer="0" w:gutter="0"/>
          <w:cols w:space="720"/>
          <w:docGrid w:linePitch="299"/>
        </w:sectPr>
      </w:pPr>
    </w:p>
    <w:p w14:paraId="5005788C" w14:textId="3C6DED16" w:rsidR="00F61F8E" w:rsidRPr="002B3F36" w:rsidRDefault="000F264B" w:rsidP="00C60F48">
      <w:pPr>
        <w:pStyle w:val="20"/>
      </w:pPr>
      <w:bookmarkStart w:id="2616" w:name="_Toc210589532"/>
      <w:r w:rsidRPr="002B3F36">
        <w:lastRenderedPageBreak/>
        <w:t>Implementation Schedule and Cost Estimates</w:t>
      </w:r>
      <w:bookmarkEnd w:id="2609"/>
      <w:bookmarkEnd w:id="2610"/>
      <w:bookmarkEnd w:id="2611"/>
      <w:bookmarkEnd w:id="2612"/>
      <w:bookmarkEnd w:id="2613"/>
      <w:bookmarkEnd w:id="2614"/>
      <w:bookmarkEnd w:id="2616"/>
    </w:p>
    <w:p w14:paraId="602D383C" w14:textId="7DF7DD41" w:rsidR="00F82451" w:rsidRPr="002B3F36" w:rsidRDefault="00F82451" w:rsidP="00F82451">
      <w:pPr>
        <w:pStyle w:val="ReportBodyPar"/>
      </w:pPr>
    </w:p>
    <w:p w14:paraId="28EFFC41" w14:textId="7CD2A684" w:rsidR="00F82451" w:rsidRPr="002B3F36" w:rsidRDefault="00F82451" w:rsidP="00F82451">
      <w:pPr>
        <w:pStyle w:val="ReportBodyPar"/>
      </w:pPr>
      <w:r w:rsidRPr="002B3F36">
        <w:t xml:space="preserve">The Implementation Schedule and Cost Estimates for the </w:t>
      </w:r>
      <w:r w:rsidR="003650DB" w:rsidRPr="002B3F36">
        <w:t xml:space="preserve">Mointy – Kyzylzhar </w:t>
      </w:r>
      <w:r w:rsidRPr="002B3F36">
        <w:t xml:space="preserve">Railway Project align with </w:t>
      </w:r>
      <w:r w:rsidR="00F95BD8" w:rsidRPr="002B3F36">
        <w:t>WB</w:t>
      </w:r>
      <w:r w:rsidRPr="002B3F36">
        <w:t xml:space="preserve"> Performance Standards (PS1–PS8), WBG EHS Guidelines (2007), and Kazakhstan’s environmental legislation to ensure full integration of environmental and social safeguards across all project phases. Th</w:t>
      </w:r>
      <w:r w:rsidR="00A023DA">
        <w:t>e Cost Estimates cover</w:t>
      </w:r>
      <w:r w:rsidRPr="002B3F36">
        <w:t xml:space="preserve"> costs for mitigation measures, monitoring, and capacity building within the ESMP, outlining staffing needs, responsibilities, and timelines to ensure effective implementation, compliance, and independent verification throughout construction and operation.</w:t>
      </w:r>
    </w:p>
    <w:p w14:paraId="59A9F7B4" w14:textId="77777777" w:rsidR="00F82451" w:rsidRPr="002B3F36" w:rsidRDefault="00F82451" w:rsidP="00F82451">
      <w:pPr>
        <w:pStyle w:val="ReportBodyPar"/>
      </w:pPr>
    </w:p>
    <w:p w14:paraId="5389D307" w14:textId="4E5382FE" w:rsidR="00A023DA" w:rsidRDefault="00A023DA" w:rsidP="00F82451">
      <w:pPr>
        <w:pStyle w:val="ReportBodyPar"/>
        <w:rPr>
          <w:lang w:val="en-GB"/>
        </w:rPr>
      </w:pPr>
    </w:p>
    <w:p w14:paraId="74D53711" w14:textId="77777777" w:rsidR="00A023DA" w:rsidRDefault="00A023DA">
      <w:pPr>
        <w:rPr>
          <w:rFonts w:ascii="Arial" w:eastAsia="Calibri" w:hAnsi="Arial" w:cs="Arial"/>
          <w:sz w:val="24"/>
          <w:szCs w:val="24"/>
          <w:lang w:val="en-GB" w:eastAsia="en-GB"/>
        </w:rPr>
      </w:pPr>
      <w:r>
        <w:rPr>
          <w:lang w:val="en-GB"/>
        </w:rPr>
        <w:br w:type="page"/>
      </w:r>
    </w:p>
    <w:p w14:paraId="597982EE" w14:textId="44E85190" w:rsidR="00F61F8E" w:rsidRPr="002B3F36" w:rsidRDefault="000F264B">
      <w:pPr>
        <w:pStyle w:val="1"/>
        <w:numPr>
          <w:ilvl w:val="0"/>
          <w:numId w:val="1"/>
        </w:numPr>
        <w:autoSpaceDE/>
        <w:autoSpaceDN/>
        <w:spacing w:line="253" w:lineRule="auto"/>
        <w:ind w:right="72"/>
        <w:jc w:val="both"/>
        <w:rPr>
          <w:rFonts w:cs="Arial"/>
        </w:rPr>
      </w:pPr>
      <w:bookmarkStart w:id="2617" w:name="_Toc169094811"/>
      <w:bookmarkStart w:id="2618" w:name="_Toc208973890"/>
      <w:bookmarkStart w:id="2619" w:name="_Toc208974090"/>
      <w:bookmarkStart w:id="2620" w:name="_Toc208974290"/>
      <w:bookmarkStart w:id="2621" w:name="_Toc208974493"/>
      <w:bookmarkStart w:id="2622" w:name="_Toc208974695"/>
      <w:bookmarkStart w:id="2623" w:name="_Toc210589533"/>
      <w:r w:rsidRPr="002B3F36">
        <w:rPr>
          <w:rFonts w:cs="Arial"/>
        </w:rPr>
        <w:lastRenderedPageBreak/>
        <w:t>CONSULTATION AND STAKEHOLDER ENGAGEMENT</w:t>
      </w:r>
      <w:bookmarkEnd w:id="2617"/>
      <w:bookmarkEnd w:id="2618"/>
      <w:bookmarkEnd w:id="2619"/>
      <w:bookmarkEnd w:id="2620"/>
      <w:bookmarkEnd w:id="2621"/>
      <w:bookmarkEnd w:id="2622"/>
      <w:bookmarkEnd w:id="2623"/>
    </w:p>
    <w:p w14:paraId="582F0E22" w14:textId="77777777" w:rsidR="003D21FB" w:rsidRPr="002B3F36" w:rsidRDefault="003D21FB" w:rsidP="0005187B">
      <w:pPr>
        <w:pStyle w:val="ReportParagraph"/>
      </w:pPr>
      <w:bookmarkStart w:id="2624" w:name="_Toc169094812"/>
      <w:bookmarkStart w:id="2625" w:name="_Toc208973891"/>
      <w:bookmarkStart w:id="2626" w:name="_Toc208974091"/>
      <w:bookmarkStart w:id="2627" w:name="_Toc208974291"/>
      <w:bookmarkStart w:id="2628" w:name="_Toc208974494"/>
      <w:bookmarkStart w:id="2629" w:name="_Toc208974696"/>
    </w:p>
    <w:p w14:paraId="7144517C" w14:textId="384AFFAE" w:rsidR="0068097C" w:rsidRPr="002B3F36" w:rsidRDefault="0068097C" w:rsidP="0005187B">
      <w:pPr>
        <w:pStyle w:val="ReportParagraph"/>
      </w:pPr>
      <w:r w:rsidRPr="002B3F36">
        <w:t xml:space="preserve">In line with </w:t>
      </w:r>
      <w:r w:rsidR="00F95BD8" w:rsidRPr="002B3F36">
        <w:rPr>
          <w:bCs/>
        </w:rPr>
        <w:t>WB</w:t>
      </w:r>
      <w:r w:rsidRPr="002B3F36">
        <w:rPr>
          <w:bCs/>
        </w:rPr>
        <w:t xml:space="preserve"> Performance Standard 1 (PS1)</w:t>
      </w:r>
      <w:r w:rsidRPr="002B3F36">
        <w:t xml:space="preserve"> on Assessment and Management of Environmental and Social Risks and Impacts, and consistent with </w:t>
      </w:r>
      <w:r w:rsidRPr="002B3F36">
        <w:rPr>
          <w:bCs/>
        </w:rPr>
        <w:t>Kazakhstan’s Environmental Code (2021)</w:t>
      </w:r>
      <w:r w:rsidRPr="002B3F36">
        <w:t xml:space="preserve"> requirements on public participation, stakeholder engagement and consultation activities for the </w:t>
      </w:r>
      <w:r w:rsidRPr="002B3F36">
        <w:rPr>
          <w:bCs/>
        </w:rPr>
        <w:t>Mointy–Kyzylzhar Greenfield Railway Project</w:t>
      </w:r>
      <w:r w:rsidRPr="002B3F36">
        <w:t xml:space="preserve"> will be organized and led by </w:t>
      </w:r>
      <w:r w:rsidRPr="002B3F36">
        <w:rPr>
          <w:bCs/>
        </w:rPr>
        <w:t>KTZ</w:t>
      </w:r>
      <w:r w:rsidRPr="002B3F36">
        <w:t xml:space="preserve">, with technical support from the </w:t>
      </w:r>
      <w:r w:rsidR="003D4675" w:rsidRPr="002B3F36">
        <w:t>Project Preparation Consultant</w:t>
      </w:r>
      <w:r w:rsidR="003D4675" w:rsidRPr="002B3F36">
        <w:rPr>
          <w:rStyle w:val="ac"/>
        </w:rPr>
        <w:footnoteReference w:id="12"/>
      </w:r>
      <w:r w:rsidR="003D4675" w:rsidRPr="002B3F36">
        <w:t xml:space="preserve">, and subsequently by the appointed </w:t>
      </w:r>
      <w:r w:rsidRPr="002B3F36">
        <w:t>Construction Supervision Consultant (CSC).</w:t>
      </w:r>
    </w:p>
    <w:p w14:paraId="68303200" w14:textId="77777777" w:rsidR="0005187B" w:rsidRPr="002B3F36" w:rsidRDefault="0005187B" w:rsidP="0005187B">
      <w:pPr>
        <w:pStyle w:val="ReportParagraph"/>
      </w:pPr>
    </w:p>
    <w:p w14:paraId="64F6E374" w14:textId="25ED4ED0" w:rsidR="0068097C" w:rsidRPr="002B3F36" w:rsidRDefault="0068097C" w:rsidP="0005187B">
      <w:pPr>
        <w:pStyle w:val="ReportParagraph"/>
      </w:pPr>
      <w:r w:rsidRPr="002B3F36">
        <w:t xml:space="preserve">Public notification and consultations are mandatory components of the national EIA procedure, including formal public hearings in </w:t>
      </w:r>
      <w:r w:rsidR="007503B5" w:rsidRPr="002B3F36">
        <w:rPr>
          <w:bCs/>
        </w:rPr>
        <w:t>Mointy</w:t>
      </w:r>
      <w:r w:rsidRPr="002B3F36">
        <w:t xml:space="preserve"> and </w:t>
      </w:r>
      <w:r w:rsidRPr="002B3F36">
        <w:rPr>
          <w:bCs/>
        </w:rPr>
        <w:t>Karazhal</w:t>
      </w:r>
      <w:r w:rsidRPr="002B3F36">
        <w:t>, and additional community consultations along the alignment. Outputs and outcomes from these engagements will be documented and considered in the ESIA and project preparation stages.</w:t>
      </w:r>
    </w:p>
    <w:p w14:paraId="08C93588" w14:textId="77777777" w:rsidR="0005187B" w:rsidRPr="002B3F36" w:rsidRDefault="0005187B" w:rsidP="0005187B">
      <w:pPr>
        <w:pStyle w:val="ReportParagraph"/>
      </w:pPr>
    </w:p>
    <w:p w14:paraId="6E80B812" w14:textId="2A17482C" w:rsidR="0068097C" w:rsidRPr="002B3F36" w:rsidRDefault="0068097C" w:rsidP="0005187B">
      <w:pPr>
        <w:pStyle w:val="ReportParagraph"/>
      </w:pPr>
      <w:r w:rsidRPr="002B3F36">
        <w:t xml:space="preserve">The Project’s </w:t>
      </w:r>
      <w:r w:rsidRPr="002B3F36">
        <w:rPr>
          <w:bCs/>
        </w:rPr>
        <w:t>Stakeholder Engagement Plan (SEP)</w:t>
      </w:r>
      <w:r w:rsidRPr="002B3F36">
        <w:t xml:space="preserve"> provides the framework for systematic and inclusive engagement throughout the project cycle. It defines methods to identify stakeholders, plan engagement approaches for different sub-groups, and ensure accessible mechanisms for </w:t>
      </w:r>
      <w:r w:rsidRPr="002B3F36">
        <w:rPr>
          <w:bCs/>
        </w:rPr>
        <w:t>feedback, grievances, and concerns</w:t>
      </w:r>
      <w:r w:rsidRPr="002B3F36">
        <w:t xml:space="preserve"> from Project-Affected Parties (PAPs) and Other Interested Parties (OIPs).</w:t>
      </w:r>
    </w:p>
    <w:p w14:paraId="5A388870" w14:textId="77777777" w:rsidR="0005187B" w:rsidRPr="002B3F36" w:rsidRDefault="0005187B" w:rsidP="0005187B">
      <w:pPr>
        <w:pStyle w:val="ReportParagraph"/>
      </w:pPr>
    </w:p>
    <w:p w14:paraId="5B22900F" w14:textId="6B3FB152" w:rsidR="0068097C" w:rsidRPr="002B3F36" w:rsidRDefault="0068097C" w:rsidP="0071168A">
      <w:pPr>
        <w:pStyle w:val="ReportParagraph"/>
      </w:pPr>
      <w:r w:rsidRPr="002B3F36">
        <w:t xml:space="preserve">The objectives of stakeholder engagement, consistent with </w:t>
      </w:r>
      <w:r w:rsidR="00163238" w:rsidRPr="002B3F36">
        <w:rPr>
          <w:bCs/>
        </w:rPr>
        <w:t>WB PS</w:t>
      </w:r>
      <w:r w:rsidRPr="002B3F36">
        <w:rPr>
          <w:bCs/>
        </w:rPr>
        <w:t>1</w:t>
      </w:r>
      <w:r w:rsidRPr="002B3F36">
        <w:t xml:space="preserve"> </w:t>
      </w:r>
      <w:r w:rsidR="00E55531" w:rsidRPr="002B3F36">
        <w:t xml:space="preserve">(similar to </w:t>
      </w:r>
      <w:r w:rsidRPr="002B3F36">
        <w:rPr>
          <w:bCs/>
        </w:rPr>
        <w:t>WB ESS10</w:t>
      </w:r>
      <w:r w:rsidR="00E55531" w:rsidRPr="002B3F36">
        <w:rPr>
          <w:bCs/>
        </w:rPr>
        <w:t>)</w:t>
      </w:r>
      <w:r w:rsidRPr="002B3F36">
        <w:t>, are to:</w:t>
      </w:r>
    </w:p>
    <w:p w14:paraId="57FD83A9" w14:textId="77777777" w:rsidR="0068097C" w:rsidRPr="002B3F36" w:rsidRDefault="0068097C" w:rsidP="0071168A">
      <w:pPr>
        <w:widowControl/>
        <w:numPr>
          <w:ilvl w:val="0"/>
          <w:numId w:val="215"/>
        </w:numPr>
        <w:autoSpaceDE/>
        <w:autoSpaceDN/>
        <w:jc w:val="both"/>
        <w:rPr>
          <w:rFonts w:ascii="Arial" w:eastAsia="Times New Roman" w:hAnsi="Arial" w:cs="Arial"/>
          <w:sz w:val="24"/>
          <w:szCs w:val="24"/>
        </w:rPr>
      </w:pPr>
      <w:r w:rsidRPr="002B3F36">
        <w:rPr>
          <w:rFonts w:ascii="Arial" w:eastAsia="Times New Roman" w:hAnsi="Arial" w:cs="Arial"/>
          <w:sz w:val="24"/>
          <w:szCs w:val="24"/>
        </w:rPr>
        <w:t>Establish a systematic approach to identifying and engaging stakeholders, with a focus on maintaining constructive relationships with PAPs;</w:t>
      </w:r>
    </w:p>
    <w:p w14:paraId="33B0E008" w14:textId="77777777" w:rsidR="0068097C" w:rsidRPr="002B3F36" w:rsidRDefault="0068097C" w:rsidP="009B4CDB">
      <w:pPr>
        <w:widowControl/>
        <w:numPr>
          <w:ilvl w:val="0"/>
          <w:numId w:val="21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Assess stakeholder interests and incorporate their views into project design and environmental and social performance measures;</w:t>
      </w:r>
    </w:p>
    <w:p w14:paraId="238F737E" w14:textId="77777777" w:rsidR="0068097C" w:rsidRPr="002B3F36" w:rsidRDefault="0068097C" w:rsidP="009B4CDB">
      <w:pPr>
        <w:widowControl/>
        <w:numPr>
          <w:ilvl w:val="0"/>
          <w:numId w:val="21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Promote effective, inclusive, and culturally appropriate engagement with PAPs on issues that may affect them;</w:t>
      </w:r>
    </w:p>
    <w:p w14:paraId="514E616B" w14:textId="77777777" w:rsidR="0068097C" w:rsidRPr="002B3F36" w:rsidRDefault="0068097C" w:rsidP="009B4CDB">
      <w:pPr>
        <w:widowControl/>
        <w:numPr>
          <w:ilvl w:val="0"/>
          <w:numId w:val="21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Ensure timely, accessible, and understandable disclosure of project information, including potential risks and impacts;</w:t>
      </w:r>
    </w:p>
    <w:p w14:paraId="46FC2C00" w14:textId="77777777" w:rsidR="0068097C" w:rsidRPr="002B3F36" w:rsidRDefault="0068097C" w:rsidP="009B4CDB">
      <w:pPr>
        <w:widowControl/>
        <w:numPr>
          <w:ilvl w:val="0"/>
          <w:numId w:val="215"/>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Provide PAPs with accessible and inclusive grievance mechanisms to raise issues and receive responses, with grievances tracked and resolved in a transparent manner.</w:t>
      </w:r>
    </w:p>
    <w:p w14:paraId="5330C594" w14:textId="77777777" w:rsidR="0068097C" w:rsidRPr="002B3F36" w:rsidRDefault="0068097C" w:rsidP="0071168A">
      <w:pPr>
        <w:pStyle w:val="ReportParagraph"/>
      </w:pPr>
      <w:r w:rsidRPr="002B3F36">
        <w:t>Two main stakeholder groups are recognized:</w:t>
      </w:r>
    </w:p>
    <w:p w14:paraId="1118A6D8" w14:textId="77777777" w:rsidR="0068097C" w:rsidRPr="002B3F36" w:rsidRDefault="0068097C" w:rsidP="0071168A">
      <w:pPr>
        <w:widowControl/>
        <w:numPr>
          <w:ilvl w:val="0"/>
          <w:numId w:val="216"/>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Project-Affected Parties (PAPs):</w:t>
      </w:r>
      <w:r w:rsidRPr="002B3F36">
        <w:rPr>
          <w:rFonts w:ascii="Arial" w:eastAsia="Times New Roman" w:hAnsi="Arial" w:cs="Arial"/>
          <w:sz w:val="24"/>
          <w:szCs w:val="24"/>
        </w:rPr>
        <w:t xml:space="preserve"> individuals and communities directly or indirectly affected by the railway, including households along the alignment, seasonal land users, vulnerable groups, and businesses affected by land acquisition or construction.</w:t>
      </w:r>
    </w:p>
    <w:p w14:paraId="79C56B68" w14:textId="77777777" w:rsidR="0068097C" w:rsidRPr="002B3F36" w:rsidRDefault="0068097C" w:rsidP="009B4CDB">
      <w:pPr>
        <w:widowControl/>
        <w:numPr>
          <w:ilvl w:val="0"/>
          <w:numId w:val="216"/>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Other Interested Parties (OIPs):</w:t>
      </w:r>
      <w:r w:rsidRPr="002B3F36">
        <w:rPr>
          <w:rFonts w:ascii="Arial" w:eastAsia="Times New Roman" w:hAnsi="Arial" w:cs="Arial"/>
          <w:sz w:val="24"/>
          <w:szCs w:val="24"/>
        </w:rPr>
        <w:t xml:space="preserve"> government authorities (akimats, regulators), civil society organizations, NGOs, academia, the private sector, contractors, and media who have an interest in the project’s development and impacts.</w:t>
      </w:r>
    </w:p>
    <w:p w14:paraId="25B664CD" w14:textId="6812DEB6" w:rsidR="0068097C" w:rsidRPr="002B3F36" w:rsidRDefault="0068097C" w:rsidP="0005187B">
      <w:pPr>
        <w:pStyle w:val="ReportParagraph"/>
      </w:pPr>
      <w:r w:rsidRPr="002B3F36">
        <w:t xml:space="preserve">For the </w:t>
      </w:r>
      <w:r w:rsidRPr="002B3F36">
        <w:rPr>
          <w:b/>
          <w:bCs/>
        </w:rPr>
        <w:t>Mointy–Kyzylzhar railway corridor</w:t>
      </w:r>
      <w:r w:rsidRPr="002B3F36">
        <w:t xml:space="preserve">, these stakeholders include communities and land users who will experience direct impacts from land acquisition, access restrictions, noise, dust, or disruption during construction. It is the responsibility of </w:t>
      </w:r>
      <w:r w:rsidRPr="002B3F36">
        <w:rPr>
          <w:b/>
          <w:bCs/>
        </w:rPr>
        <w:t>KTZ and the CSC</w:t>
      </w:r>
      <w:r w:rsidRPr="002B3F36">
        <w:t xml:space="preserve"> to maintain and update the SEP as the project progresses, ensuring that engagement activities remain relevant and effective.</w:t>
      </w:r>
    </w:p>
    <w:p w14:paraId="36F6DC23" w14:textId="77777777" w:rsidR="0005187B" w:rsidRPr="002B3F36" w:rsidRDefault="0005187B" w:rsidP="0005187B">
      <w:pPr>
        <w:pStyle w:val="ReportParagraph"/>
      </w:pPr>
    </w:p>
    <w:p w14:paraId="6145D53A" w14:textId="77777777" w:rsidR="0068097C" w:rsidRPr="002B3F36" w:rsidRDefault="0068097C" w:rsidP="009C738F">
      <w:pPr>
        <w:pStyle w:val="ReportParagraph"/>
      </w:pPr>
      <w:r w:rsidRPr="002B3F36">
        <w:t xml:space="preserve">The SEP details the methods and timing of engagement activities, such as community meetings, focus group discussions, formal public hearings, information disclosure through official notices and online platforms, and use of a </w:t>
      </w:r>
      <w:r w:rsidRPr="002B3F36">
        <w:rPr>
          <w:b/>
          <w:bCs/>
        </w:rPr>
        <w:t xml:space="preserve">24/7 Grievance Redress Mechanism </w:t>
      </w:r>
      <w:r w:rsidRPr="002B3F36">
        <w:rPr>
          <w:b/>
          <w:bCs/>
        </w:rPr>
        <w:lastRenderedPageBreak/>
        <w:t>(GRM)</w:t>
      </w:r>
      <w:r w:rsidRPr="002B3F36">
        <w:t>. These measures ensure that stakeholder feedback informs project planning, implementation, and monitoring.</w:t>
      </w:r>
    </w:p>
    <w:p w14:paraId="51E7B7C2" w14:textId="34CFB5E1" w:rsidR="00F61F8E" w:rsidRPr="002B3F36" w:rsidRDefault="000F264B" w:rsidP="0038476D">
      <w:pPr>
        <w:pStyle w:val="20"/>
        <w:keepNext/>
        <w:tabs>
          <w:tab w:val="clear" w:pos="540"/>
          <w:tab w:val="clear" w:pos="542"/>
        </w:tabs>
        <w:spacing w:before="240" w:after="240"/>
        <w:ind w:right="0"/>
        <w:rPr>
          <w:rFonts w:eastAsia="SimSun"/>
          <w:color w:val="auto"/>
        </w:rPr>
      </w:pPr>
      <w:bookmarkStart w:id="2630" w:name="_Toc210589534"/>
      <w:r w:rsidRPr="002B3F36">
        <w:rPr>
          <w:rFonts w:eastAsia="SimSun"/>
          <w:color w:val="auto"/>
        </w:rPr>
        <w:t>Consultations During Project Preparation</w:t>
      </w:r>
      <w:bookmarkEnd w:id="2624"/>
      <w:bookmarkEnd w:id="2625"/>
      <w:bookmarkEnd w:id="2626"/>
      <w:bookmarkEnd w:id="2627"/>
      <w:bookmarkEnd w:id="2628"/>
      <w:bookmarkEnd w:id="2629"/>
      <w:bookmarkEnd w:id="2630"/>
      <w:r w:rsidRPr="002B3F36">
        <w:rPr>
          <w:rFonts w:eastAsia="SimSun"/>
          <w:color w:val="auto"/>
        </w:rPr>
        <w:t xml:space="preserve"> </w:t>
      </w:r>
    </w:p>
    <w:p w14:paraId="7E2B918E" w14:textId="62C97DED" w:rsidR="0068097C" w:rsidRPr="002B3F36" w:rsidRDefault="0068097C" w:rsidP="0005187B">
      <w:pPr>
        <w:pStyle w:val="ReportParagraph"/>
      </w:pPr>
      <w:r w:rsidRPr="002B3F36">
        <w:t xml:space="preserve">Consistent with </w:t>
      </w:r>
      <w:r w:rsidR="00F95BD8" w:rsidRPr="002B3F36">
        <w:t>WB</w:t>
      </w:r>
      <w:r w:rsidRPr="002B3F36">
        <w:t xml:space="preserve"> Performance Standard 1 (PS1) and the requirements of the Environmental Code of the Republic of Kazakhstan (2021), early stakeholder engagement was carried out during the preparation of the Greenfield Railway Project. These consultations served to disclose project information, capture local perspectives, and ensure that environmental and social concerns were integrated into the ESIA and ESMP.</w:t>
      </w:r>
    </w:p>
    <w:p w14:paraId="07C394D2" w14:textId="77777777" w:rsidR="0005187B" w:rsidRPr="002B3F36" w:rsidRDefault="0005187B" w:rsidP="0005187B">
      <w:pPr>
        <w:pStyle w:val="ReportParagraph"/>
      </w:pPr>
    </w:p>
    <w:p w14:paraId="687BF529" w14:textId="66F0E2E2" w:rsidR="0068097C" w:rsidRPr="002B3F36" w:rsidRDefault="0068097C" w:rsidP="0005187B">
      <w:pPr>
        <w:pStyle w:val="ReportParagraph"/>
      </w:pPr>
      <w:r w:rsidRPr="002B3F36">
        <w:t xml:space="preserve">Consultations were undertaken with a broad range of stakeholders including affected land users, akimats, NGOs, women’s groups, and vulnerable households in </w:t>
      </w:r>
      <w:r w:rsidR="003A184C">
        <w:t>Karagandy</w:t>
      </w:r>
      <w:r w:rsidRPr="002B3F36">
        <w:t xml:space="preserve"> and Ulytau regions. The focus was on anticipated impacts such as land acquisition, compensation, seasonal access for livestock, biodiversity protection, construction-related disturbance (dust, noise, waste), and employment opportunities.</w:t>
      </w:r>
    </w:p>
    <w:p w14:paraId="7048B0EF" w14:textId="77777777" w:rsidR="0005187B" w:rsidRPr="002B3F36" w:rsidRDefault="0005187B" w:rsidP="0005187B">
      <w:pPr>
        <w:pStyle w:val="ReportParagraph"/>
      </w:pPr>
    </w:p>
    <w:p w14:paraId="76791A68" w14:textId="77777777" w:rsidR="0068097C" w:rsidRPr="002B3F36" w:rsidRDefault="0068097C" w:rsidP="00666FB7">
      <w:pPr>
        <w:pStyle w:val="ReportParagraph"/>
      </w:pPr>
      <w:r w:rsidRPr="002B3F36">
        <w:t>Key themes raised during the preparation phase included:</w:t>
      </w:r>
    </w:p>
    <w:p w14:paraId="1EF6F2EE" w14:textId="77777777" w:rsidR="0068097C" w:rsidRPr="002B3F36" w:rsidRDefault="0068097C" w:rsidP="00666FB7">
      <w:pPr>
        <w:pStyle w:val="aff9"/>
        <w:numPr>
          <w:ilvl w:val="0"/>
          <w:numId w:val="217"/>
        </w:numPr>
        <w:spacing w:before="0" w:beforeAutospacing="0" w:after="0" w:afterAutospacing="0"/>
        <w:jc w:val="both"/>
        <w:rPr>
          <w:rFonts w:ascii="Arial" w:hAnsi="Arial" w:cs="Arial"/>
        </w:rPr>
      </w:pPr>
      <w:r w:rsidRPr="002B3F36">
        <w:rPr>
          <w:rStyle w:val="affffb"/>
        </w:rPr>
        <w:t>Land and livelihoods</w:t>
      </w:r>
      <w:r w:rsidRPr="002B3F36">
        <w:rPr>
          <w:rFonts w:ascii="Arial" w:hAnsi="Arial" w:cs="Arial"/>
        </w:rPr>
        <w:t xml:space="preserve"> – clarity on compensation principles, crop and pasture access, and livelihood restoration.</w:t>
      </w:r>
    </w:p>
    <w:p w14:paraId="02D264B7" w14:textId="77777777" w:rsidR="0068097C" w:rsidRPr="002B3F36" w:rsidRDefault="0068097C" w:rsidP="009B4CDB">
      <w:pPr>
        <w:pStyle w:val="aff9"/>
        <w:numPr>
          <w:ilvl w:val="0"/>
          <w:numId w:val="217"/>
        </w:numPr>
        <w:jc w:val="both"/>
        <w:rPr>
          <w:rFonts w:ascii="Arial" w:hAnsi="Arial" w:cs="Arial"/>
        </w:rPr>
      </w:pPr>
      <w:r w:rsidRPr="002B3F36">
        <w:rPr>
          <w:rStyle w:val="affffb"/>
        </w:rPr>
        <w:t>Community safety and access</w:t>
      </w:r>
      <w:r w:rsidRPr="002B3F36">
        <w:rPr>
          <w:rFonts w:ascii="Arial" w:hAnsi="Arial" w:cs="Arial"/>
        </w:rPr>
        <w:t xml:space="preserve"> – requests for livestock crossings, traffic management measures, and safety protocols near construction areas.</w:t>
      </w:r>
    </w:p>
    <w:p w14:paraId="5C6E6232" w14:textId="77777777" w:rsidR="0068097C" w:rsidRPr="002B3F36" w:rsidRDefault="0068097C" w:rsidP="009B4CDB">
      <w:pPr>
        <w:pStyle w:val="aff9"/>
        <w:numPr>
          <w:ilvl w:val="0"/>
          <w:numId w:val="217"/>
        </w:numPr>
        <w:jc w:val="both"/>
        <w:rPr>
          <w:rFonts w:ascii="Arial" w:hAnsi="Arial" w:cs="Arial"/>
        </w:rPr>
      </w:pPr>
      <w:r w:rsidRPr="002B3F36">
        <w:rPr>
          <w:rStyle w:val="affffb"/>
        </w:rPr>
        <w:t>Environmental protection</w:t>
      </w:r>
      <w:r w:rsidRPr="002B3F36">
        <w:rPr>
          <w:rFonts w:ascii="Arial" w:hAnsi="Arial" w:cs="Arial"/>
        </w:rPr>
        <w:t xml:space="preserve"> – concerns regarding biodiversity (notably saiga migration), dust and noise emissions, and waste handling.</w:t>
      </w:r>
    </w:p>
    <w:p w14:paraId="11BA0E55" w14:textId="77777777" w:rsidR="0068097C" w:rsidRPr="002B3F36" w:rsidRDefault="0068097C" w:rsidP="009B4CDB">
      <w:pPr>
        <w:pStyle w:val="aff9"/>
        <w:numPr>
          <w:ilvl w:val="0"/>
          <w:numId w:val="217"/>
        </w:numPr>
        <w:jc w:val="both"/>
        <w:rPr>
          <w:rFonts w:ascii="Arial" w:hAnsi="Arial" w:cs="Arial"/>
        </w:rPr>
      </w:pPr>
      <w:r w:rsidRPr="002B3F36">
        <w:rPr>
          <w:rStyle w:val="affffb"/>
        </w:rPr>
        <w:t>Employment and opportunities</w:t>
      </w:r>
      <w:r w:rsidRPr="002B3F36">
        <w:rPr>
          <w:rFonts w:ascii="Arial" w:hAnsi="Arial" w:cs="Arial"/>
        </w:rPr>
        <w:t xml:space="preserve"> – interest in local hiring and capacity-building during construction.</w:t>
      </w:r>
    </w:p>
    <w:p w14:paraId="29C48828" w14:textId="77777777" w:rsidR="0068097C" w:rsidRPr="002B3F36" w:rsidRDefault="0068097C" w:rsidP="009B4CDB">
      <w:pPr>
        <w:pStyle w:val="aff9"/>
        <w:numPr>
          <w:ilvl w:val="0"/>
          <w:numId w:val="217"/>
        </w:numPr>
        <w:jc w:val="both"/>
        <w:rPr>
          <w:rFonts w:ascii="Arial" w:hAnsi="Arial" w:cs="Arial"/>
        </w:rPr>
      </w:pPr>
      <w:r w:rsidRPr="002B3F36">
        <w:rPr>
          <w:rStyle w:val="affffb"/>
        </w:rPr>
        <w:t>Grievance redress</w:t>
      </w:r>
      <w:r w:rsidRPr="002B3F36">
        <w:rPr>
          <w:rFonts w:ascii="Arial" w:hAnsi="Arial" w:cs="Arial"/>
        </w:rPr>
        <w:t xml:space="preserve"> – the need for an accessible and responsive GRM at village and district levels, with akimat involvement.</w:t>
      </w:r>
    </w:p>
    <w:p w14:paraId="73A81FA0" w14:textId="77777777" w:rsidR="0068097C" w:rsidRPr="002B3F36" w:rsidRDefault="0068097C" w:rsidP="0068097C">
      <w:pPr>
        <w:pStyle w:val="aff9"/>
        <w:jc w:val="both"/>
        <w:rPr>
          <w:rFonts w:ascii="Arial" w:hAnsi="Arial" w:cs="Arial"/>
        </w:rPr>
      </w:pPr>
      <w:r w:rsidRPr="002B3F36">
        <w:rPr>
          <w:rFonts w:ascii="Arial" w:hAnsi="Arial" w:cs="Arial"/>
        </w:rPr>
        <w:t xml:space="preserve">Mandatory </w:t>
      </w:r>
      <w:r w:rsidRPr="002B3F36">
        <w:rPr>
          <w:rStyle w:val="affffb"/>
        </w:rPr>
        <w:t>public hearings</w:t>
      </w:r>
      <w:r w:rsidRPr="002B3F36">
        <w:rPr>
          <w:rFonts w:ascii="Arial" w:hAnsi="Arial" w:cs="Arial"/>
        </w:rPr>
        <w:t xml:space="preserve"> were also conducted in line with Kazakhstan’s EIA disclosure requirements, where the draft ESIA was presented to the public and formal minutes recorded.</w:t>
      </w:r>
    </w:p>
    <w:p w14:paraId="13D226B4" w14:textId="77777777" w:rsidR="0068097C" w:rsidRPr="002B3F36" w:rsidRDefault="0068097C" w:rsidP="0068097C">
      <w:pPr>
        <w:pStyle w:val="aff9"/>
        <w:jc w:val="both"/>
        <w:rPr>
          <w:rFonts w:ascii="Arial" w:hAnsi="Arial" w:cs="Arial"/>
        </w:rPr>
      </w:pPr>
      <w:r w:rsidRPr="002B3F36">
        <w:rPr>
          <w:rFonts w:ascii="Arial" w:hAnsi="Arial" w:cs="Arial"/>
        </w:rPr>
        <w:t>The table below summarizes the main consultations conducted during project preparation:</w:t>
      </w:r>
    </w:p>
    <w:p w14:paraId="00237853" w14:textId="0CECA2BF" w:rsidR="0068097C" w:rsidRPr="002B3F36" w:rsidRDefault="00047090" w:rsidP="00047090">
      <w:pPr>
        <w:pStyle w:val="TableCaption"/>
      </w:pPr>
      <w:bookmarkStart w:id="2631" w:name="_Toc210589588"/>
      <w:r w:rsidRPr="002B3F36">
        <w:t xml:space="preserve">Table </w:t>
      </w:r>
      <w:r w:rsidR="00F3729F" w:rsidRPr="002B3F36">
        <w:rPr>
          <w:noProof/>
        </w:rPr>
        <w:fldChar w:fldCharType="begin"/>
      </w:r>
      <w:r w:rsidR="00F3729F" w:rsidRPr="002B3F36">
        <w:rPr>
          <w:noProof/>
        </w:rPr>
        <w:instrText xml:space="preserve"> SEQ Table \* ARABIC </w:instrText>
      </w:r>
      <w:r w:rsidR="00F3729F" w:rsidRPr="002B3F36">
        <w:rPr>
          <w:noProof/>
        </w:rPr>
        <w:fldChar w:fldCharType="separate"/>
      </w:r>
      <w:r w:rsidR="002B3F36">
        <w:rPr>
          <w:noProof/>
        </w:rPr>
        <w:t>44</w:t>
      </w:r>
      <w:r w:rsidR="00F3729F" w:rsidRPr="002B3F36">
        <w:rPr>
          <w:noProof/>
        </w:rPr>
        <w:fldChar w:fldCharType="end"/>
      </w:r>
      <w:r w:rsidRPr="002B3F36">
        <w:t xml:space="preserve">: </w:t>
      </w:r>
      <w:r w:rsidR="0068097C" w:rsidRPr="002B3F36">
        <w:t>Engagement Log – Consultations During Project Preparation</w:t>
      </w:r>
      <w:bookmarkEnd w:id="2631"/>
    </w:p>
    <w:tbl>
      <w:tblPr>
        <w:tblStyle w:val="TableGrid2"/>
        <w:tblW w:w="0" w:type="auto"/>
        <w:tblLook w:val="04A0" w:firstRow="1" w:lastRow="0" w:firstColumn="1" w:lastColumn="0" w:noHBand="0" w:noVBand="1"/>
      </w:tblPr>
      <w:tblGrid>
        <w:gridCol w:w="900"/>
        <w:gridCol w:w="2040"/>
        <w:gridCol w:w="1906"/>
        <w:gridCol w:w="2135"/>
        <w:gridCol w:w="2706"/>
      </w:tblGrid>
      <w:tr w:rsidR="0068097C" w:rsidRPr="002B3F36" w14:paraId="50680232" w14:textId="77777777" w:rsidTr="003D4675">
        <w:trPr>
          <w:tblHeader/>
        </w:trPr>
        <w:tc>
          <w:tcPr>
            <w:tcW w:w="0" w:type="auto"/>
            <w:shd w:val="clear" w:color="auto" w:fill="F2F2F2" w:themeFill="background1" w:themeFillShade="F2"/>
            <w:hideMark/>
          </w:tcPr>
          <w:p w14:paraId="48426604"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Date</w:t>
            </w:r>
          </w:p>
        </w:tc>
        <w:tc>
          <w:tcPr>
            <w:tcW w:w="0" w:type="auto"/>
            <w:shd w:val="clear" w:color="auto" w:fill="F2F2F2" w:themeFill="background1" w:themeFillShade="F2"/>
            <w:hideMark/>
          </w:tcPr>
          <w:p w14:paraId="365088DC"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Location</w:t>
            </w:r>
          </w:p>
        </w:tc>
        <w:tc>
          <w:tcPr>
            <w:tcW w:w="0" w:type="auto"/>
            <w:shd w:val="clear" w:color="auto" w:fill="F2F2F2" w:themeFill="background1" w:themeFillShade="F2"/>
            <w:hideMark/>
          </w:tcPr>
          <w:p w14:paraId="4A9F3EDB"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Stakeholder Group(s) Engaged</w:t>
            </w:r>
          </w:p>
        </w:tc>
        <w:tc>
          <w:tcPr>
            <w:tcW w:w="0" w:type="auto"/>
            <w:shd w:val="clear" w:color="auto" w:fill="F2F2F2" w:themeFill="background1" w:themeFillShade="F2"/>
            <w:hideMark/>
          </w:tcPr>
          <w:p w14:paraId="5A3B36B7"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Key Issues Raised</w:t>
            </w:r>
          </w:p>
        </w:tc>
        <w:tc>
          <w:tcPr>
            <w:tcW w:w="0" w:type="auto"/>
            <w:shd w:val="clear" w:color="auto" w:fill="F2F2F2" w:themeFill="background1" w:themeFillShade="F2"/>
            <w:hideMark/>
          </w:tcPr>
          <w:p w14:paraId="2CAEFE8C"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Project Responses / Follow-up Actions</w:t>
            </w:r>
          </w:p>
        </w:tc>
      </w:tr>
      <w:tr w:rsidR="0068097C" w:rsidRPr="002B3F36" w14:paraId="672CA137" w14:textId="77777777" w:rsidTr="0068097C">
        <w:tc>
          <w:tcPr>
            <w:tcW w:w="0" w:type="auto"/>
            <w:hideMark/>
          </w:tcPr>
          <w:p w14:paraId="412920FD"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08 Sep 2025</w:t>
            </w:r>
          </w:p>
        </w:tc>
        <w:tc>
          <w:tcPr>
            <w:tcW w:w="0" w:type="auto"/>
            <w:hideMark/>
          </w:tcPr>
          <w:p w14:paraId="61E3682B"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Togusken, Aktau</w:t>
            </w:r>
          </w:p>
        </w:tc>
        <w:tc>
          <w:tcPr>
            <w:tcW w:w="0" w:type="auto"/>
            <w:hideMark/>
          </w:tcPr>
          <w:p w14:paraId="6C2026CA"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Land users, community members</w:t>
            </w:r>
          </w:p>
        </w:tc>
        <w:tc>
          <w:tcPr>
            <w:tcW w:w="0" w:type="auto"/>
            <w:hideMark/>
          </w:tcPr>
          <w:p w14:paraId="287D062D"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Concerns about land acquisition, compensation principles, pasture access, and job opportunities</w:t>
            </w:r>
          </w:p>
        </w:tc>
        <w:tc>
          <w:tcPr>
            <w:tcW w:w="0" w:type="auto"/>
            <w:hideMark/>
          </w:tcPr>
          <w:p w14:paraId="5F62AA50" w14:textId="4C02EFD2"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Clarified compensation to be at replacement cost; noted seasonal access needs; employment commitments to be detailed in</w:t>
            </w:r>
            <w:r w:rsidR="002E585D" w:rsidRPr="002B3F36">
              <w:rPr>
                <w:rFonts w:ascii="Arial" w:eastAsia="Times New Roman" w:hAnsi="Arial" w:cs="Arial"/>
                <w:sz w:val="20"/>
                <w:szCs w:val="20"/>
              </w:rPr>
              <w:t xml:space="preserve"> LARAP</w:t>
            </w:r>
            <w:r w:rsidRPr="002B3F36">
              <w:rPr>
                <w:rFonts w:ascii="Arial" w:eastAsia="Times New Roman" w:hAnsi="Arial" w:cs="Arial"/>
                <w:sz w:val="20"/>
                <w:szCs w:val="20"/>
              </w:rPr>
              <w:t>/SEP updates</w:t>
            </w:r>
          </w:p>
        </w:tc>
      </w:tr>
      <w:tr w:rsidR="0068097C" w:rsidRPr="002B3F36" w14:paraId="5D71B7B0" w14:textId="77777777" w:rsidTr="0068097C">
        <w:tc>
          <w:tcPr>
            <w:tcW w:w="0" w:type="auto"/>
            <w:hideMark/>
          </w:tcPr>
          <w:p w14:paraId="3631B93C"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09 Sep 2025</w:t>
            </w:r>
          </w:p>
        </w:tc>
        <w:tc>
          <w:tcPr>
            <w:tcW w:w="0" w:type="auto"/>
            <w:hideMark/>
          </w:tcPr>
          <w:p w14:paraId="2C9C0F1C"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Aqadyr</w:t>
            </w:r>
          </w:p>
        </w:tc>
        <w:tc>
          <w:tcPr>
            <w:tcW w:w="0" w:type="auto"/>
            <w:hideMark/>
          </w:tcPr>
          <w:p w14:paraId="79FC769E"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Land users, local representatives</w:t>
            </w:r>
          </w:p>
        </w:tc>
        <w:tc>
          <w:tcPr>
            <w:tcW w:w="0" w:type="auto"/>
            <w:hideMark/>
          </w:tcPr>
          <w:p w14:paraId="655F763F"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Questions about timing of land surveys, grievance handling, and access for livestock crossings</w:t>
            </w:r>
          </w:p>
        </w:tc>
        <w:tc>
          <w:tcPr>
            <w:tcW w:w="0" w:type="auto"/>
            <w:hideMark/>
          </w:tcPr>
          <w:p w14:paraId="1A4829A1"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Agreed to establish livestock crossing strategy; GRM hotline to be publicized; survey schedules to be disclosed via akimat offices</w:t>
            </w:r>
          </w:p>
        </w:tc>
      </w:tr>
      <w:tr w:rsidR="0068097C" w:rsidRPr="002B3F36" w14:paraId="722905D0" w14:textId="77777777" w:rsidTr="0068097C">
        <w:tc>
          <w:tcPr>
            <w:tcW w:w="0" w:type="auto"/>
            <w:hideMark/>
          </w:tcPr>
          <w:p w14:paraId="6EA0CF99"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24–25 Sep 2025*</w:t>
            </w:r>
          </w:p>
        </w:tc>
        <w:tc>
          <w:tcPr>
            <w:tcW w:w="0" w:type="auto"/>
            <w:hideMark/>
          </w:tcPr>
          <w:p w14:paraId="2A4919AB" w14:textId="423CE69F"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District-level (</w:t>
            </w:r>
            <w:r w:rsidR="003A184C">
              <w:rPr>
                <w:rFonts w:ascii="Arial" w:eastAsia="Times New Roman" w:hAnsi="Arial" w:cs="Arial"/>
                <w:sz w:val="20"/>
                <w:szCs w:val="20"/>
              </w:rPr>
              <w:t>Karagandy</w:t>
            </w:r>
            <w:r w:rsidRPr="002B3F36">
              <w:rPr>
                <w:rFonts w:ascii="Arial" w:eastAsia="Times New Roman" w:hAnsi="Arial" w:cs="Arial"/>
                <w:sz w:val="20"/>
                <w:szCs w:val="20"/>
              </w:rPr>
              <w:t>/Ulytau)</w:t>
            </w:r>
          </w:p>
        </w:tc>
        <w:tc>
          <w:tcPr>
            <w:tcW w:w="0" w:type="auto"/>
            <w:hideMark/>
          </w:tcPr>
          <w:p w14:paraId="516A7CFA"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Akimats, NGOs, women’s groups, vulnerable households</w:t>
            </w:r>
          </w:p>
        </w:tc>
        <w:tc>
          <w:tcPr>
            <w:tcW w:w="0" w:type="auto"/>
            <w:hideMark/>
          </w:tcPr>
          <w:p w14:paraId="7D496413"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Anticipated construction impacts on vulnerable groups, role of akimats in grievance management</w:t>
            </w:r>
          </w:p>
        </w:tc>
        <w:tc>
          <w:tcPr>
            <w:tcW w:w="0" w:type="auto"/>
            <w:hideMark/>
          </w:tcPr>
          <w:p w14:paraId="03912444"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Planned targeted livelihood restoration support; commitments to include akimat in GRM management</w:t>
            </w:r>
          </w:p>
        </w:tc>
      </w:tr>
      <w:tr w:rsidR="0068097C" w:rsidRPr="002B3F36" w14:paraId="341F40DA" w14:textId="77777777" w:rsidTr="0068097C">
        <w:tc>
          <w:tcPr>
            <w:tcW w:w="0" w:type="auto"/>
            <w:hideMark/>
          </w:tcPr>
          <w:p w14:paraId="2AD0F6D9"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lastRenderedPageBreak/>
              <w:t>13 Oct 2025**</w:t>
            </w:r>
          </w:p>
        </w:tc>
        <w:tc>
          <w:tcPr>
            <w:tcW w:w="0" w:type="auto"/>
            <w:hideMark/>
          </w:tcPr>
          <w:p w14:paraId="2D9AA718" w14:textId="2E0B383D" w:rsidR="0068097C" w:rsidRPr="002B3F36" w:rsidRDefault="007503B5" w:rsidP="0068097C">
            <w:pPr>
              <w:rPr>
                <w:rFonts w:ascii="Arial" w:eastAsia="Times New Roman" w:hAnsi="Arial" w:cs="Arial"/>
                <w:sz w:val="20"/>
                <w:szCs w:val="20"/>
              </w:rPr>
            </w:pPr>
            <w:r w:rsidRPr="002B3F36">
              <w:rPr>
                <w:rFonts w:ascii="Arial" w:eastAsia="Times New Roman" w:hAnsi="Arial" w:cs="Arial"/>
                <w:sz w:val="20"/>
                <w:szCs w:val="20"/>
              </w:rPr>
              <w:t>Mointy</w:t>
            </w:r>
          </w:p>
        </w:tc>
        <w:tc>
          <w:tcPr>
            <w:tcW w:w="0" w:type="auto"/>
            <w:hideMark/>
          </w:tcPr>
          <w:p w14:paraId="21090967"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Public hearing under national EIA procedure</w:t>
            </w:r>
          </w:p>
        </w:tc>
        <w:tc>
          <w:tcPr>
            <w:tcW w:w="0" w:type="auto"/>
            <w:hideMark/>
          </w:tcPr>
          <w:p w14:paraId="72BA8B68"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General concerns on environmental protection, biodiversity, and community health and safety</w:t>
            </w:r>
          </w:p>
        </w:tc>
        <w:tc>
          <w:tcPr>
            <w:tcW w:w="0" w:type="auto"/>
            <w:hideMark/>
          </w:tcPr>
          <w:p w14:paraId="7983108F"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Formal minutes to be integrated in state review; issues reflected in final ESIA/ESMP</w:t>
            </w:r>
          </w:p>
        </w:tc>
      </w:tr>
      <w:tr w:rsidR="0068097C" w:rsidRPr="002B3F36" w14:paraId="093A7C6A" w14:textId="77777777" w:rsidTr="0068097C">
        <w:tc>
          <w:tcPr>
            <w:tcW w:w="0" w:type="auto"/>
            <w:hideMark/>
          </w:tcPr>
          <w:p w14:paraId="2E07AB43"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14 Oct 2025**</w:t>
            </w:r>
          </w:p>
        </w:tc>
        <w:tc>
          <w:tcPr>
            <w:tcW w:w="0" w:type="auto"/>
            <w:hideMark/>
          </w:tcPr>
          <w:p w14:paraId="7741E86D"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Karazhal</w:t>
            </w:r>
          </w:p>
        </w:tc>
        <w:tc>
          <w:tcPr>
            <w:tcW w:w="0" w:type="auto"/>
            <w:hideMark/>
          </w:tcPr>
          <w:p w14:paraId="367E9B8E"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Public hearing under national EIA procedure</w:t>
            </w:r>
          </w:p>
        </w:tc>
        <w:tc>
          <w:tcPr>
            <w:tcW w:w="0" w:type="auto"/>
            <w:hideMark/>
          </w:tcPr>
          <w:p w14:paraId="3222571A"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Requests for detailed disclosure of mitigation measures, noise/dust control, and waste management</w:t>
            </w:r>
          </w:p>
        </w:tc>
        <w:tc>
          <w:tcPr>
            <w:tcW w:w="0" w:type="auto"/>
            <w:hideMark/>
          </w:tcPr>
          <w:p w14:paraId="6A7442FB"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KTZ/Consultants presented draft EIA; responses logged in hearing minutes; feedback to be incorporated in ESMP and C-ESMPs</w:t>
            </w:r>
          </w:p>
        </w:tc>
      </w:tr>
    </w:tbl>
    <w:p w14:paraId="1F81567A" w14:textId="07675A79" w:rsidR="0068097C" w:rsidRPr="002B3F36" w:rsidRDefault="0068097C" w:rsidP="0005187B">
      <w:pPr>
        <w:rPr>
          <w:rFonts w:ascii="Arial" w:hAnsi="Arial" w:cs="Arial"/>
          <w:i/>
        </w:rPr>
      </w:pPr>
      <w:r w:rsidRPr="002B3F36">
        <w:rPr>
          <w:rFonts w:ascii="Arial" w:hAnsi="Arial" w:cs="Arial"/>
          <w:i/>
        </w:rPr>
        <w:t>*Scheduled consultations.</w:t>
      </w:r>
      <w:r w:rsidRPr="002B3F36">
        <w:rPr>
          <w:rFonts w:ascii="Arial" w:hAnsi="Arial" w:cs="Arial"/>
          <w:i/>
        </w:rPr>
        <w:br/>
        <w:t>**Mandatory public hearings as per Environmental Code of Kazakhstan (2021).</w:t>
      </w:r>
    </w:p>
    <w:p w14:paraId="41817CE5" w14:textId="1494A669" w:rsidR="00F61F8E" w:rsidRPr="002B3F36" w:rsidRDefault="00F61F8E">
      <w:pPr>
        <w:pStyle w:val="ReportBody"/>
        <w:rPr>
          <w:rFonts w:eastAsia="SimSun" w:cs="Arial"/>
        </w:rPr>
      </w:pPr>
    </w:p>
    <w:p w14:paraId="1FA13ADB" w14:textId="77777777" w:rsidR="00F61F8E" w:rsidRPr="002B3F36" w:rsidRDefault="000F264B" w:rsidP="0005187B">
      <w:pPr>
        <w:pStyle w:val="20"/>
      </w:pPr>
      <w:bookmarkStart w:id="2632" w:name="_Toc65953929"/>
      <w:bookmarkStart w:id="2633" w:name="_Toc65954183"/>
      <w:bookmarkStart w:id="2634" w:name="_Toc65968634"/>
      <w:bookmarkStart w:id="2635" w:name="_Toc169094813"/>
      <w:bookmarkStart w:id="2636" w:name="_Toc208973892"/>
      <w:bookmarkStart w:id="2637" w:name="_Toc208974092"/>
      <w:bookmarkStart w:id="2638" w:name="_Toc208974292"/>
      <w:bookmarkStart w:id="2639" w:name="_Toc208974495"/>
      <w:bookmarkStart w:id="2640" w:name="_Toc208974697"/>
      <w:bookmarkStart w:id="2641" w:name="_Toc210589535"/>
      <w:bookmarkEnd w:id="2632"/>
      <w:bookmarkEnd w:id="2633"/>
      <w:bookmarkEnd w:id="2634"/>
      <w:r w:rsidRPr="002B3F36">
        <w:t>Consultations During Project Implementation</w:t>
      </w:r>
      <w:bookmarkEnd w:id="2635"/>
      <w:bookmarkEnd w:id="2636"/>
      <w:bookmarkEnd w:id="2637"/>
      <w:bookmarkEnd w:id="2638"/>
      <w:bookmarkEnd w:id="2639"/>
      <w:bookmarkEnd w:id="2640"/>
      <w:bookmarkEnd w:id="2641"/>
    </w:p>
    <w:p w14:paraId="75583151" w14:textId="77777777" w:rsidR="0005187B" w:rsidRPr="002B3F36" w:rsidRDefault="0005187B" w:rsidP="0005187B">
      <w:pPr>
        <w:pStyle w:val="ReportParagraph"/>
      </w:pPr>
    </w:p>
    <w:p w14:paraId="1BE3DD3B" w14:textId="73145EE0" w:rsidR="0068097C" w:rsidRPr="002B3F36" w:rsidRDefault="0068097C" w:rsidP="0005187B">
      <w:pPr>
        <w:pStyle w:val="ReportParagraph"/>
      </w:pPr>
      <w:r w:rsidRPr="002B3F36">
        <w:t xml:space="preserve">According to </w:t>
      </w:r>
      <w:r w:rsidR="00163238" w:rsidRPr="002B3F36">
        <w:rPr>
          <w:b/>
          <w:bCs/>
        </w:rPr>
        <w:t>WB PS</w:t>
      </w:r>
      <w:r w:rsidRPr="002B3F36">
        <w:rPr>
          <w:b/>
          <w:bCs/>
        </w:rPr>
        <w:t>1</w:t>
      </w:r>
      <w:r w:rsidRPr="002B3F36">
        <w:t xml:space="preserve"> (Assessment and Management of Environmental and Social Risks and Impacts), stakeholder engagement is an inclusive and iterative process conducted throughout the project life cycle. Effective implementation of engagement activities is critical for building constructive and responsive relationships with project-affected communities, workers, and other stakeholders, and for ensuring the project’s environmental and social risks are appropriately managed.</w:t>
      </w:r>
    </w:p>
    <w:p w14:paraId="7D03954D" w14:textId="77777777" w:rsidR="0005187B" w:rsidRPr="002B3F36" w:rsidRDefault="0005187B" w:rsidP="0005187B">
      <w:pPr>
        <w:pStyle w:val="ReportParagraph"/>
      </w:pPr>
    </w:p>
    <w:p w14:paraId="0FAAE1A0" w14:textId="0D839539" w:rsidR="0068097C" w:rsidRPr="002B3F36" w:rsidRDefault="0068097C" w:rsidP="0005187B">
      <w:pPr>
        <w:pStyle w:val="ReportParagraph"/>
        <w:rPr>
          <w:rFonts w:eastAsia="Times New Roman"/>
        </w:rPr>
      </w:pPr>
      <w:r w:rsidRPr="002B3F36">
        <w:rPr>
          <w:rFonts w:eastAsia="Times New Roman"/>
        </w:rPr>
        <w:t xml:space="preserve">During the </w:t>
      </w:r>
      <w:r w:rsidRPr="002B3F36">
        <w:rPr>
          <w:rFonts w:eastAsia="Times New Roman"/>
          <w:b/>
          <w:bCs/>
        </w:rPr>
        <w:t>implementation phase of the Greenfield Railway Project</w:t>
      </w:r>
      <w:r w:rsidRPr="002B3F36">
        <w:rPr>
          <w:rFonts w:eastAsia="Times New Roman"/>
        </w:rPr>
        <w:t>, consultations and information disclosure will remain an ongoing process. This will include structured meetings, focus group discussions, public briefings, and household-level interactions, depending on the issues and stakeholder groups involved. The Construction Supervision Consultant (CSC), together with KTZ, will ensure that these activities are aligned with the Stakeholder Engagement Plan (SEP) and are responsive to emerging issues identified during construction.</w:t>
      </w:r>
    </w:p>
    <w:p w14:paraId="0C007511" w14:textId="77777777" w:rsidR="0005187B" w:rsidRPr="002B3F36" w:rsidRDefault="0005187B" w:rsidP="0005187B">
      <w:pPr>
        <w:pStyle w:val="ReportParagraph"/>
        <w:rPr>
          <w:rFonts w:eastAsia="Times New Roman"/>
        </w:rPr>
      </w:pPr>
    </w:p>
    <w:p w14:paraId="299E6BA7" w14:textId="77777777" w:rsidR="0068097C" w:rsidRPr="002B3F36" w:rsidRDefault="0068097C" w:rsidP="00666FB7">
      <w:pPr>
        <w:pStyle w:val="ReportParagraph"/>
        <w:rPr>
          <w:rFonts w:eastAsia="Times New Roman"/>
        </w:rPr>
      </w:pPr>
      <w:r w:rsidRPr="002B3F36">
        <w:rPr>
          <w:rFonts w:eastAsia="Times New Roman"/>
        </w:rPr>
        <w:t>Consultations will focus on:</w:t>
      </w:r>
    </w:p>
    <w:p w14:paraId="3D94A5CF" w14:textId="77777777" w:rsidR="0068097C" w:rsidRPr="002B3F36" w:rsidRDefault="0068097C" w:rsidP="00666FB7">
      <w:pPr>
        <w:widowControl/>
        <w:numPr>
          <w:ilvl w:val="0"/>
          <w:numId w:val="218"/>
        </w:numPr>
        <w:autoSpaceDE/>
        <w:autoSpaceDN/>
        <w:jc w:val="both"/>
        <w:rPr>
          <w:rFonts w:ascii="Arial" w:eastAsia="Times New Roman" w:hAnsi="Arial" w:cs="Arial"/>
          <w:sz w:val="24"/>
          <w:szCs w:val="24"/>
        </w:rPr>
      </w:pPr>
      <w:r w:rsidRPr="002B3F36">
        <w:rPr>
          <w:rFonts w:ascii="Arial" w:eastAsia="Times New Roman" w:hAnsi="Arial" w:cs="Arial"/>
          <w:b/>
          <w:bCs/>
          <w:sz w:val="24"/>
          <w:szCs w:val="24"/>
        </w:rPr>
        <w:t>Environmental and social risks</w:t>
      </w:r>
      <w:r w:rsidRPr="002B3F36">
        <w:rPr>
          <w:rFonts w:ascii="Arial" w:eastAsia="Times New Roman" w:hAnsi="Arial" w:cs="Arial"/>
          <w:sz w:val="24"/>
          <w:szCs w:val="24"/>
        </w:rPr>
        <w:t xml:space="preserve"> – ongoing disclosure of mitigation measures related to air quality, noise, waste, water use, biodiversity, and traffic safety.</w:t>
      </w:r>
    </w:p>
    <w:p w14:paraId="0AA9BC43" w14:textId="77777777" w:rsidR="0068097C" w:rsidRPr="002B3F36" w:rsidRDefault="0068097C" w:rsidP="009B4CDB">
      <w:pPr>
        <w:widowControl/>
        <w:numPr>
          <w:ilvl w:val="0"/>
          <w:numId w:val="21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Land acquisition and resettlement (PS5)</w:t>
      </w:r>
      <w:r w:rsidRPr="002B3F36">
        <w:rPr>
          <w:rFonts w:ascii="Arial" w:eastAsia="Times New Roman" w:hAnsi="Arial" w:cs="Arial"/>
          <w:sz w:val="24"/>
          <w:szCs w:val="24"/>
        </w:rPr>
        <w:t xml:space="preserve"> – updates on compensation status, transitional support, and livelihood restoration activities.</w:t>
      </w:r>
    </w:p>
    <w:p w14:paraId="2CA80373" w14:textId="77777777" w:rsidR="0068097C" w:rsidRPr="002B3F36" w:rsidRDefault="0068097C" w:rsidP="009B4CDB">
      <w:pPr>
        <w:widowControl/>
        <w:numPr>
          <w:ilvl w:val="0"/>
          <w:numId w:val="21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Community health and safety (PS4)</w:t>
      </w:r>
      <w:r w:rsidRPr="002B3F36">
        <w:rPr>
          <w:rFonts w:ascii="Arial" w:eastAsia="Times New Roman" w:hAnsi="Arial" w:cs="Arial"/>
          <w:sz w:val="24"/>
          <w:szCs w:val="24"/>
        </w:rPr>
        <w:t xml:space="preserve"> – awareness campaigns on traffic safety, access restrictions, and emergency preparedness.</w:t>
      </w:r>
    </w:p>
    <w:p w14:paraId="44991397" w14:textId="77777777" w:rsidR="0068097C" w:rsidRPr="002B3F36" w:rsidRDefault="0068097C" w:rsidP="009B4CDB">
      <w:pPr>
        <w:widowControl/>
        <w:numPr>
          <w:ilvl w:val="0"/>
          <w:numId w:val="21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Employment and labor (PS2)</w:t>
      </w:r>
      <w:r w:rsidRPr="002B3F36">
        <w:rPr>
          <w:rFonts w:ascii="Arial" w:eastAsia="Times New Roman" w:hAnsi="Arial" w:cs="Arial"/>
          <w:sz w:val="24"/>
          <w:szCs w:val="24"/>
        </w:rPr>
        <w:t xml:space="preserve"> – information sessions on job opportunities, worker rights, labor grievance mechanisms, and enforcement of the Worker’s Code of Conduct.</w:t>
      </w:r>
    </w:p>
    <w:p w14:paraId="3F916644" w14:textId="77777777" w:rsidR="0068097C" w:rsidRPr="002B3F36" w:rsidRDefault="0068097C" w:rsidP="009B4CDB">
      <w:pPr>
        <w:widowControl/>
        <w:numPr>
          <w:ilvl w:val="0"/>
          <w:numId w:val="21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SEA/SH and GBV awareness (PS2/PS4)</w:t>
      </w:r>
      <w:r w:rsidRPr="002B3F36">
        <w:rPr>
          <w:rFonts w:ascii="Arial" w:eastAsia="Times New Roman" w:hAnsi="Arial" w:cs="Arial"/>
          <w:sz w:val="24"/>
          <w:szCs w:val="24"/>
        </w:rPr>
        <w:t xml:space="preserve"> – training and dialogue with workers, local authorities, and communities on prevention, response, and available support services.</w:t>
      </w:r>
    </w:p>
    <w:p w14:paraId="480D1372" w14:textId="77777777" w:rsidR="0068097C" w:rsidRPr="002B3F36" w:rsidRDefault="0068097C" w:rsidP="009B4CDB">
      <w:pPr>
        <w:widowControl/>
        <w:numPr>
          <w:ilvl w:val="0"/>
          <w:numId w:val="218"/>
        </w:numPr>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b/>
          <w:bCs/>
          <w:sz w:val="24"/>
          <w:szCs w:val="24"/>
        </w:rPr>
        <w:t>Engagement with vulnerable groups</w:t>
      </w:r>
      <w:r w:rsidRPr="002B3F36">
        <w:rPr>
          <w:rFonts w:ascii="Arial" w:eastAsia="Times New Roman" w:hAnsi="Arial" w:cs="Arial"/>
          <w:sz w:val="24"/>
          <w:szCs w:val="24"/>
        </w:rPr>
        <w:t xml:space="preserve"> – targeted consultations with women, the elderly, low-income households, and herder groups to ensure their views are included and their needs addressed.</w:t>
      </w:r>
    </w:p>
    <w:p w14:paraId="38AFE6F6" w14:textId="77777777" w:rsidR="0068097C" w:rsidRPr="002B3F36" w:rsidRDefault="0068097C" w:rsidP="0068097C">
      <w:pPr>
        <w:widowControl/>
        <w:autoSpaceDE/>
        <w:autoSpaceDN/>
        <w:spacing w:before="100" w:beforeAutospacing="1" w:after="100" w:afterAutospacing="1"/>
        <w:jc w:val="both"/>
        <w:rPr>
          <w:rFonts w:ascii="Arial" w:eastAsia="Times New Roman" w:hAnsi="Arial" w:cs="Arial"/>
          <w:sz w:val="24"/>
          <w:szCs w:val="24"/>
        </w:rPr>
      </w:pPr>
      <w:r w:rsidRPr="002B3F36">
        <w:rPr>
          <w:rFonts w:ascii="Arial" w:eastAsia="Times New Roman" w:hAnsi="Arial" w:cs="Arial"/>
          <w:sz w:val="24"/>
          <w:szCs w:val="24"/>
        </w:rPr>
        <w:t>The SEP provides more detailed guidance on the methods, frequency, and responsible parties for these consultations. Below is an indicative engagement log showing the types of consultations anticipated during project implementation.</w:t>
      </w:r>
    </w:p>
    <w:p w14:paraId="1552D8EC" w14:textId="4A010543" w:rsidR="000126FC" w:rsidRPr="002B3F36" w:rsidRDefault="000126FC" w:rsidP="000126FC">
      <w:pPr>
        <w:pStyle w:val="TableCaption"/>
        <w:rPr>
          <w:szCs w:val="24"/>
        </w:rPr>
      </w:pPr>
      <w:bookmarkStart w:id="2642" w:name="_Toc210589589"/>
      <w:r w:rsidRPr="002B3F36">
        <w:t xml:space="preserve">Table </w:t>
      </w:r>
      <w:r w:rsidR="00CF113E" w:rsidRPr="002B3F36">
        <w:rPr>
          <w:noProof/>
        </w:rPr>
        <w:fldChar w:fldCharType="begin"/>
      </w:r>
      <w:r w:rsidR="00CF113E" w:rsidRPr="002B3F36">
        <w:rPr>
          <w:noProof/>
        </w:rPr>
        <w:instrText xml:space="preserve"> SEQ Table \* ARABIC </w:instrText>
      </w:r>
      <w:r w:rsidR="00CF113E" w:rsidRPr="002B3F36">
        <w:rPr>
          <w:noProof/>
        </w:rPr>
        <w:fldChar w:fldCharType="separate"/>
      </w:r>
      <w:r w:rsidR="002B3F36">
        <w:rPr>
          <w:noProof/>
        </w:rPr>
        <w:t>45</w:t>
      </w:r>
      <w:r w:rsidR="00CF113E" w:rsidRPr="002B3F36">
        <w:rPr>
          <w:noProof/>
        </w:rPr>
        <w:fldChar w:fldCharType="end"/>
      </w:r>
      <w:r w:rsidRPr="002B3F36">
        <w:t>: Stakeholder Engagement Matrix for Project Implementation</w:t>
      </w:r>
      <w:bookmarkEnd w:id="2642"/>
    </w:p>
    <w:tbl>
      <w:tblPr>
        <w:tblStyle w:val="TableGrid2"/>
        <w:tblW w:w="0" w:type="auto"/>
        <w:tblLook w:val="04A0" w:firstRow="1" w:lastRow="0" w:firstColumn="1" w:lastColumn="0" w:noHBand="0" w:noVBand="1"/>
      </w:tblPr>
      <w:tblGrid>
        <w:gridCol w:w="1338"/>
        <w:gridCol w:w="1988"/>
        <w:gridCol w:w="2489"/>
        <w:gridCol w:w="2138"/>
        <w:gridCol w:w="1734"/>
      </w:tblGrid>
      <w:tr w:rsidR="0068097C" w:rsidRPr="002B3F36" w14:paraId="4BD0BFF7" w14:textId="77777777" w:rsidTr="00257EB1">
        <w:trPr>
          <w:tblHeader/>
        </w:trPr>
        <w:tc>
          <w:tcPr>
            <w:tcW w:w="0" w:type="auto"/>
            <w:shd w:val="clear" w:color="auto" w:fill="D9D9D9" w:themeFill="background1" w:themeFillShade="D9"/>
            <w:hideMark/>
          </w:tcPr>
          <w:p w14:paraId="0A209DD8"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lastRenderedPageBreak/>
              <w:t>Timing / Phase</w:t>
            </w:r>
          </w:p>
        </w:tc>
        <w:tc>
          <w:tcPr>
            <w:tcW w:w="0" w:type="auto"/>
            <w:shd w:val="clear" w:color="auto" w:fill="D9D9D9" w:themeFill="background1" w:themeFillShade="D9"/>
            <w:hideMark/>
          </w:tcPr>
          <w:p w14:paraId="20540F1C"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Stakeholder Group(s)</w:t>
            </w:r>
          </w:p>
        </w:tc>
        <w:tc>
          <w:tcPr>
            <w:tcW w:w="0" w:type="auto"/>
            <w:shd w:val="clear" w:color="auto" w:fill="D9D9D9" w:themeFill="background1" w:themeFillShade="D9"/>
            <w:hideMark/>
          </w:tcPr>
          <w:p w14:paraId="53D45C05"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Consultation Focus Areas</w:t>
            </w:r>
          </w:p>
        </w:tc>
        <w:tc>
          <w:tcPr>
            <w:tcW w:w="0" w:type="auto"/>
            <w:shd w:val="clear" w:color="auto" w:fill="D9D9D9" w:themeFill="background1" w:themeFillShade="D9"/>
            <w:hideMark/>
          </w:tcPr>
          <w:p w14:paraId="14DB0429"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Methods / Tools Used</w:t>
            </w:r>
          </w:p>
        </w:tc>
        <w:tc>
          <w:tcPr>
            <w:tcW w:w="0" w:type="auto"/>
            <w:shd w:val="clear" w:color="auto" w:fill="D9D9D9" w:themeFill="background1" w:themeFillShade="D9"/>
            <w:hideMark/>
          </w:tcPr>
          <w:p w14:paraId="313B524A" w14:textId="77777777" w:rsidR="0068097C" w:rsidRPr="002B3F36" w:rsidRDefault="0068097C" w:rsidP="0068097C">
            <w:pPr>
              <w:jc w:val="center"/>
              <w:rPr>
                <w:rFonts w:ascii="Arial" w:eastAsia="Times New Roman" w:hAnsi="Arial" w:cs="Arial"/>
                <w:b/>
                <w:bCs/>
                <w:sz w:val="20"/>
                <w:szCs w:val="20"/>
              </w:rPr>
            </w:pPr>
            <w:r w:rsidRPr="002B3F36">
              <w:rPr>
                <w:rFonts w:ascii="Arial" w:eastAsia="Times New Roman" w:hAnsi="Arial" w:cs="Arial"/>
                <w:b/>
                <w:bCs/>
                <w:sz w:val="20"/>
                <w:szCs w:val="20"/>
              </w:rPr>
              <w:t>Responsible Parties</w:t>
            </w:r>
          </w:p>
        </w:tc>
      </w:tr>
      <w:tr w:rsidR="0068097C" w:rsidRPr="002B3F36" w14:paraId="40B51F20" w14:textId="77777777" w:rsidTr="0068097C">
        <w:tc>
          <w:tcPr>
            <w:tcW w:w="0" w:type="auto"/>
            <w:hideMark/>
          </w:tcPr>
          <w:p w14:paraId="226153D4"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Quarterly (routine)</w:t>
            </w:r>
          </w:p>
        </w:tc>
        <w:tc>
          <w:tcPr>
            <w:tcW w:w="0" w:type="auto"/>
            <w:hideMark/>
          </w:tcPr>
          <w:p w14:paraId="0AD9B17A"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Local communities, PAPs, vulnerable households</w:t>
            </w:r>
          </w:p>
        </w:tc>
        <w:tc>
          <w:tcPr>
            <w:tcW w:w="0" w:type="auto"/>
            <w:hideMark/>
          </w:tcPr>
          <w:p w14:paraId="5C7A5768"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Updates on construction progress, access restrictions, land acquisition, grievance redress</w:t>
            </w:r>
          </w:p>
        </w:tc>
        <w:tc>
          <w:tcPr>
            <w:tcW w:w="0" w:type="auto"/>
            <w:hideMark/>
          </w:tcPr>
          <w:p w14:paraId="5C781290"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Village meetings, household visits, GRM hotline updates</w:t>
            </w:r>
          </w:p>
        </w:tc>
        <w:tc>
          <w:tcPr>
            <w:tcW w:w="0" w:type="auto"/>
            <w:hideMark/>
          </w:tcPr>
          <w:p w14:paraId="056CF9BB" w14:textId="6F88B540"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 xml:space="preserve">CSC Social Team, KTZ </w:t>
            </w:r>
          </w:p>
        </w:tc>
      </w:tr>
      <w:tr w:rsidR="0068097C" w:rsidRPr="002B3F36" w14:paraId="6A8A1144" w14:textId="77777777" w:rsidTr="0068097C">
        <w:tc>
          <w:tcPr>
            <w:tcW w:w="0" w:type="auto"/>
            <w:hideMark/>
          </w:tcPr>
          <w:p w14:paraId="7F77DE32"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Monthly</w:t>
            </w:r>
          </w:p>
        </w:tc>
        <w:tc>
          <w:tcPr>
            <w:tcW w:w="0" w:type="auto"/>
            <w:hideMark/>
          </w:tcPr>
          <w:p w14:paraId="3494209F"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Project workers</w:t>
            </w:r>
          </w:p>
        </w:tc>
        <w:tc>
          <w:tcPr>
            <w:tcW w:w="0" w:type="auto"/>
            <w:hideMark/>
          </w:tcPr>
          <w:p w14:paraId="31B4425D"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OHS briefings, labor rights, Code of Conduct, GBV/SEA awareness, worker GRM</w:t>
            </w:r>
          </w:p>
        </w:tc>
        <w:tc>
          <w:tcPr>
            <w:tcW w:w="0" w:type="auto"/>
            <w:hideMark/>
          </w:tcPr>
          <w:p w14:paraId="6B62B204"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Toolbox talks, training sessions, posters/signage</w:t>
            </w:r>
          </w:p>
        </w:tc>
        <w:tc>
          <w:tcPr>
            <w:tcW w:w="0" w:type="auto"/>
            <w:hideMark/>
          </w:tcPr>
          <w:p w14:paraId="44542130"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Contractor HSE + Social Officers</w:t>
            </w:r>
          </w:p>
        </w:tc>
      </w:tr>
      <w:tr w:rsidR="0068097C" w:rsidRPr="002B3F36" w14:paraId="4CA77996" w14:textId="77777777" w:rsidTr="0068097C">
        <w:tc>
          <w:tcPr>
            <w:tcW w:w="0" w:type="auto"/>
            <w:hideMark/>
          </w:tcPr>
          <w:p w14:paraId="4DC54DF2"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Semi-annual</w:t>
            </w:r>
          </w:p>
        </w:tc>
        <w:tc>
          <w:tcPr>
            <w:tcW w:w="0" w:type="auto"/>
            <w:hideMark/>
          </w:tcPr>
          <w:p w14:paraId="254C1A80"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Local authorities (akimats, rayon reps)</w:t>
            </w:r>
          </w:p>
        </w:tc>
        <w:tc>
          <w:tcPr>
            <w:tcW w:w="0" w:type="auto"/>
            <w:hideMark/>
          </w:tcPr>
          <w:p w14:paraId="73A17551" w14:textId="3A2EDC9B"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Review of</w:t>
            </w:r>
            <w:r w:rsidR="002E585D" w:rsidRPr="002B3F36">
              <w:rPr>
                <w:rFonts w:ascii="Arial" w:eastAsia="Times New Roman" w:hAnsi="Arial" w:cs="Arial"/>
                <w:sz w:val="20"/>
                <w:szCs w:val="20"/>
              </w:rPr>
              <w:t xml:space="preserve"> LARAP</w:t>
            </w:r>
            <w:r w:rsidRPr="002B3F36">
              <w:rPr>
                <w:rFonts w:ascii="Arial" w:eastAsia="Times New Roman" w:hAnsi="Arial" w:cs="Arial"/>
                <w:sz w:val="20"/>
                <w:szCs w:val="20"/>
              </w:rPr>
              <w:t>/LRP implementation, traffic management, community safety, stakeholder issues</w:t>
            </w:r>
          </w:p>
        </w:tc>
        <w:tc>
          <w:tcPr>
            <w:tcW w:w="0" w:type="auto"/>
            <w:hideMark/>
          </w:tcPr>
          <w:p w14:paraId="141E95F2"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Coordination meetings, joint inspections, written reports</w:t>
            </w:r>
          </w:p>
        </w:tc>
        <w:tc>
          <w:tcPr>
            <w:tcW w:w="0" w:type="auto"/>
            <w:hideMark/>
          </w:tcPr>
          <w:p w14:paraId="746B1F94" w14:textId="589A218A"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KTZ, CSC E&amp;S Specialists</w:t>
            </w:r>
          </w:p>
        </w:tc>
      </w:tr>
      <w:tr w:rsidR="0068097C" w:rsidRPr="002B3F36" w14:paraId="5FED681D" w14:textId="77777777" w:rsidTr="0068097C">
        <w:tc>
          <w:tcPr>
            <w:tcW w:w="0" w:type="auto"/>
            <w:hideMark/>
          </w:tcPr>
          <w:p w14:paraId="4FF03D0B"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Seasonal / as needed</w:t>
            </w:r>
          </w:p>
        </w:tc>
        <w:tc>
          <w:tcPr>
            <w:tcW w:w="0" w:type="auto"/>
            <w:hideMark/>
          </w:tcPr>
          <w:p w14:paraId="4E62A8C2"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Herding/farming groups</w:t>
            </w:r>
          </w:p>
        </w:tc>
        <w:tc>
          <w:tcPr>
            <w:tcW w:w="0" w:type="auto"/>
            <w:hideMark/>
          </w:tcPr>
          <w:p w14:paraId="39F10B8B"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Grazing access, livestock crossings, seasonal land use, water access</w:t>
            </w:r>
          </w:p>
        </w:tc>
        <w:tc>
          <w:tcPr>
            <w:tcW w:w="0" w:type="auto"/>
            <w:hideMark/>
          </w:tcPr>
          <w:p w14:paraId="6F54B101"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Targeted focus groups, field consultations, participatory mapping</w:t>
            </w:r>
          </w:p>
        </w:tc>
        <w:tc>
          <w:tcPr>
            <w:tcW w:w="0" w:type="auto"/>
            <w:hideMark/>
          </w:tcPr>
          <w:p w14:paraId="1F176794"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CSC Environmental + Social Team</w:t>
            </w:r>
          </w:p>
        </w:tc>
      </w:tr>
      <w:tr w:rsidR="0068097C" w:rsidRPr="002B3F36" w14:paraId="364F13C3" w14:textId="77777777" w:rsidTr="0068097C">
        <w:tc>
          <w:tcPr>
            <w:tcW w:w="0" w:type="auto"/>
            <w:hideMark/>
          </w:tcPr>
          <w:p w14:paraId="31C00816"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Continuous</w:t>
            </w:r>
          </w:p>
        </w:tc>
        <w:tc>
          <w:tcPr>
            <w:tcW w:w="0" w:type="auto"/>
            <w:hideMark/>
          </w:tcPr>
          <w:p w14:paraId="2F030EE2"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NGOs, CSOs, interest groups</w:t>
            </w:r>
          </w:p>
        </w:tc>
        <w:tc>
          <w:tcPr>
            <w:tcW w:w="0" w:type="auto"/>
            <w:hideMark/>
          </w:tcPr>
          <w:p w14:paraId="235EB43E"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Biodiversity protection, cultural heritage, community safety, social monitoring</w:t>
            </w:r>
          </w:p>
        </w:tc>
        <w:tc>
          <w:tcPr>
            <w:tcW w:w="0" w:type="auto"/>
            <w:hideMark/>
          </w:tcPr>
          <w:p w14:paraId="03357496"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Thematic workshops, disclosure sessions, joint field visits</w:t>
            </w:r>
          </w:p>
        </w:tc>
        <w:tc>
          <w:tcPr>
            <w:tcW w:w="0" w:type="auto"/>
            <w:hideMark/>
          </w:tcPr>
          <w:p w14:paraId="34C64B9A" w14:textId="77777777" w:rsidR="0068097C" w:rsidRPr="002B3F36" w:rsidRDefault="0068097C" w:rsidP="0068097C">
            <w:pPr>
              <w:rPr>
                <w:rFonts w:ascii="Arial" w:eastAsia="Times New Roman" w:hAnsi="Arial" w:cs="Arial"/>
                <w:sz w:val="20"/>
                <w:szCs w:val="20"/>
              </w:rPr>
            </w:pPr>
            <w:r w:rsidRPr="002B3F36">
              <w:rPr>
                <w:rFonts w:ascii="Arial" w:eastAsia="Times New Roman" w:hAnsi="Arial" w:cs="Arial"/>
                <w:sz w:val="20"/>
                <w:szCs w:val="20"/>
              </w:rPr>
              <w:t>CSC Biodiversity &amp; Social Specialists</w:t>
            </w:r>
          </w:p>
        </w:tc>
      </w:tr>
    </w:tbl>
    <w:p w14:paraId="6008C294" w14:textId="77777777" w:rsidR="00F61F8E" w:rsidRPr="002B3F36" w:rsidRDefault="00F61F8E">
      <w:pPr>
        <w:pStyle w:val="ReportBody"/>
        <w:rPr>
          <w:rFonts w:eastAsia="SimSun" w:cs="Arial"/>
        </w:rPr>
      </w:pPr>
    </w:p>
    <w:p w14:paraId="4B1D8919" w14:textId="77777777" w:rsidR="00F61F8E" w:rsidRPr="002B3F36" w:rsidRDefault="000F264B" w:rsidP="0068097C">
      <w:pPr>
        <w:pStyle w:val="20"/>
        <w:keepNext/>
        <w:tabs>
          <w:tab w:val="clear" w:pos="540"/>
          <w:tab w:val="clear" w:pos="542"/>
        </w:tabs>
        <w:spacing w:before="240" w:after="240"/>
        <w:ind w:right="0"/>
        <w:rPr>
          <w:rFonts w:eastAsia="SimSun"/>
          <w:color w:val="auto"/>
        </w:rPr>
      </w:pPr>
      <w:bookmarkStart w:id="2643" w:name="_Toc167094357"/>
      <w:bookmarkStart w:id="2644" w:name="_Toc167105541"/>
      <w:bookmarkStart w:id="2645" w:name="_Toc167107293"/>
      <w:bookmarkStart w:id="2646" w:name="_Toc169094814"/>
      <w:bookmarkStart w:id="2647" w:name="_Toc208973893"/>
      <w:bookmarkStart w:id="2648" w:name="_Toc208974093"/>
      <w:bookmarkStart w:id="2649" w:name="_Toc208974293"/>
      <w:bookmarkStart w:id="2650" w:name="_Toc208974496"/>
      <w:bookmarkStart w:id="2651" w:name="_Toc208974698"/>
      <w:bookmarkStart w:id="2652" w:name="_Toc210589536"/>
      <w:bookmarkEnd w:id="2643"/>
      <w:bookmarkEnd w:id="2644"/>
      <w:bookmarkEnd w:id="2645"/>
      <w:r w:rsidRPr="002B3F36">
        <w:rPr>
          <w:rFonts w:eastAsia="SimSun"/>
          <w:color w:val="auto"/>
        </w:rPr>
        <w:t>Reporting Back to Stakeholders</w:t>
      </w:r>
      <w:bookmarkEnd w:id="2646"/>
      <w:bookmarkEnd w:id="2647"/>
      <w:bookmarkEnd w:id="2648"/>
      <w:bookmarkEnd w:id="2649"/>
      <w:bookmarkEnd w:id="2650"/>
      <w:bookmarkEnd w:id="2651"/>
      <w:bookmarkEnd w:id="2652"/>
    </w:p>
    <w:p w14:paraId="4C95C69E" w14:textId="4B179002" w:rsidR="0068097C" w:rsidRPr="002B3F36" w:rsidRDefault="0068097C" w:rsidP="004E7508">
      <w:pPr>
        <w:pStyle w:val="ReportBodyPar"/>
      </w:pPr>
      <w:r w:rsidRPr="002B3F36">
        <w:t xml:space="preserve">Reporting back to stakeholder groups and evaluating the stakeholder engagement process are vital to ensure that </w:t>
      </w:r>
      <w:r w:rsidRPr="002B3F36">
        <w:rPr>
          <w:rStyle w:val="affffb"/>
        </w:rPr>
        <w:t>KTZ</w:t>
      </w:r>
      <w:r w:rsidRPr="002B3F36">
        <w:t xml:space="preserve"> can respond to identified issues, adapt engagement activities, and maintain constructive relationships with communities and other stakeholders. In line with </w:t>
      </w:r>
      <w:r w:rsidRPr="002B3F36">
        <w:rPr>
          <w:rStyle w:val="affffb"/>
        </w:rPr>
        <w:t>PS1</w:t>
      </w:r>
      <w:r w:rsidRPr="002B3F36">
        <w:t>, reporting ensures transparency, accountability, and responsiveness throughout the project life cycle.</w:t>
      </w:r>
    </w:p>
    <w:p w14:paraId="61FC78D0" w14:textId="77777777" w:rsidR="004E7508" w:rsidRPr="002B3F36" w:rsidRDefault="004E7508" w:rsidP="004E7508">
      <w:pPr>
        <w:pStyle w:val="ReportBodyPar"/>
      </w:pPr>
    </w:p>
    <w:p w14:paraId="28F17DA2" w14:textId="2DB3A678" w:rsidR="0068097C" w:rsidRPr="002B3F36" w:rsidRDefault="0068097C" w:rsidP="004E7508">
      <w:pPr>
        <w:pStyle w:val="ReportBodyPar"/>
      </w:pPr>
      <w:r w:rsidRPr="002B3F36">
        <w:t>All issues raised during consultations or through the grievance mechanism must be logged, tracked, and resolved in a professional and timely manner. KTZ, with the support of the Construction Supervision Consultant (CSC), will ensure that project-related meetings are documented, with minutes and outcomes shared back with stakeholders in accessible formats.</w:t>
      </w:r>
    </w:p>
    <w:p w14:paraId="60061A71" w14:textId="77777777" w:rsidR="004E7508" w:rsidRPr="002B3F36" w:rsidRDefault="004E7508" w:rsidP="004E7508">
      <w:pPr>
        <w:pStyle w:val="ReportBodyPar"/>
      </w:pPr>
    </w:p>
    <w:p w14:paraId="536D6859" w14:textId="77777777" w:rsidR="0068097C" w:rsidRPr="002B3F36" w:rsidRDefault="0068097C" w:rsidP="004E7508">
      <w:pPr>
        <w:pStyle w:val="ReportBodyPar"/>
      </w:pPr>
      <w:r w:rsidRPr="002B3F36">
        <w:t>Feedback loops will use multiple channels to ensure inclusiveness:</w:t>
      </w:r>
    </w:p>
    <w:p w14:paraId="2748F686" w14:textId="77777777" w:rsidR="0068097C" w:rsidRPr="002B3F36" w:rsidRDefault="0068097C" w:rsidP="00666FB7">
      <w:pPr>
        <w:pStyle w:val="aff9"/>
        <w:numPr>
          <w:ilvl w:val="0"/>
          <w:numId w:val="219"/>
        </w:numPr>
        <w:spacing w:before="0" w:beforeAutospacing="0" w:after="0" w:afterAutospacing="0"/>
        <w:jc w:val="both"/>
        <w:rPr>
          <w:rFonts w:ascii="Arial" w:hAnsi="Arial" w:cs="Arial"/>
        </w:rPr>
      </w:pPr>
      <w:r w:rsidRPr="002B3F36">
        <w:rPr>
          <w:rStyle w:val="affffb"/>
        </w:rPr>
        <w:t>Public meetings</w:t>
      </w:r>
      <w:r w:rsidRPr="002B3F36">
        <w:rPr>
          <w:rFonts w:ascii="Arial" w:hAnsi="Arial" w:cs="Arial"/>
        </w:rPr>
        <w:t xml:space="preserve"> in project-affected areas, led by rayon/district authorities with participation from PAPs, community leaders, and vulnerable groups.</w:t>
      </w:r>
    </w:p>
    <w:p w14:paraId="35264481" w14:textId="77777777" w:rsidR="0068097C" w:rsidRPr="002B3F36" w:rsidRDefault="0068097C" w:rsidP="009B4CDB">
      <w:pPr>
        <w:pStyle w:val="aff9"/>
        <w:numPr>
          <w:ilvl w:val="0"/>
          <w:numId w:val="219"/>
        </w:numPr>
        <w:jc w:val="both"/>
        <w:rPr>
          <w:rFonts w:ascii="Arial" w:hAnsi="Arial" w:cs="Arial"/>
        </w:rPr>
      </w:pPr>
      <w:r w:rsidRPr="002B3F36">
        <w:rPr>
          <w:rStyle w:val="affffb"/>
        </w:rPr>
        <w:t>Minutes of meetings</w:t>
      </w:r>
      <w:r w:rsidRPr="002B3F36">
        <w:rPr>
          <w:rFonts w:ascii="Arial" w:hAnsi="Arial" w:cs="Arial"/>
        </w:rPr>
        <w:t xml:space="preserve"> shared in subsequent consultations, posted on information boards, and disclosed online.</w:t>
      </w:r>
    </w:p>
    <w:p w14:paraId="181EC9D4" w14:textId="77777777" w:rsidR="0068097C" w:rsidRPr="002B3F36" w:rsidRDefault="0068097C" w:rsidP="009B4CDB">
      <w:pPr>
        <w:pStyle w:val="aff9"/>
        <w:numPr>
          <w:ilvl w:val="0"/>
          <w:numId w:val="219"/>
        </w:numPr>
        <w:jc w:val="both"/>
        <w:rPr>
          <w:rFonts w:ascii="Arial" w:hAnsi="Arial" w:cs="Arial"/>
        </w:rPr>
      </w:pPr>
      <w:r w:rsidRPr="002B3F36">
        <w:rPr>
          <w:rStyle w:val="affffb"/>
        </w:rPr>
        <w:t>Responses to grievances and feedback</w:t>
      </w:r>
      <w:r w:rsidRPr="002B3F36">
        <w:rPr>
          <w:rFonts w:ascii="Arial" w:hAnsi="Arial" w:cs="Arial"/>
        </w:rPr>
        <w:t xml:space="preserve"> provided in writing, verbally, and, where possible, through SMS or phone calls.</w:t>
      </w:r>
    </w:p>
    <w:p w14:paraId="70318FFF" w14:textId="77777777" w:rsidR="0068097C" w:rsidRPr="002B3F36" w:rsidRDefault="0068097C" w:rsidP="009B4CDB">
      <w:pPr>
        <w:pStyle w:val="aff9"/>
        <w:numPr>
          <w:ilvl w:val="0"/>
          <w:numId w:val="219"/>
        </w:numPr>
        <w:jc w:val="both"/>
        <w:rPr>
          <w:rFonts w:ascii="Arial" w:hAnsi="Arial" w:cs="Arial"/>
        </w:rPr>
      </w:pPr>
      <w:r w:rsidRPr="002B3F36">
        <w:rPr>
          <w:rStyle w:val="affffb"/>
        </w:rPr>
        <w:t>Key project updates</w:t>
      </w:r>
      <w:r w:rsidRPr="002B3F36">
        <w:rPr>
          <w:rFonts w:ascii="Arial" w:hAnsi="Arial" w:cs="Arial"/>
        </w:rPr>
        <w:t xml:space="preserve"> disseminated via KTZ’s official website, social media platforms, and printed communication materials.</w:t>
      </w:r>
    </w:p>
    <w:p w14:paraId="386E1C81" w14:textId="77777777" w:rsidR="0068097C" w:rsidRPr="002B3F36" w:rsidRDefault="0068097C" w:rsidP="00673AAB">
      <w:pPr>
        <w:pStyle w:val="20"/>
        <w:keepNext/>
        <w:tabs>
          <w:tab w:val="clear" w:pos="540"/>
          <w:tab w:val="clear" w:pos="542"/>
        </w:tabs>
        <w:spacing w:before="240" w:after="240"/>
        <w:ind w:right="0"/>
        <w:rPr>
          <w:rFonts w:eastAsia="SimSun"/>
          <w:color w:val="auto"/>
        </w:rPr>
      </w:pPr>
      <w:bookmarkStart w:id="2653" w:name="_Toc210589537"/>
      <w:r w:rsidRPr="002B3F36">
        <w:rPr>
          <w:rFonts w:eastAsia="SimSun"/>
          <w:color w:val="auto"/>
        </w:rPr>
        <w:t>Information Disclosure Tools</w:t>
      </w:r>
      <w:bookmarkEnd w:id="2653"/>
    </w:p>
    <w:p w14:paraId="734845DF" w14:textId="77777777" w:rsidR="0068097C" w:rsidRPr="002B3F36" w:rsidRDefault="0068097C" w:rsidP="009B4CDB">
      <w:pPr>
        <w:pStyle w:val="aff9"/>
        <w:numPr>
          <w:ilvl w:val="0"/>
          <w:numId w:val="220"/>
        </w:numPr>
        <w:jc w:val="both"/>
        <w:rPr>
          <w:rFonts w:ascii="Arial" w:hAnsi="Arial" w:cs="Arial"/>
        </w:rPr>
      </w:pPr>
      <w:r w:rsidRPr="002B3F36">
        <w:rPr>
          <w:rStyle w:val="affffb"/>
        </w:rPr>
        <w:t>Community Meetings</w:t>
      </w:r>
    </w:p>
    <w:p w14:paraId="36AD6104" w14:textId="35683888" w:rsidR="0068097C" w:rsidRPr="002B3F36" w:rsidRDefault="0068097C" w:rsidP="009B4CDB">
      <w:pPr>
        <w:pStyle w:val="aff9"/>
        <w:numPr>
          <w:ilvl w:val="1"/>
          <w:numId w:val="220"/>
        </w:numPr>
        <w:jc w:val="both"/>
        <w:rPr>
          <w:rFonts w:ascii="Arial" w:hAnsi="Arial" w:cs="Arial"/>
        </w:rPr>
      </w:pPr>
      <w:r w:rsidRPr="002B3F36">
        <w:rPr>
          <w:rFonts w:ascii="Arial" w:hAnsi="Arial" w:cs="Arial"/>
        </w:rPr>
        <w:t>Project information and updates will be disclosed through national- and local-level meetings. Rayon and district authorities (</w:t>
      </w:r>
      <w:r w:rsidR="003A184C">
        <w:rPr>
          <w:rFonts w:ascii="Arial" w:hAnsi="Arial" w:cs="Arial"/>
        </w:rPr>
        <w:t>Karagandy</w:t>
      </w:r>
      <w:r w:rsidRPr="002B3F36">
        <w:rPr>
          <w:rFonts w:ascii="Arial" w:hAnsi="Arial" w:cs="Arial"/>
        </w:rPr>
        <w:t xml:space="preserve"> and Ulytau regions) will coordinate community meetings involving PAPs and OIPs.</w:t>
      </w:r>
    </w:p>
    <w:p w14:paraId="346FAA99"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Meetings will be inclusive, with focused sessions for vulnerable groups (e.g., women, low-income households, herders).</w:t>
      </w:r>
    </w:p>
    <w:p w14:paraId="3AF088BF"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lastRenderedPageBreak/>
        <w:t>Frequency: at least semi-annually or when significant project changes occur.</w:t>
      </w:r>
    </w:p>
    <w:p w14:paraId="38BAE712" w14:textId="77777777" w:rsidR="0068097C" w:rsidRPr="002B3F36" w:rsidRDefault="0068097C" w:rsidP="009B4CDB">
      <w:pPr>
        <w:pStyle w:val="aff9"/>
        <w:numPr>
          <w:ilvl w:val="0"/>
          <w:numId w:val="220"/>
        </w:numPr>
        <w:jc w:val="both"/>
        <w:rPr>
          <w:rFonts w:ascii="Arial" w:hAnsi="Arial" w:cs="Arial"/>
        </w:rPr>
      </w:pPr>
      <w:r w:rsidRPr="002B3F36">
        <w:rPr>
          <w:rStyle w:val="affffb"/>
        </w:rPr>
        <w:t>Communication Materials</w:t>
      </w:r>
    </w:p>
    <w:p w14:paraId="753F75A7"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Printed materials (brochures, flyers, posters) distributed via local Executive Power offices.</w:t>
      </w:r>
    </w:p>
    <w:p w14:paraId="1E9178E3"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A “Public Relations Kit” will be designed for both print and online access.</w:t>
      </w:r>
    </w:p>
    <w:p w14:paraId="4DD761A0"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The KTZ project website will provide quarterly updates in Kazakh, Russian, and English, including information on the grievance mechanism.</w:t>
      </w:r>
    </w:p>
    <w:p w14:paraId="5AC903B3" w14:textId="77777777" w:rsidR="0068097C" w:rsidRPr="002B3F36" w:rsidRDefault="0068097C" w:rsidP="009B4CDB">
      <w:pPr>
        <w:pStyle w:val="aff9"/>
        <w:numPr>
          <w:ilvl w:val="0"/>
          <w:numId w:val="220"/>
        </w:numPr>
        <w:jc w:val="both"/>
        <w:rPr>
          <w:rFonts w:ascii="Arial" w:hAnsi="Arial" w:cs="Arial"/>
        </w:rPr>
      </w:pPr>
      <w:r w:rsidRPr="002B3F36">
        <w:rPr>
          <w:rStyle w:val="affffb"/>
        </w:rPr>
        <w:t>Mass and Social Media</w:t>
      </w:r>
    </w:p>
    <w:p w14:paraId="6C9FDC4A"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 xml:space="preserve">A designated </w:t>
      </w:r>
      <w:r w:rsidRPr="002B3F36">
        <w:rPr>
          <w:rStyle w:val="affffb"/>
        </w:rPr>
        <w:t>Social Safeguard/Engagement Specialist</w:t>
      </w:r>
      <w:r w:rsidRPr="002B3F36">
        <w:rPr>
          <w:rFonts w:ascii="Arial" w:hAnsi="Arial" w:cs="Arial"/>
        </w:rPr>
        <w:t xml:space="preserve"> will serve as the Focal Point Person (FPP), ensuring close communication with PAPs, local leaders, and CSOs.</w:t>
      </w:r>
    </w:p>
    <w:p w14:paraId="4BD30329"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Information will be posted regularly on the dedicated project website, official social media accounts, and public information boards.</w:t>
      </w:r>
    </w:p>
    <w:p w14:paraId="792D1488"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Where necessary, the project will produce video content (e.g., short documentaries, awareness videos) for dissemination via YouTube, television, or radio.</w:t>
      </w:r>
    </w:p>
    <w:p w14:paraId="5179A10A" w14:textId="77777777" w:rsidR="0068097C" w:rsidRPr="002B3F36" w:rsidRDefault="0068097C" w:rsidP="009B4CDB">
      <w:pPr>
        <w:pStyle w:val="aff9"/>
        <w:numPr>
          <w:ilvl w:val="0"/>
          <w:numId w:val="220"/>
        </w:numPr>
        <w:jc w:val="both"/>
        <w:rPr>
          <w:rFonts w:ascii="Arial" w:hAnsi="Arial" w:cs="Arial"/>
        </w:rPr>
      </w:pPr>
      <w:r w:rsidRPr="002B3F36">
        <w:rPr>
          <w:rStyle w:val="affffb"/>
        </w:rPr>
        <w:t>Information Desks</w:t>
      </w:r>
    </w:p>
    <w:p w14:paraId="4223CB62" w14:textId="7A4D79EB" w:rsidR="0068097C" w:rsidRPr="002B3F36" w:rsidRDefault="0068097C" w:rsidP="009B4CDB">
      <w:pPr>
        <w:pStyle w:val="aff9"/>
        <w:numPr>
          <w:ilvl w:val="1"/>
          <w:numId w:val="220"/>
        </w:numPr>
        <w:jc w:val="both"/>
        <w:rPr>
          <w:rFonts w:ascii="Arial" w:hAnsi="Arial" w:cs="Arial"/>
        </w:rPr>
      </w:pPr>
      <w:r w:rsidRPr="002B3F36">
        <w:rPr>
          <w:rFonts w:ascii="Arial" w:hAnsi="Arial" w:cs="Arial"/>
        </w:rPr>
        <w:t>Information desks will be established in rayon offices (</w:t>
      </w:r>
      <w:r w:rsidR="003A184C">
        <w:rPr>
          <w:rFonts w:ascii="Arial" w:hAnsi="Arial" w:cs="Arial"/>
        </w:rPr>
        <w:t>Karagandy</w:t>
      </w:r>
      <w:r w:rsidRPr="002B3F36">
        <w:rPr>
          <w:rFonts w:ascii="Arial" w:hAnsi="Arial" w:cs="Arial"/>
        </w:rPr>
        <w:t xml:space="preserve"> &amp; Ulytau) to provide residents with project updates, details of engagement activities, and the contact information of the FPP.</w:t>
      </w:r>
    </w:p>
    <w:p w14:paraId="723E44C4"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Brochures and flyers on E&amp;S issues (e.g., land acquisition, safety, biodiversity, labor standards) will be made available.</w:t>
      </w:r>
    </w:p>
    <w:p w14:paraId="59E10F0F" w14:textId="77777777" w:rsidR="0068097C" w:rsidRPr="002B3F36" w:rsidRDefault="0068097C" w:rsidP="009B4CDB">
      <w:pPr>
        <w:pStyle w:val="aff9"/>
        <w:numPr>
          <w:ilvl w:val="0"/>
          <w:numId w:val="220"/>
        </w:numPr>
        <w:jc w:val="both"/>
        <w:rPr>
          <w:rFonts w:ascii="Arial" w:hAnsi="Arial" w:cs="Arial"/>
        </w:rPr>
      </w:pPr>
      <w:r w:rsidRPr="002B3F36">
        <w:rPr>
          <w:rStyle w:val="affffb"/>
        </w:rPr>
        <w:t>Stakeholder / Beneficiary Perception Surveys</w:t>
      </w:r>
    </w:p>
    <w:p w14:paraId="2A0B9608"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At the start of implementation, KTZ will commission stakeholder opinion and perception surveys to establish a baseline on community attitudes, awareness, and expectations.</w:t>
      </w:r>
    </w:p>
    <w:p w14:paraId="198773BF" w14:textId="77777777" w:rsidR="0068097C" w:rsidRPr="002B3F36" w:rsidRDefault="0068097C" w:rsidP="009B4CDB">
      <w:pPr>
        <w:pStyle w:val="aff9"/>
        <w:numPr>
          <w:ilvl w:val="1"/>
          <w:numId w:val="220"/>
        </w:numPr>
        <w:jc w:val="both"/>
        <w:rPr>
          <w:rFonts w:ascii="Arial" w:hAnsi="Arial" w:cs="Arial"/>
        </w:rPr>
      </w:pPr>
      <w:r w:rsidRPr="002B3F36">
        <w:rPr>
          <w:rFonts w:ascii="Arial" w:hAnsi="Arial" w:cs="Arial"/>
        </w:rPr>
        <w:t>Follow-up surveys will be conducted during and towards the end of construction to measure satisfaction, effectiveness of engagement, and areas for improvement.</w:t>
      </w:r>
    </w:p>
    <w:p w14:paraId="7C701AC2" w14:textId="77777777" w:rsidR="0068097C" w:rsidRPr="002B3F36" w:rsidRDefault="0068097C" w:rsidP="0005187B">
      <w:pPr>
        <w:pStyle w:val="20"/>
        <w:keepNext/>
        <w:tabs>
          <w:tab w:val="clear" w:pos="540"/>
          <w:tab w:val="clear" w:pos="542"/>
        </w:tabs>
        <w:spacing w:before="240" w:after="240"/>
        <w:ind w:right="0"/>
        <w:rPr>
          <w:rFonts w:eastAsia="SimSun"/>
          <w:color w:val="auto"/>
        </w:rPr>
      </w:pPr>
      <w:bookmarkStart w:id="2654" w:name="_Toc210589538"/>
      <w:r w:rsidRPr="002B3F36">
        <w:rPr>
          <w:rFonts w:eastAsia="SimSun"/>
          <w:color w:val="auto"/>
        </w:rPr>
        <w:t>Feedback and Monitoring</w:t>
      </w:r>
      <w:bookmarkEnd w:id="2654"/>
    </w:p>
    <w:p w14:paraId="73BF8367" w14:textId="77777777" w:rsidR="0068097C" w:rsidRPr="002B3F36" w:rsidRDefault="0068097C" w:rsidP="009B4CDB">
      <w:pPr>
        <w:pStyle w:val="aff9"/>
        <w:numPr>
          <w:ilvl w:val="0"/>
          <w:numId w:val="221"/>
        </w:numPr>
        <w:jc w:val="both"/>
        <w:rPr>
          <w:rFonts w:ascii="Arial" w:hAnsi="Arial" w:cs="Arial"/>
        </w:rPr>
      </w:pPr>
      <w:r w:rsidRPr="002B3F36">
        <w:rPr>
          <w:rFonts w:ascii="Arial" w:hAnsi="Arial" w:cs="Arial"/>
        </w:rPr>
        <w:t>All consultations and disclosure events will include mechanisms for collecting stakeholder feedback.</w:t>
      </w:r>
    </w:p>
    <w:p w14:paraId="1520FB3C" w14:textId="026E14CF" w:rsidR="0068097C" w:rsidRPr="002B3F36" w:rsidRDefault="0068097C" w:rsidP="009B4CDB">
      <w:pPr>
        <w:pStyle w:val="aff9"/>
        <w:numPr>
          <w:ilvl w:val="0"/>
          <w:numId w:val="221"/>
        </w:numPr>
        <w:jc w:val="both"/>
        <w:rPr>
          <w:rFonts w:ascii="Arial" w:hAnsi="Arial" w:cs="Arial"/>
        </w:rPr>
      </w:pPr>
      <w:r w:rsidRPr="002B3F36">
        <w:rPr>
          <w:rFonts w:ascii="Arial" w:hAnsi="Arial" w:cs="Arial"/>
        </w:rPr>
        <w:t xml:space="preserve">Inputs from PAPs and OIPs will be integrated into project planning, </w:t>
      </w:r>
      <w:r w:rsidR="002E585D" w:rsidRPr="002B3F36">
        <w:rPr>
          <w:rFonts w:ascii="Arial" w:hAnsi="Arial" w:cs="Arial"/>
        </w:rPr>
        <w:t>LARAP</w:t>
      </w:r>
      <w:r w:rsidRPr="002B3F36">
        <w:rPr>
          <w:rFonts w:ascii="Arial" w:hAnsi="Arial" w:cs="Arial"/>
        </w:rPr>
        <w:t xml:space="preserve"> updates, and monitoring reports.</w:t>
      </w:r>
    </w:p>
    <w:p w14:paraId="2D52E72B" w14:textId="77777777" w:rsidR="0068097C" w:rsidRPr="002B3F36" w:rsidRDefault="0068097C" w:rsidP="009B4CDB">
      <w:pPr>
        <w:pStyle w:val="aff9"/>
        <w:numPr>
          <w:ilvl w:val="0"/>
          <w:numId w:val="221"/>
        </w:numPr>
        <w:jc w:val="both"/>
        <w:rPr>
          <w:rFonts w:ascii="Arial" w:hAnsi="Arial" w:cs="Arial"/>
        </w:rPr>
      </w:pPr>
      <w:r w:rsidRPr="002B3F36">
        <w:rPr>
          <w:rFonts w:ascii="Arial" w:hAnsi="Arial" w:cs="Arial"/>
        </w:rPr>
        <w:t xml:space="preserve">Results will be summarized in </w:t>
      </w:r>
      <w:r w:rsidRPr="002B3F36">
        <w:rPr>
          <w:rStyle w:val="affffb"/>
        </w:rPr>
        <w:t>quarterly engagement reports</w:t>
      </w:r>
      <w:r w:rsidRPr="002B3F36">
        <w:rPr>
          <w:rFonts w:ascii="Arial" w:hAnsi="Arial" w:cs="Arial"/>
        </w:rPr>
        <w:t xml:space="preserve"> submitted by the CSC to KTZ, which will also be shared with lenders and disclosed publicly.</w:t>
      </w:r>
    </w:p>
    <w:p w14:paraId="7B1FED8A" w14:textId="63F8FBDB" w:rsidR="00F61F8E" w:rsidRPr="002B3F36" w:rsidRDefault="00F61F8E" w:rsidP="0005187B">
      <w:pPr>
        <w:pStyle w:val="ReportBodyPar"/>
        <w:rPr>
          <w:lang w:val="en-GB"/>
        </w:rPr>
      </w:pPr>
    </w:p>
    <w:p w14:paraId="61E2E1BD" w14:textId="57FB000D" w:rsidR="0005187B" w:rsidRPr="002B3F36" w:rsidRDefault="0005187B" w:rsidP="0005187B">
      <w:pPr>
        <w:pStyle w:val="ReportBodyPar"/>
        <w:rPr>
          <w:lang w:val="en-GB"/>
        </w:rPr>
      </w:pPr>
    </w:p>
    <w:p w14:paraId="533DDE3E" w14:textId="651456C0" w:rsidR="0005187B" w:rsidRPr="002B3F36" w:rsidRDefault="0005187B">
      <w:pPr>
        <w:rPr>
          <w:rFonts w:ascii="Arial" w:eastAsia="Calibri" w:hAnsi="Arial" w:cs="Arial"/>
          <w:sz w:val="24"/>
          <w:szCs w:val="24"/>
          <w:lang w:val="en-GB" w:eastAsia="en-GB"/>
        </w:rPr>
      </w:pPr>
      <w:r w:rsidRPr="002B3F36">
        <w:rPr>
          <w:rFonts w:ascii="Arial" w:hAnsi="Arial" w:cs="Arial"/>
          <w:lang w:val="en-GB"/>
        </w:rPr>
        <w:br w:type="page"/>
      </w:r>
    </w:p>
    <w:p w14:paraId="12E8CF6E" w14:textId="75025A68" w:rsidR="00F61F8E" w:rsidRPr="002B3F36" w:rsidRDefault="000F264B">
      <w:pPr>
        <w:pStyle w:val="1"/>
        <w:numPr>
          <w:ilvl w:val="0"/>
          <w:numId w:val="1"/>
        </w:numPr>
        <w:autoSpaceDE/>
        <w:autoSpaceDN/>
        <w:spacing w:line="253" w:lineRule="auto"/>
        <w:ind w:right="72"/>
        <w:jc w:val="both"/>
        <w:rPr>
          <w:rFonts w:cs="Arial"/>
        </w:rPr>
      </w:pPr>
      <w:bookmarkStart w:id="2655" w:name="_Toc169094815"/>
      <w:bookmarkStart w:id="2656" w:name="_Toc208973894"/>
      <w:bookmarkStart w:id="2657" w:name="_Toc208974094"/>
      <w:bookmarkStart w:id="2658" w:name="_Toc208974294"/>
      <w:bookmarkStart w:id="2659" w:name="_Toc208974497"/>
      <w:bookmarkStart w:id="2660" w:name="_Toc208974699"/>
      <w:bookmarkStart w:id="2661" w:name="_Toc210589539"/>
      <w:r w:rsidRPr="002B3F36">
        <w:rPr>
          <w:rFonts w:cs="Arial"/>
        </w:rPr>
        <w:lastRenderedPageBreak/>
        <w:t>GRIEVANCE REDRESS</w:t>
      </w:r>
      <w:bookmarkEnd w:id="2655"/>
      <w:bookmarkEnd w:id="2656"/>
      <w:bookmarkEnd w:id="2657"/>
      <w:bookmarkEnd w:id="2658"/>
      <w:bookmarkEnd w:id="2659"/>
      <w:bookmarkEnd w:id="2660"/>
      <w:bookmarkEnd w:id="2661"/>
    </w:p>
    <w:p w14:paraId="540748FE" w14:textId="77777777" w:rsidR="00EC6591" w:rsidRPr="002B3F36" w:rsidRDefault="00EC6591" w:rsidP="000E50DE">
      <w:pPr>
        <w:pStyle w:val="ReportBodyPar"/>
        <w:rPr>
          <w:lang w:val="en-PH"/>
        </w:rPr>
      </w:pPr>
    </w:p>
    <w:p w14:paraId="335672C6" w14:textId="094B1546" w:rsidR="000E50DE" w:rsidRPr="002B3F36" w:rsidRDefault="000E50DE" w:rsidP="000E50DE">
      <w:pPr>
        <w:pStyle w:val="ReportBodyPar"/>
        <w:rPr>
          <w:lang w:val="en-PH"/>
        </w:rPr>
      </w:pPr>
      <w:r w:rsidRPr="002B3F36">
        <w:rPr>
          <w:lang w:val="en-PH"/>
        </w:rPr>
        <w:t xml:space="preserve">The Grievance Redress Mechanism (GRM) for the </w:t>
      </w:r>
      <w:r w:rsidR="003650DB" w:rsidRPr="002B3F36">
        <w:rPr>
          <w:lang w:val="en-PH"/>
        </w:rPr>
        <w:t xml:space="preserve">Mointy – Kyzylzhar </w:t>
      </w:r>
      <w:r w:rsidRPr="002B3F36">
        <w:rPr>
          <w:lang w:val="en-PH"/>
        </w:rPr>
        <w:t xml:space="preserve">Railway Project will be established in alignment with </w:t>
      </w:r>
      <w:r w:rsidR="00F95BD8" w:rsidRPr="002B3F36">
        <w:rPr>
          <w:lang w:val="en-PH"/>
        </w:rPr>
        <w:t>WB</w:t>
      </w:r>
      <w:r w:rsidRPr="002B3F36">
        <w:rPr>
          <w:lang w:val="en-PH"/>
        </w:rPr>
        <w:t xml:space="preserve"> Performance Standards (PS1 on Assessment and Management of Environmental and Social Risks and Impacts) and relevant Kazakhstan legislation, including the </w:t>
      </w:r>
      <w:r w:rsidRPr="002B3F36">
        <w:rPr>
          <w:i/>
          <w:iCs/>
          <w:lang w:val="en-PH"/>
        </w:rPr>
        <w:t>Environmental Code of the Republic of Kazakhstan (2021)</w:t>
      </w:r>
      <w:r w:rsidRPr="002B3F36">
        <w:rPr>
          <w:lang w:val="en-PH"/>
        </w:rPr>
        <w:t xml:space="preserve"> and the </w:t>
      </w:r>
      <w:r w:rsidRPr="002B3F36">
        <w:rPr>
          <w:i/>
          <w:iCs/>
          <w:lang w:val="en-PH"/>
        </w:rPr>
        <w:t>Law on Access to Environmental Information (2002)</w:t>
      </w:r>
      <w:r w:rsidRPr="002B3F36">
        <w:rPr>
          <w:lang w:val="en-PH"/>
        </w:rPr>
        <w:t>. The GRM will ensure that all project-affected parties can raise concerns regarding environmental and social performance in a transparent, accessible, and culturally appropriate manner. Key considerations include:</w:t>
      </w:r>
    </w:p>
    <w:p w14:paraId="167DD792" w14:textId="77777777" w:rsidR="000E50DE" w:rsidRPr="002B3F36" w:rsidRDefault="000E50DE" w:rsidP="00F83434">
      <w:pPr>
        <w:pStyle w:val="Bullet12"/>
      </w:pPr>
      <w:r w:rsidRPr="002B3F36">
        <w:rPr>
          <w:b/>
        </w:rPr>
        <w:t>Timely and Effective Response:</w:t>
      </w:r>
      <w:r w:rsidRPr="002B3F36">
        <w:t xml:space="preserve"> All grievances will be addressed promptly, fairly, and transparently, with clear timelines for acknowledgment, assessment, and resolution.</w:t>
      </w:r>
    </w:p>
    <w:p w14:paraId="74C3B402" w14:textId="77777777" w:rsidR="000E50DE" w:rsidRPr="002B3F36" w:rsidRDefault="000E50DE" w:rsidP="00F83434">
      <w:pPr>
        <w:pStyle w:val="Bullet12"/>
      </w:pPr>
      <w:r w:rsidRPr="002B3F36">
        <w:rPr>
          <w:b/>
        </w:rPr>
        <w:t>Accessibility and Inclusivity:</w:t>
      </w:r>
      <w:r w:rsidRPr="002B3F36">
        <w:t xml:space="preserve"> The mechanism will be free of charge, readily accessible to all stakeholders, including vulnerable groups, and available in Kazakh and Russian languages to ensure cultural and linguistic appropriateness.</w:t>
      </w:r>
    </w:p>
    <w:p w14:paraId="12DDA4DE" w14:textId="77777777" w:rsidR="000E50DE" w:rsidRPr="002B3F36" w:rsidRDefault="000E50DE" w:rsidP="00F83434">
      <w:pPr>
        <w:pStyle w:val="Bullet12"/>
      </w:pPr>
      <w:r w:rsidRPr="002B3F36">
        <w:rPr>
          <w:b/>
        </w:rPr>
        <w:t>Non-Retaliation and Confidentiality:</w:t>
      </w:r>
      <w:r w:rsidRPr="002B3F36">
        <w:t xml:space="preserve"> Grievances can be submitted anonymously without fear of retaliation, with handling procedures that are discreet, objective, and sensitive to the needs of affected parties.</w:t>
      </w:r>
    </w:p>
    <w:p w14:paraId="5C0AA11A" w14:textId="77777777" w:rsidR="000E50DE" w:rsidRPr="002B3F36" w:rsidRDefault="000E50DE" w:rsidP="00F83434">
      <w:pPr>
        <w:pStyle w:val="Bullet12"/>
      </w:pPr>
      <w:r w:rsidRPr="002B3F36">
        <w:rPr>
          <w:b/>
        </w:rPr>
        <w:t>Multiple Channels for Submission:</w:t>
      </w:r>
      <w:r w:rsidRPr="002B3F36">
        <w:t xml:space="preserve"> Complaints will be accepted through written forms, hotlines, community meetings, grievance boxes, and digital platforms, providing flexible options for affected stakeholders.</w:t>
      </w:r>
    </w:p>
    <w:p w14:paraId="1ED35517" w14:textId="77777777" w:rsidR="000E50DE" w:rsidRPr="002B3F36" w:rsidRDefault="000E50DE" w:rsidP="00F83434">
      <w:pPr>
        <w:pStyle w:val="Bullet12"/>
      </w:pPr>
      <w:r w:rsidRPr="002B3F36">
        <w:rPr>
          <w:b/>
        </w:rPr>
        <w:t>Public Awareness and Record Keeping:</w:t>
      </w:r>
      <w:r w:rsidRPr="002B3F36">
        <w:t xml:space="preserve"> Information on the GRM process will be </w:t>
      </w:r>
      <w:r w:rsidRPr="002B3F36">
        <w:rPr>
          <w:b/>
        </w:rPr>
        <w:t>widely disseminated</w:t>
      </w:r>
      <w:r w:rsidRPr="002B3F36">
        <w:t xml:space="preserve"> during community engagement activities, and a </w:t>
      </w:r>
      <w:r w:rsidRPr="002B3F36">
        <w:rPr>
          <w:b/>
        </w:rPr>
        <w:t>publicly available log</w:t>
      </w:r>
      <w:r w:rsidRPr="002B3F36">
        <w:t xml:space="preserve"> of grievances and resolutions will be maintained to ensure accountability.</w:t>
      </w:r>
    </w:p>
    <w:p w14:paraId="2C740363" w14:textId="77777777" w:rsidR="000E50DE" w:rsidRPr="002B3F36" w:rsidRDefault="000E50DE" w:rsidP="00F83434">
      <w:pPr>
        <w:pStyle w:val="Bullet12"/>
      </w:pPr>
      <w:r w:rsidRPr="002B3F36">
        <w:rPr>
          <w:b/>
        </w:rPr>
        <w:t>Link to Legal Remedies:</w:t>
      </w:r>
      <w:r w:rsidRPr="002B3F36">
        <w:t xml:space="preserve"> The GRM will complement but </w:t>
      </w:r>
      <w:r w:rsidRPr="002B3F36">
        <w:rPr>
          <w:b/>
        </w:rPr>
        <w:t>not restrict access</w:t>
      </w:r>
      <w:r w:rsidRPr="002B3F36">
        <w:t xml:space="preserve"> to Kazakhstan’s judicial or administrative remedies as stipulated under national law.</w:t>
      </w:r>
    </w:p>
    <w:p w14:paraId="79B2B0FF" w14:textId="7AF4CB36" w:rsidR="000E50DE" w:rsidRPr="002B3F36" w:rsidRDefault="000E50DE" w:rsidP="00F83434">
      <w:pPr>
        <w:pStyle w:val="Bullet12"/>
      </w:pPr>
      <w:r w:rsidRPr="002B3F36">
        <w:rPr>
          <w:b/>
        </w:rPr>
        <w:t>Monitoring and Reporting:</w:t>
      </w:r>
      <w:r w:rsidRPr="002B3F36">
        <w:t xml:space="preserve"> Regular monitoring of grievance resolution effectiveness and agreed scheduled reporting to stakeholders and authorities will be undertaken to ensure continuous improvement.</w:t>
      </w:r>
    </w:p>
    <w:p w14:paraId="2D79D20A" w14:textId="77777777" w:rsidR="00F61F8E" w:rsidRPr="002B3F36" w:rsidRDefault="00F61F8E" w:rsidP="004E7508">
      <w:pPr>
        <w:pStyle w:val="ReportBodyPar"/>
      </w:pPr>
    </w:p>
    <w:p w14:paraId="357B98C2" w14:textId="3A86F1E0" w:rsidR="00F61F8E" w:rsidRPr="002B3F36" w:rsidRDefault="000F264B" w:rsidP="004E7508">
      <w:pPr>
        <w:pStyle w:val="ReportBodyPar"/>
      </w:pPr>
      <w:r w:rsidRPr="002B3F36">
        <w:t xml:space="preserve">The Grievance Redress Mechanism (GRM) which can be adapted to </w:t>
      </w:r>
      <w:r w:rsidR="00D65175" w:rsidRPr="002B3F36">
        <w:t xml:space="preserve">Greenfield Project </w:t>
      </w:r>
      <w:r w:rsidR="003650DB" w:rsidRPr="002B3F36">
        <w:t xml:space="preserve">Mointy – Kyzylzhar </w:t>
      </w:r>
      <w:r w:rsidR="00D65175" w:rsidRPr="002B3F36">
        <w:t>Section</w:t>
      </w:r>
      <w:r w:rsidRPr="002B3F36">
        <w:t>, is described in detail in the LMP.</w:t>
      </w:r>
    </w:p>
    <w:p w14:paraId="61A01D1F" w14:textId="77777777" w:rsidR="00F61F8E" w:rsidRPr="002B3F36" w:rsidRDefault="00F61F8E" w:rsidP="004E7508">
      <w:pPr>
        <w:pStyle w:val="ReportBodyPar"/>
        <w:rPr>
          <w:lang w:val="en-GB"/>
        </w:rPr>
      </w:pPr>
    </w:p>
    <w:p w14:paraId="568A1583" w14:textId="77777777" w:rsidR="00F61F8E" w:rsidRPr="002B3F36" w:rsidRDefault="000F264B" w:rsidP="00D65175">
      <w:pPr>
        <w:pStyle w:val="20"/>
      </w:pPr>
      <w:bookmarkStart w:id="2662" w:name="_Toc169094816"/>
      <w:bookmarkStart w:id="2663" w:name="_Toc208973895"/>
      <w:bookmarkStart w:id="2664" w:name="_Toc208974095"/>
      <w:bookmarkStart w:id="2665" w:name="_Toc208974295"/>
      <w:bookmarkStart w:id="2666" w:name="_Toc208974498"/>
      <w:bookmarkStart w:id="2667" w:name="_Toc208974700"/>
      <w:bookmarkStart w:id="2668" w:name="_Toc210589540"/>
      <w:r w:rsidRPr="002B3F36">
        <w:t>Grievance Redress Mechanisms</w:t>
      </w:r>
      <w:bookmarkEnd w:id="2662"/>
      <w:bookmarkEnd w:id="2663"/>
      <w:bookmarkEnd w:id="2664"/>
      <w:bookmarkEnd w:id="2665"/>
      <w:bookmarkEnd w:id="2666"/>
      <w:bookmarkEnd w:id="2667"/>
      <w:bookmarkEnd w:id="2668"/>
      <w:r w:rsidRPr="002B3F36">
        <w:t xml:space="preserve"> </w:t>
      </w:r>
    </w:p>
    <w:p w14:paraId="3E9A9072" w14:textId="77777777" w:rsidR="00D65175" w:rsidRPr="002B3F36" w:rsidRDefault="00D65175" w:rsidP="008B2893">
      <w:pPr>
        <w:pStyle w:val="ReportBodyPar"/>
      </w:pPr>
    </w:p>
    <w:p w14:paraId="4C1E930E" w14:textId="207BDD4C" w:rsidR="00AC0622" w:rsidRPr="002B3F36" w:rsidRDefault="008B2893" w:rsidP="008B2893">
      <w:pPr>
        <w:pStyle w:val="ReportBodyPar"/>
      </w:pPr>
      <w:r w:rsidRPr="002B3F36">
        <w:t xml:space="preserve">The Grievance Redress Mechanism (GRM) for the </w:t>
      </w:r>
      <w:r w:rsidR="003650DB" w:rsidRPr="002B3F36">
        <w:t xml:space="preserve">Mointy – Kyzylzhar </w:t>
      </w:r>
      <w:r w:rsidRPr="002B3F36">
        <w:t xml:space="preserve">Railway Greenfield Project is designed to ensure that all concerns and complaints from project-affected communities, workers, and other stakeholders are addressed in a timely, transparent, and culturally appropriate manner consistent with </w:t>
      </w:r>
      <w:r w:rsidR="00F95BD8" w:rsidRPr="002B3F36">
        <w:t>WB</w:t>
      </w:r>
      <w:r w:rsidRPr="002B3F36">
        <w:t xml:space="preserve"> Performance Standard 1 (PS1) on Assessment and Management of Environmental and Social Risks and Impacts and relevant Kazakhstan legislation, including the Environmental Code of the Republic of Kazakhstan (2021) and the Law on Access to Environmental Information (2002). </w:t>
      </w:r>
    </w:p>
    <w:p w14:paraId="2D3A91F1" w14:textId="77777777" w:rsidR="00AC0622" w:rsidRPr="002B3F36" w:rsidRDefault="00AC0622" w:rsidP="008B2893">
      <w:pPr>
        <w:pStyle w:val="ReportBodyPar"/>
      </w:pPr>
    </w:p>
    <w:p w14:paraId="0A6827F9" w14:textId="4AE56F4C" w:rsidR="00F61F8E" w:rsidRPr="002B3F36" w:rsidRDefault="008B2893" w:rsidP="008B2893">
      <w:pPr>
        <w:pStyle w:val="ReportBodyPar"/>
      </w:pPr>
      <w:r w:rsidRPr="002B3F36">
        <w:t>The GRM framework integrates the Stakeholder Engagement Plan (SEP) and the Land Acquisition and Resettlement Action Plan (LARAP), using a two-tier grievance redress structure comprising Grievance Redress Committees (GRCs) at both regional (</w:t>
      </w:r>
      <w:r w:rsidR="003A184C">
        <w:t>region</w:t>
      </w:r>
      <w:r w:rsidRPr="002B3F36">
        <w:t xml:space="preserve">) and central (Astana) levels. These committees, led by senior management and supported by dedicated coordinators, include representatives from KTZ, local authorities (akimats), the Construction Supervision Consultant (CSC), and contractors, ensuring broad stakeholder participation, accountability, and oversight. The mechanism emphasizes accessibility, confidentiality, non-retaliation, and documentation of grievances, aligning with PS1 principles </w:t>
      </w:r>
      <w:r w:rsidRPr="002B3F36">
        <w:lastRenderedPageBreak/>
        <w:t>and Kazakhstan’s regulatory requirements to provide a clear, consistent, and fair process for resolving project-related issues throughout the construction phase.</w:t>
      </w:r>
    </w:p>
    <w:p w14:paraId="58D225B7" w14:textId="77777777" w:rsidR="00F61F8E" w:rsidRPr="002B3F36" w:rsidRDefault="00F61F8E" w:rsidP="008B2893">
      <w:pPr>
        <w:pStyle w:val="ReportBodyPar"/>
      </w:pPr>
    </w:p>
    <w:p w14:paraId="10FDC868" w14:textId="79820DC3" w:rsidR="00F61F8E" w:rsidRPr="002B3F36" w:rsidRDefault="000F264B" w:rsidP="008B2893">
      <w:pPr>
        <w:pStyle w:val="ReportBodyPar"/>
      </w:pPr>
      <w:r w:rsidRPr="002B3F36">
        <w:t xml:space="preserve">The Steps to be </w:t>
      </w:r>
      <w:r w:rsidR="00D65175" w:rsidRPr="002B3F36">
        <w:t>adher</w:t>
      </w:r>
      <w:r w:rsidRPr="002B3F36">
        <w:t xml:space="preserve">ed </w:t>
      </w:r>
      <w:r w:rsidR="00025CCF">
        <w:t>to</w:t>
      </w:r>
      <w:r w:rsidRPr="002B3F36">
        <w:t xml:space="preserve"> address grievance within the SEP framework </w:t>
      </w:r>
      <w:r w:rsidR="008B2893" w:rsidRPr="002B3F36">
        <w:t xml:space="preserve">and </w:t>
      </w:r>
      <w:r w:rsidRPr="002B3F36">
        <w:t xml:space="preserve">consistent </w:t>
      </w:r>
      <w:r w:rsidR="00D65175" w:rsidRPr="002B3F36">
        <w:t>P</w:t>
      </w:r>
      <w:r w:rsidRPr="002B3F36">
        <w:t xml:space="preserve">S1 requirements </w:t>
      </w:r>
      <w:r w:rsidR="00D65175" w:rsidRPr="002B3F36">
        <w:t>are as follows</w:t>
      </w:r>
      <w:r w:rsidRPr="002B3F36">
        <w:t>:</w:t>
      </w:r>
    </w:p>
    <w:p w14:paraId="7D8E585D" w14:textId="77777777" w:rsidR="008B2893" w:rsidRPr="002B3F36" w:rsidRDefault="008B2893" w:rsidP="008B2893">
      <w:pPr>
        <w:pStyle w:val="CaptionforFigure"/>
        <w:rPr>
          <w:rFonts w:ascii="Arial" w:hAnsi="Arial"/>
        </w:rPr>
      </w:pPr>
      <w:r w:rsidRPr="002B3F36">
        <w:rPr>
          <w:rStyle w:val="affffb"/>
          <w:b/>
          <w:szCs w:val="20"/>
        </w:rPr>
        <w:t>Step 1: Grievance Redress Committee (GRC) – Regional Level</w:t>
      </w:r>
    </w:p>
    <w:p w14:paraId="58E0D2A2" w14:textId="2C059B14" w:rsidR="008B2893" w:rsidRPr="002B3F36" w:rsidRDefault="008B2893" w:rsidP="00F83434">
      <w:pPr>
        <w:pStyle w:val="Bullet12"/>
      </w:pPr>
      <w:r w:rsidRPr="002B3F36">
        <w:t xml:space="preserve">In accordance with </w:t>
      </w:r>
      <w:r w:rsidR="00163238" w:rsidRPr="002B3F36">
        <w:rPr>
          <w:rStyle w:val="affffb"/>
          <w:b w:val="0"/>
        </w:rPr>
        <w:t>WB PS</w:t>
      </w:r>
      <w:r w:rsidRPr="002B3F36">
        <w:rPr>
          <w:rStyle w:val="affffb"/>
          <w:b w:val="0"/>
        </w:rPr>
        <w:t>1</w:t>
      </w:r>
      <w:r w:rsidRPr="002B3F36">
        <w:t xml:space="preserve"> and </w:t>
      </w:r>
      <w:r w:rsidRPr="002B3F36">
        <w:rPr>
          <w:rStyle w:val="affffb"/>
          <w:b w:val="0"/>
        </w:rPr>
        <w:t>WBG EHS Guidelines (2007)</w:t>
      </w:r>
      <w:r w:rsidRPr="002B3F36">
        <w:t xml:space="preserve"> on stakeholder engagement and disclosure, grievances will first be received and reviewed by the </w:t>
      </w:r>
      <w:r w:rsidRPr="002B3F36">
        <w:rPr>
          <w:rStyle w:val="affffb"/>
          <w:b w:val="0"/>
        </w:rPr>
        <w:t>regional-level GRC</w:t>
      </w:r>
      <w:r w:rsidRPr="002B3F36">
        <w:t>.</w:t>
      </w:r>
    </w:p>
    <w:p w14:paraId="43FD6B97" w14:textId="77777777" w:rsidR="008B2893" w:rsidRPr="002B3F36" w:rsidRDefault="008B2893" w:rsidP="00F83434">
      <w:pPr>
        <w:pStyle w:val="Bullet12"/>
      </w:pPr>
      <w:r w:rsidRPr="002B3F36">
        <w:t>The GRC will include:</w:t>
      </w:r>
    </w:p>
    <w:p w14:paraId="6C15586B" w14:textId="77777777" w:rsidR="008B2893" w:rsidRPr="002B3F36" w:rsidRDefault="008B2893" w:rsidP="00413EF7">
      <w:pPr>
        <w:pStyle w:val="DashedItems"/>
        <w:ind w:left="1440"/>
      </w:pPr>
      <w:r w:rsidRPr="002B3F36">
        <w:t xml:space="preserve">Representatives of </w:t>
      </w:r>
      <w:r w:rsidRPr="002B3F36">
        <w:rPr>
          <w:rStyle w:val="affffb"/>
          <w:b w:val="0"/>
        </w:rPr>
        <w:t>KTZ regional branch</w:t>
      </w:r>
      <w:r w:rsidRPr="002B3F36">
        <w:t xml:space="preserve"> (Deputy Director and Safeguards Specialist or Lawyer);</w:t>
      </w:r>
    </w:p>
    <w:p w14:paraId="09EDF58A" w14:textId="77777777" w:rsidR="008B2893" w:rsidRPr="002B3F36" w:rsidRDefault="008B2893" w:rsidP="00413EF7">
      <w:pPr>
        <w:pStyle w:val="DashedItems"/>
        <w:ind w:left="1440"/>
      </w:pPr>
      <w:r w:rsidRPr="002B3F36">
        <w:rPr>
          <w:rStyle w:val="affffb"/>
          <w:b w:val="0"/>
        </w:rPr>
        <w:t>Consultants’ team</w:t>
      </w:r>
      <w:r w:rsidRPr="002B3F36">
        <w:t xml:space="preserve"> representatives (Safeguards and Public Relations Specialists);</w:t>
      </w:r>
    </w:p>
    <w:p w14:paraId="08F15B92" w14:textId="77777777" w:rsidR="008B2893" w:rsidRPr="002B3F36" w:rsidRDefault="008B2893" w:rsidP="00413EF7">
      <w:pPr>
        <w:pStyle w:val="DashedItems"/>
        <w:ind w:left="1440"/>
      </w:pPr>
      <w:r w:rsidRPr="002B3F36">
        <w:t xml:space="preserve">Representatives from </w:t>
      </w:r>
      <w:r w:rsidRPr="002B3F36">
        <w:rPr>
          <w:rStyle w:val="affffb"/>
          <w:b w:val="0"/>
        </w:rPr>
        <w:t>regional and district Akimats</w:t>
      </w:r>
      <w:r w:rsidRPr="002B3F36">
        <w:t xml:space="preserve"> (local government authorities) as required under the </w:t>
      </w:r>
      <w:r w:rsidRPr="002B3F36">
        <w:rPr>
          <w:rStyle w:val="affffc"/>
        </w:rPr>
        <w:t>Law on Local Governance</w:t>
      </w:r>
      <w:r w:rsidRPr="002B3F36">
        <w:t>;</w:t>
      </w:r>
    </w:p>
    <w:p w14:paraId="2E529880" w14:textId="77777777" w:rsidR="008B2893" w:rsidRPr="002B3F36" w:rsidRDefault="008B2893" w:rsidP="00413EF7">
      <w:pPr>
        <w:pStyle w:val="DashedItems"/>
        <w:ind w:left="1440"/>
      </w:pPr>
      <w:r w:rsidRPr="002B3F36">
        <w:t xml:space="preserve">Representatives of the </w:t>
      </w:r>
      <w:r w:rsidRPr="002B3F36">
        <w:rPr>
          <w:rStyle w:val="affffb"/>
          <w:b w:val="0"/>
        </w:rPr>
        <w:t>Construction Supervision Consultant (CSC)</w:t>
      </w:r>
      <w:r w:rsidRPr="002B3F36">
        <w:t xml:space="preserve"> (Head/Deputy Head and Protective Measures/Public Relations Specialists);</w:t>
      </w:r>
    </w:p>
    <w:p w14:paraId="31B143A3" w14:textId="77777777" w:rsidR="008B2893" w:rsidRPr="002B3F36" w:rsidRDefault="008B2893" w:rsidP="00413EF7">
      <w:pPr>
        <w:pStyle w:val="DashedItems"/>
        <w:ind w:left="1440"/>
      </w:pPr>
      <w:r w:rsidRPr="002B3F36">
        <w:rPr>
          <w:rStyle w:val="affffb"/>
          <w:b w:val="0"/>
        </w:rPr>
        <w:t>Contractor representatives</w:t>
      </w:r>
      <w:r w:rsidRPr="002B3F36">
        <w:t xml:space="preserve"> (Head/Deputy Head and Safeguards/Community Liaison Specialists).</w:t>
      </w:r>
    </w:p>
    <w:p w14:paraId="787C9595" w14:textId="6E1B0FFA" w:rsidR="008B2893" w:rsidRPr="002B3F36" w:rsidRDefault="008B2893" w:rsidP="00F83434">
      <w:pPr>
        <w:pStyle w:val="Bullet12"/>
      </w:pPr>
      <w:r w:rsidRPr="002B3F36">
        <w:t xml:space="preserve">The GRC will ensure </w:t>
      </w:r>
      <w:r w:rsidRPr="002B3F36">
        <w:rPr>
          <w:rStyle w:val="affffb"/>
          <w:b w:val="0"/>
        </w:rPr>
        <w:t>cultural appropriateness, accessibility, and confidentiality</w:t>
      </w:r>
      <w:r w:rsidRPr="002B3F36">
        <w:t xml:space="preserve"> of the grievance process, in line with </w:t>
      </w:r>
      <w:r w:rsidRPr="002B3F36">
        <w:rPr>
          <w:rStyle w:val="affffb"/>
          <w:b w:val="0"/>
        </w:rPr>
        <w:t>Kazakhstan law</w:t>
      </w:r>
      <w:r w:rsidRPr="002B3F36">
        <w:t xml:space="preserve"> and </w:t>
      </w:r>
      <w:r w:rsidR="00163238" w:rsidRPr="002B3F36">
        <w:rPr>
          <w:rStyle w:val="affffb"/>
          <w:b w:val="0"/>
        </w:rPr>
        <w:t>WB PS</w:t>
      </w:r>
      <w:r w:rsidRPr="002B3F36">
        <w:rPr>
          <w:rStyle w:val="affffb"/>
          <w:b w:val="0"/>
        </w:rPr>
        <w:t>1 requirements</w:t>
      </w:r>
      <w:r w:rsidRPr="002B3F36">
        <w:t>.</w:t>
      </w:r>
    </w:p>
    <w:p w14:paraId="53612F51" w14:textId="77777777" w:rsidR="00413EF7" w:rsidRPr="002B3F36" w:rsidRDefault="00413EF7" w:rsidP="00413EF7">
      <w:pPr>
        <w:pStyle w:val="ReportBodyPar"/>
      </w:pPr>
    </w:p>
    <w:p w14:paraId="75BA3E4B" w14:textId="77777777" w:rsidR="008B2893" w:rsidRPr="002B3F36" w:rsidRDefault="008B2893" w:rsidP="008B2893">
      <w:pPr>
        <w:pStyle w:val="CaptionforFigure"/>
        <w:rPr>
          <w:rFonts w:ascii="Arial" w:hAnsi="Arial"/>
        </w:rPr>
      </w:pPr>
      <w:r w:rsidRPr="002B3F36">
        <w:rPr>
          <w:rStyle w:val="affffb"/>
          <w:b/>
        </w:rPr>
        <w:t>Step 2: Grievance Processing – Regional Level</w:t>
      </w:r>
    </w:p>
    <w:p w14:paraId="04F4BAD6" w14:textId="1F40CF20" w:rsidR="008B2893" w:rsidRPr="002B3F36" w:rsidRDefault="008B2893" w:rsidP="00F83434">
      <w:pPr>
        <w:pStyle w:val="Bullet12"/>
      </w:pPr>
      <w:r w:rsidRPr="002B3F36">
        <w:t xml:space="preserve">Grievances resolved immediately upon receipt will be closed promptly with formal documentation, ensuring transparency and accountability per </w:t>
      </w:r>
      <w:r w:rsidR="00163238" w:rsidRPr="002B3F36">
        <w:t>WB PS</w:t>
      </w:r>
      <w:r w:rsidRPr="002B3F36">
        <w:t>1 and WBG EHS Guidelines (2007).</w:t>
      </w:r>
    </w:p>
    <w:p w14:paraId="3BB05352" w14:textId="77777777" w:rsidR="008B2893" w:rsidRPr="002B3F36" w:rsidRDefault="008B2893" w:rsidP="00F83434">
      <w:pPr>
        <w:pStyle w:val="Bullet12"/>
      </w:pPr>
      <w:r w:rsidRPr="002B3F36">
        <w:t>Unresolved cases will be reviewed at the regional level, with the Regional GRC meeting twice a month or more frequently if required.</w:t>
      </w:r>
    </w:p>
    <w:p w14:paraId="767957BD" w14:textId="77777777" w:rsidR="008B2893" w:rsidRPr="002B3F36" w:rsidRDefault="008B2893" w:rsidP="00F83434">
      <w:pPr>
        <w:pStyle w:val="Bullet12"/>
      </w:pPr>
      <w:r w:rsidRPr="002B3F36">
        <w:t xml:space="preserve">Cases will be discussed within </w:t>
      </w:r>
      <w:r w:rsidRPr="002B3F36">
        <w:rPr>
          <w:rStyle w:val="affffb"/>
          <w:b w:val="0"/>
        </w:rPr>
        <w:t>10 working days</w:t>
      </w:r>
      <w:r w:rsidRPr="002B3F36">
        <w:rPr>
          <w:b/>
        </w:rPr>
        <w:t xml:space="preserve">, </w:t>
      </w:r>
      <w:r w:rsidRPr="002B3F36">
        <w:t>and resolution recommendations will be communicated to all parties.</w:t>
      </w:r>
    </w:p>
    <w:p w14:paraId="2827DD88" w14:textId="1456C848" w:rsidR="008B2893" w:rsidRPr="002B3F36" w:rsidRDefault="008B2893" w:rsidP="00F83434">
      <w:pPr>
        <w:pStyle w:val="Bullet12"/>
      </w:pPr>
      <w:r w:rsidRPr="002B3F36">
        <w:t xml:space="preserve">The Regional GRC Coordinator will compile meeting minutes, maintain records, and track corrective actions per </w:t>
      </w:r>
      <w:r w:rsidRPr="002B3F36">
        <w:rPr>
          <w:iCs/>
        </w:rPr>
        <w:t>Kazakhstan’s Environmental Code (2021)</w:t>
      </w:r>
      <w:r w:rsidRPr="002B3F36">
        <w:t xml:space="preserve"> and </w:t>
      </w:r>
      <w:r w:rsidR="00163238" w:rsidRPr="002B3F36">
        <w:t>WB PS</w:t>
      </w:r>
      <w:r w:rsidRPr="002B3F36">
        <w:t>1 monitoring provisions.</w:t>
      </w:r>
    </w:p>
    <w:p w14:paraId="2006A8AA" w14:textId="77777777" w:rsidR="00F83434" w:rsidRPr="002B3F36" w:rsidRDefault="00F83434" w:rsidP="00F83434">
      <w:pPr>
        <w:pStyle w:val="ReportBodyPar"/>
      </w:pPr>
    </w:p>
    <w:p w14:paraId="38BA2C1A" w14:textId="77777777" w:rsidR="008B2893" w:rsidRPr="002B3F36" w:rsidRDefault="008B2893" w:rsidP="008B2893">
      <w:pPr>
        <w:pStyle w:val="CaptionforFigure"/>
        <w:rPr>
          <w:rFonts w:ascii="Arial" w:hAnsi="Arial"/>
          <w:b w:val="0"/>
        </w:rPr>
      </w:pPr>
      <w:r w:rsidRPr="002B3F36">
        <w:rPr>
          <w:rStyle w:val="affffb"/>
          <w:b/>
        </w:rPr>
        <w:t>Step 3: Grievance Escalation – Central Level</w:t>
      </w:r>
    </w:p>
    <w:p w14:paraId="593AA69A" w14:textId="604E3AD6" w:rsidR="008B2893" w:rsidRPr="002B3F36" w:rsidRDefault="008B2893" w:rsidP="00F83434">
      <w:pPr>
        <w:pStyle w:val="Bullet12"/>
      </w:pPr>
      <w:r w:rsidRPr="002B3F36">
        <w:t xml:space="preserve">If the grievance cannot be resolved at the regional level, it will be escalated to the Central GRC, consistent with </w:t>
      </w:r>
      <w:r w:rsidR="00163238" w:rsidRPr="002B3F36">
        <w:t>WB PS</w:t>
      </w:r>
      <w:r w:rsidRPr="002B3F36">
        <w:t>1 provisions on grievance escalation.</w:t>
      </w:r>
    </w:p>
    <w:p w14:paraId="3A1654E3" w14:textId="77777777" w:rsidR="008B2893" w:rsidRPr="002B3F36" w:rsidRDefault="008B2893" w:rsidP="00F83434">
      <w:pPr>
        <w:pStyle w:val="Bullet12"/>
      </w:pPr>
      <w:r w:rsidRPr="002B3F36">
        <w:t>The Central GRC will:</w:t>
      </w:r>
    </w:p>
    <w:p w14:paraId="05C3545F" w14:textId="77777777" w:rsidR="008B2893" w:rsidRPr="002B3F36" w:rsidRDefault="008B2893" w:rsidP="00F83434">
      <w:pPr>
        <w:pStyle w:val="DashedItems"/>
        <w:ind w:left="1440"/>
      </w:pPr>
      <w:r w:rsidRPr="002B3F36">
        <w:t>Conduct monthly meetings, with ad hoc meetings as needed for urgent cases;</w:t>
      </w:r>
    </w:p>
    <w:p w14:paraId="31887410" w14:textId="77777777" w:rsidR="008B2893" w:rsidRPr="002B3F36" w:rsidRDefault="008B2893" w:rsidP="00F83434">
      <w:pPr>
        <w:pStyle w:val="DashedItems"/>
        <w:ind w:left="1440"/>
      </w:pPr>
      <w:r w:rsidRPr="002B3F36">
        <w:t>Review submitted documentation, evaluate cases, and issue settlement recommendations within 20 working days, following Kazakhstan legal requirements on public complaints handling.</w:t>
      </w:r>
    </w:p>
    <w:p w14:paraId="5AD96274" w14:textId="77777777" w:rsidR="008B2893" w:rsidRPr="002B3F36" w:rsidRDefault="008B2893" w:rsidP="00F83434">
      <w:pPr>
        <w:pStyle w:val="Bullet12"/>
      </w:pPr>
      <w:r w:rsidRPr="002B3F36">
        <w:t>The Central GRC Coordinator will ensure proper documentation, reporting, and disclosure, in line with the WBG EHS Guidelines (2007) on stakeholder engagement and grievance documentation.</w:t>
      </w:r>
    </w:p>
    <w:p w14:paraId="60A2D168" w14:textId="0B7DA257" w:rsidR="008B2893" w:rsidRPr="002B3F36" w:rsidRDefault="008B2893" w:rsidP="00F83434">
      <w:pPr>
        <w:pStyle w:val="Bullet12"/>
      </w:pPr>
      <w:r w:rsidRPr="002B3F36">
        <w:t>Additionally, grievances may be submitted directly to state authorities via the e-otinish electronic platform (</w:t>
      </w:r>
      <w:hyperlink r:id="rId57" w:tgtFrame="_new" w:history="1">
        <w:r w:rsidRPr="002B3F36">
          <w:t>https://eotinish.kz/kk</w:t>
        </w:r>
      </w:hyperlink>
      <w:r w:rsidRPr="002B3F36">
        <w:t xml:space="preserve">) in compliance with </w:t>
      </w:r>
      <w:r w:rsidRPr="002B3F36">
        <w:rPr>
          <w:iCs/>
        </w:rPr>
        <w:t>Kazakhstan’s Law on Access to Environmental Information (2002)</w:t>
      </w:r>
      <w:r w:rsidRPr="002B3F36">
        <w:t>.</w:t>
      </w:r>
    </w:p>
    <w:p w14:paraId="6DC990A3" w14:textId="77777777" w:rsidR="00840669" w:rsidRPr="002B3F36" w:rsidRDefault="00840669" w:rsidP="00840669">
      <w:pPr>
        <w:pStyle w:val="ReportBodyPar"/>
      </w:pPr>
    </w:p>
    <w:p w14:paraId="3426A29E" w14:textId="77777777" w:rsidR="008B2893" w:rsidRPr="002B3F36" w:rsidRDefault="008B2893" w:rsidP="008B2893">
      <w:pPr>
        <w:pStyle w:val="CaptionforFigure"/>
        <w:rPr>
          <w:rFonts w:ascii="Arial" w:hAnsi="Arial"/>
        </w:rPr>
      </w:pPr>
      <w:r w:rsidRPr="002B3F36">
        <w:rPr>
          <w:rStyle w:val="affffb"/>
          <w:b/>
        </w:rPr>
        <w:t>Step 4: Provision of Feedback</w:t>
      </w:r>
    </w:p>
    <w:p w14:paraId="49396522" w14:textId="343404ED" w:rsidR="008B2893" w:rsidRPr="002B3F36" w:rsidRDefault="008B2893" w:rsidP="00F83434">
      <w:pPr>
        <w:pStyle w:val="Bullet12"/>
      </w:pPr>
      <w:r w:rsidRPr="002B3F36">
        <w:lastRenderedPageBreak/>
        <w:t xml:space="preserve">For resolved grievances, written confirmation will be provided to the complainant within agreed timelines, ensuring transparency and compliance with </w:t>
      </w:r>
      <w:r w:rsidR="00163238" w:rsidRPr="002B3F36">
        <w:t>WB PS</w:t>
      </w:r>
      <w:r w:rsidRPr="002B3F36">
        <w:t>1 on stakeholder communication.</w:t>
      </w:r>
    </w:p>
    <w:p w14:paraId="39E9AC1C" w14:textId="77777777" w:rsidR="008B2893" w:rsidRPr="002B3F36" w:rsidRDefault="008B2893" w:rsidP="00F83434">
      <w:pPr>
        <w:pStyle w:val="Bullet12"/>
      </w:pPr>
      <w:r w:rsidRPr="002B3F36">
        <w:t>If unresolved at the Central GRC level, the complainant will receive:</w:t>
      </w:r>
    </w:p>
    <w:p w14:paraId="547C7115" w14:textId="77777777" w:rsidR="008B2893" w:rsidRPr="002B3F36" w:rsidRDefault="008B2893" w:rsidP="00F83434">
      <w:pPr>
        <w:pStyle w:val="DashedItems"/>
        <w:ind w:left="1440"/>
      </w:pPr>
      <w:r w:rsidRPr="002B3F36">
        <w:t>The reasons for non-resolution,</w:t>
      </w:r>
    </w:p>
    <w:p w14:paraId="450B1456" w14:textId="77777777" w:rsidR="008B2893" w:rsidRPr="002B3F36" w:rsidRDefault="008B2893" w:rsidP="00F83434">
      <w:pPr>
        <w:pStyle w:val="DashedItems"/>
        <w:ind w:left="1440"/>
      </w:pPr>
      <w:r w:rsidRPr="002B3F36">
        <w:t xml:space="preserve">Guidance on further pursuing the matter through Kazakhstan’s judicial system as guaranteed under </w:t>
      </w:r>
      <w:r w:rsidRPr="002B3F36">
        <w:rPr>
          <w:iCs/>
        </w:rPr>
        <w:t>Kazakhstan’s Administrative Procedural Code</w:t>
      </w:r>
      <w:r w:rsidRPr="002B3F36">
        <w:t>.</w:t>
      </w:r>
    </w:p>
    <w:p w14:paraId="5517FBAF" w14:textId="4AADC220" w:rsidR="008B2893" w:rsidRPr="002B3F36" w:rsidRDefault="008B2893" w:rsidP="00F83434">
      <w:pPr>
        <w:pStyle w:val="Bullet12"/>
      </w:pPr>
      <w:r w:rsidRPr="002B3F36">
        <w:t xml:space="preserve">This ensures alignment with WBG EHS Guidelines (2007) principles on transparency and </w:t>
      </w:r>
      <w:r w:rsidR="00163238" w:rsidRPr="002B3F36">
        <w:t>WB PS</w:t>
      </w:r>
      <w:r w:rsidRPr="002B3F36">
        <w:t>1 requirements for accessible grievance redress.</w:t>
      </w:r>
    </w:p>
    <w:p w14:paraId="3FF4E47A" w14:textId="77777777" w:rsidR="00F61F8E" w:rsidRPr="002B3F36" w:rsidRDefault="00F61F8E">
      <w:pPr>
        <w:pStyle w:val="ReportBodyTextNogap"/>
        <w:rPr>
          <w:rFonts w:eastAsia="SimSun"/>
        </w:rPr>
      </w:pPr>
    </w:p>
    <w:p w14:paraId="30EE02AC" w14:textId="0D56DF77" w:rsidR="00F61F8E" w:rsidRPr="002B3F36" w:rsidRDefault="000F264B" w:rsidP="00840669">
      <w:pPr>
        <w:pStyle w:val="ReportBodyTextNogap"/>
      </w:pPr>
      <w:r w:rsidRPr="002B3F36">
        <w:t>GRM Legal System. In accordance with RoK legislation, if a resolution cannot be reached following discussion and assistance from regional and central GRCs, or if the complainant remains dissatisfied with the grievance redress system, the case shall be referred to the court for resolution. Nonetheless, it should be emphasized that GRC management does not restrict a complainant's initial right to refer the case to court as part of the grievance redress procedure.</w:t>
      </w:r>
    </w:p>
    <w:p w14:paraId="35E95EF8" w14:textId="6E8D077A" w:rsidR="00F61F8E" w:rsidRPr="002B3F36" w:rsidRDefault="00F61F8E" w:rsidP="004E7508">
      <w:pPr>
        <w:pStyle w:val="ReportBodyPar"/>
      </w:pPr>
    </w:p>
    <w:p w14:paraId="54ED2BCE" w14:textId="5EEB8369" w:rsidR="00F61F8E" w:rsidRPr="002B3F36" w:rsidRDefault="000F264B" w:rsidP="004E7508">
      <w:pPr>
        <w:pStyle w:val="ReportBodyPar"/>
      </w:pPr>
      <w:r w:rsidRPr="002B3F36">
        <w:t xml:space="preserve">Grievance Focal Points. PAPs and other stakeholders may visit, call, email to, or fax the GRC for the </w:t>
      </w:r>
      <w:r w:rsidR="003A184C">
        <w:t>Karagandy</w:t>
      </w:r>
      <w:r w:rsidRPr="002B3F36">
        <w:t xml:space="preserve"> and Ulytau region at the regional level. </w:t>
      </w:r>
    </w:p>
    <w:p w14:paraId="29B66444" w14:textId="77777777" w:rsidR="00F61F8E" w:rsidRPr="002B3F36" w:rsidRDefault="00F61F8E" w:rsidP="004E7508">
      <w:pPr>
        <w:pStyle w:val="ReportBodyPar"/>
        <w:rPr>
          <w:rFonts w:eastAsia="SimSun"/>
          <w:lang w:val="en-GB"/>
        </w:rPr>
      </w:pPr>
    </w:p>
    <w:p w14:paraId="553143CB" w14:textId="77777777" w:rsidR="00F61F8E" w:rsidRPr="002B3F36" w:rsidRDefault="000F264B" w:rsidP="00840669">
      <w:pPr>
        <w:pStyle w:val="20"/>
      </w:pPr>
      <w:bookmarkStart w:id="2669" w:name="_Toc169094817"/>
      <w:bookmarkStart w:id="2670" w:name="_Toc208973896"/>
      <w:bookmarkStart w:id="2671" w:name="_Toc208974096"/>
      <w:bookmarkStart w:id="2672" w:name="_Toc208974296"/>
      <w:bookmarkStart w:id="2673" w:name="_Toc208974499"/>
      <w:bookmarkStart w:id="2674" w:name="_Toc208974701"/>
      <w:bookmarkStart w:id="2675" w:name="_Toc210589541"/>
      <w:r w:rsidRPr="002B3F36">
        <w:t>Disclosure of the Grievance Process</w:t>
      </w:r>
      <w:bookmarkEnd w:id="2669"/>
      <w:bookmarkEnd w:id="2670"/>
      <w:bookmarkEnd w:id="2671"/>
      <w:bookmarkEnd w:id="2672"/>
      <w:bookmarkEnd w:id="2673"/>
      <w:bookmarkEnd w:id="2674"/>
      <w:bookmarkEnd w:id="2675"/>
    </w:p>
    <w:p w14:paraId="688BD0B1" w14:textId="77777777" w:rsidR="00E2234D" w:rsidRPr="002B3F36" w:rsidRDefault="00E2234D" w:rsidP="00840669">
      <w:pPr>
        <w:pStyle w:val="ReportBodyTextNogap"/>
      </w:pPr>
    </w:p>
    <w:p w14:paraId="04F915F4" w14:textId="0C1D33F5" w:rsidR="0005187B" w:rsidRPr="002B3F36" w:rsidRDefault="00E2234D">
      <w:pPr>
        <w:pStyle w:val="ReportBodyTextNogap"/>
        <w:rPr>
          <w:rFonts w:eastAsia="SimSun"/>
          <w:lang w:val="en-GB"/>
        </w:rPr>
      </w:pPr>
      <w:r w:rsidRPr="002B3F36">
        <w:t xml:space="preserve">In accordance with </w:t>
      </w:r>
      <w:r w:rsidR="00F95BD8" w:rsidRPr="002B3F36">
        <w:t>WB</w:t>
      </w:r>
      <w:r w:rsidRPr="002B3F36">
        <w:t xml:space="preserve"> Performance Standard 1 (PS1) on stakeholder engagement and the WBG General EHS Guidelines (2007) on information disclosure, the public has been, and will continue to be, regularly informed about the Grievance Redress Mechanism (GRM) under the LARAP through multiple communication channels. Information brochures, public notices, and information stands will be installed at regional and district Akimat offices as required under Kazakhstan’s Environmental Code (2021) and the Law on Access to Environmental Information (2002) to ensure accessibility and transparency. During public consultations and site-level meetings, representatives of KTZ, the Environmental and Social Consultant (ES) team, and the Executing Agency (EA) will present the grievance mechanism, its procedures, and escalation steps. Moreover, brief overviews of the GRM, including statistics on grievances received and resolved, will be incorporated into periodic reports submitted by the ES Consultants team and KTZ to international lenders, ensuring compliance with </w:t>
      </w:r>
      <w:r w:rsidR="00163238" w:rsidRPr="002B3F36">
        <w:t>WB PS</w:t>
      </w:r>
      <w:r w:rsidRPr="002B3F36">
        <w:t>1 disclosure provisions and national reporting obligations</w:t>
      </w:r>
    </w:p>
    <w:p w14:paraId="5B9E66C0" w14:textId="52EAE4CE" w:rsidR="0005187B" w:rsidRPr="002B3F36" w:rsidRDefault="0005187B">
      <w:pPr>
        <w:rPr>
          <w:rFonts w:ascii="Arial" w:eastAsia="SimSun" w:hAnsi="Arial" w:cs="Arial"/>
          <w:sz w:val="24"/>
          <w:szCs w:val="24"/>
          <w:lang w:val="en-GB" w:eastAsia="en-GB"/>
        </w:rPr>
      </w:pPr>
      <w:r w:rsidRPr="002B3F36">
        <w:rPr>
          <w:rFonts w:ascii="Arial" w:eastAsia="SimSun" w:hAnsi="Arial" w:cs="Arial"/>
          <w:lang w:val="en-GB"/>
        </w:rPr>
        <w:br w:type="page"/>
      </w:r>
    </w:p>
    <w:p w14:paraId="6925D3ED" w14:textId="3A534B62" w:rsidR="00F61F8E" w:rsidRPr="002B3F36" w:rsidRDefault="000F264B">
      <w:pPr>
        <w:pStyle w:val="1"/>
        <w:numPr>
          <w:ilvl w:val="0"/>
          <w:numId w:val="1"/>
        </w:numPr>
        <w:autoSpaceDE/>
        <w:autoSpaceDN/>
        <w:spacing w:line="253" w:lineRule="auto"/>
        <w:ind w:right="72"/>
        <w:jc w:val="both"/>
        <w:rPr>
          <w:rFonts w:cs="Arial"/>
        </w:rPr>
      </w:pPr>
      <w:bookmarkStart w:id="2676" w:name="_Toc169094818"/>
      <w:bookmarkStart w:id="2677" w:name="_Toc208973897"/>
      <w:bookmarkStart w:id="2678" w:name="_Toc208974097"/>
      <w:bookmarkStart w:id="2679" w:name="_Toc208974297"/>
      <w:bookmarkStart w:id="2680" w:name="_Toc208974500"/>
      <w:bookmarkStart w:id="2681" w:name="_Toc208974702"/>
      <w:bookmarkStart w:id="2682" w:name="_Toc210589542"/>
      <w:r w:rsidRPr="002B3F36">
        <w:rPr>
          <w:rFonts w:cs="Arial"/>
        </w:rPr>
        <w:lastRenderedPageBreak/>
        <w:t>MONITORING, REPORTING AND BUDGET</w:t>
      </w:r>
      <w:bookmarkEnd w:id="2676"/>
      <w:bookmarkEnd w:id="2677"/>
      <w:bookmarkEnd w:id="2678"/>
      <w:bookmarkEnd w:id="2679"/>
      <w:bookmarkEnd w:id="2680"/>
      <w:bookmarkEnd w:id="2681"/>
      <w:bookmarkEnd w:id="2682"/>
    </w:p>
    <w:p w14:paraId="03D757B6" w14:textId="77777777" w:rsidR="00AC0622" w:rsidRPr="002B3F36" w:rsidRDefault="00AC0622" w:rsidP="00AC0622">
      <w:pPr>
        <w:pStyle w:val="ReportBodyPar"/>
        <w:rPr>
          <w:lang w:val="en-PH"/>
        </w:rPr>
      </w:pPr>
    </w:p>
    <w:p w14:paraId="6283C345" w14:textId="3F071056" w:rsidR="00AC0622" w:rsidRPr="002B3F36" w:rsidRDefault="00AC0622" w:rsidP="00AC0622">
      <w:pPr>
        <w:pStyle w:val="ReportBodyPar"/>
        <w:rPr>
          <w:lang w:val="en-PH"/>
        </w:rPr>
      </w:pPr>
      <w:r w:rsidRPr="002B3F36">
        <w:rPr>
          <w:lang w:val="en-PH"/>
        </w:rPr>
        <w:t xml:space="preserve">Environmental and social monitoring will be undertaken to ensure effective mitigation and timely response to identified project risks and impacts during the construction phase of the </w:t>
      </w:r>
      <w:r w:rsidR="003650DB" w:rsidRPr="002B3F36">
        <w:rPr>
          <w:b/>
          <w:bCs/>
          <w:lang w:val="en-PH"/>
        </w:rPr>
        <w:t xml:space="preserve">Mointy – Kyzylzhar </w:t>
      </w:r>
      <w:r w:rsidRPr="002B3F36">
        <w:rPr>
          <w:b/>
          <w:bCs/>
          <w:lang w:val="en-PH"/>
        </w:rPr>
        <w:t>Greenfield Railway Project</w:t>
      </w:r>
      <w:r w:rsidRPr="002B3F36">
        <w:rPr>
          <w:lang w:val="en-PH"/>
        </w:rPr>
        <w:t xml:space="preserve">. In line with </w:t>
      </w:r>
      <w:r w:rsidR="00163238" w:rsidRPr="002B3F36">
        <w:rPr>
          <w:b/>
          <w:bCs/>
          <w:lang w:val="en-PH"/>
        </w:rPr>
        <w:t>WB PS</w:t>
      </w:r>
      <w:r w:rsidRPr="002B3F36">
        <w:rPr>
          <w:b/>
          <w:bCs/>
          <w:lang w:val="en-PH"/>
        </w:rPr>
        <w:t>1</w:t>
      </w:r>
      <w:r w:rsidRPr="002B3F36">
        <w:rPr>
          <w:lang w:val="en-PH"/>
        </w:rPr>
        <w:t xml:space="preserve">, the </w:t>
      </w:r>
      <w:r w:rsidRPr="002B3F36">
        <w:rPr>
          <w:b/>
          <w:bCs/>
          <w:lang w:val="en-PH"/>
        </w:rPr>
        <w:t>Environmental Code of the Republic of Kazakhstan (2021)</w:t>
      </w:r>
      <w:r w:rsidRPr="002B3F36">
        <w:rPr>
          <w:lang w:val="en-PH"/>
        </w:rPr>
        <w:t xml:space="preserve">, and the </w:t>
      </w:r>
      <w:r w:rsidRPr="002B3F36">
        <w:rPr>
          <w:b/>
          <w:bCs/>
          <w:lang w:val="en-PH"/>
        </w:rPr>
        <w:t>WBG EHS Guidelines (2007)</w:t>
      </w:r>
      <w:r w:rsidRPr="002B3F36">
        <w:rPr>
          <w:lang w:val="en-PH"/>
        </w:rPr>
        <w:t>, the KTZ Safeguards Officer, with support from the Construction Supervision Consultant (CSC), will:</w:t>
      </w:r>
    </w:p>
    <w:p w14:paraId="73E729C5" w14:textId="0D0A7E70" w:rsidR="00AC0622" w:rsidRPr="002B3F36" w:rsidRDefault="00AC0622" w:rsidP="00AC0622">
      <w:pPr>
        <w:pStyle w:val="Bullet12"/>
      </w:pPr>
      <w:r w:rsidRPr="002B3F36">
        <w:rPr>
          <w:b/>
        </w:rPr>
        <w:t>Develop a construction-phase environmental and social auditing protocol</w:t>
      </w:r>
      <w:r w:rsidRPr="002B3F36">
        <w:t xml:space="preserve"> along with a detailed monitoring and reporting plan consistent with </w:t>
      </w:r>
      <w:r w:rsidR="00163238" w:rsidRPr="002B3F36">
        <w:t>WB PS</w:t>
      </w:r>
      <w:r w:rsidRPr="002B3F36">
        <w:t>1 and Kazakhstan’s regulatory framework.</w:t>
      </w:r>
    </w:p>
    <w:p w14:paraId="063A6680" w14:textId="575EE531" w:rsidR="00AC0622" w:rsidRPr="002B3F36" w:rsidRDefault="00AC0622" w:rsidP="00AC0622">
      <w:pPr>
        <w:pStyle w:val="Bullet12"/>
      </w:pPr>
      <w:r w:rsidRPr="002B3F36">
        <w:rPr>
          <w:b/>
        </w:rPr>
        <w:t>Provide standardized guidance and reporting templates</w:t>
      </w:r>
      <w:r w:rsidRPr="002B3F36">
        <w:t xml:space="preserve"> for use by contractors in preparing periodic environmental and social performance reports, ensuring alignment with WBG reporting requirements and national legislation.</w:t>
      </w:r>
    </w:p>
    <w:p w14:paraId="097B00C3" w14:textId="77777777" w:rsidR="00AC0622" w:rsidRPr="002B3F36" w:rsidRDefault="00AC0622" w:rsidP="00AC0622">
      <w:pPr>
        <w:pStyle w:val="Bullet12"/>
      </w:pPr>
      <w:r w:rsidRPr="002B3F36">
        <w:rPr>
          <w:b/>
        </w:rPr>
        <w:t>Conduct regular compliance monitoring</w:t>
      </w:r>
      <w:r w:rsidRPr="002B3F36">
        <w:t xml:space="preserve"> of the contractor’s implementation of mitigation measures under the Environmental and Social Management Plan (ESMP), documenting findings in quarterly monitoring reports for KTZ, with immediate reporting of any significant environmental or social incidents.</w:t>
      </w:r>
    </w:p>
    <w:p w14:paraId="2CA56216" w14:textId="77777777" w:rsidR="00AC0622" w:rsidRPr="002B3F36" w:rsidRDefault="00AC0622" w:rsidP="00AC0622">
      <w:pPr>
        <w:pStyle w:val="ReportBodyPar"/>
      </w:pPr>
    </w:p>
    <w:p w14:paraId="381024F9" w14:textId="77777777" w:rsidR="00F61F8E" w:rsidRPr="002B3F36" w:rsidRDefault="000F264B" w:rsidP="00B73347">
      <w:pPr>
        <w:pStyle w:val="20"/>
      </w:pPr>
      <w:bookmarkStart w:id="2683" w:name="_Toc169094819"/>
      <w:bookmarkStart w:id="2684" w:name="_Toc208973898"/>
      <w:bookmarkStart w:id="2685" w:name="_Toc208974098"/>
      <w:bookmarkStart w:id="2686" w:name="_Toc208974298"/>
      <w:bookmarkStart w:id="2687" w:name="_Toc208974501"/>
      <w:bookmarkStart w:id="2688" w:name="_Toc208974703"/>
      <w:bookmarkStart w:id="2689" w:name="_Toc210589543"/>
      <w:r w:rsidRPr="002B3F36">
        <w:t>Internal Monitoring</w:t>
      </w:r>
      <w:bookmarkEnd w:id="2683"/>
      <w:bookmarkEnd w:id="2684"/>
      <w:bookmarkEnd w:id="2685"/>
      <w:bookmarkEnd w:id="2686"/>
      <w:bookmarkEnd w:id="2687"/>
      <w:bookmarkEnd w:id="2688"/>
      <w:bookmarkEnd w:id="2689"/>
    </w:p>
    <w:p w14:paraId="08AC1C21" w14:textId="77777777" w:rsidR="00B73347" w:rsidRPr="002B3F36" w:rsidRDefault="00B73347" w:rsidP="00B73347">
      <w:pPr>
        <w:pStyle w:val="ReportBodyPar"/>
        <w:rPr>
          <w:lang w:val="en-PH"/>
        </w:rPr>
      </w:pPr>
    </w:p>
    <w:p w14:paraId="0B39363A" w14:textId="585A4F1A" w:rsidR="00AC0622" w:rsidRPr="002B3F36" w:rsidRDefault="00AC0622" w:rsidP="00B73347">
      <w:pPr>
        <w:pStyle w:val="ReportBodyPar"/>
        <w:rPr>
          <w:lang w:val="en-PH"/>
        </w:rPr>
      </w:pPr>
      <w:r w:rsidRPr="002B3F36">
        <w:rPr>
          <w:lang w:val="en-PH"/>
        </w:rPr>
        <w:t xml:space="preserve">During implementation, </w:t>
      </w:r>
      <w:r w:rsidRPr="002B3F36">
        <w:rPr>
          <w:b/>
          <w:bCs/>
          <w:lang w:val="en-PH"/>
        </w:rPr>
        <w:t>KTZ</w:t>
      </w:r>
      <w:r w:rsidRPr="002B3F36">
        <w:rPr>
          <w:lang w:val="en-PH"/>
        </w:rPr>
        <w:t xml:space="preserve"> will carry out </w:t>
      </w:r>
      <w:r w:rsidRPr="002B3F36">
        <w:rPr>
          <w:b/>
          <w:bCs/>
          <w:lang w:val="en-PH"/>
        </w:rPr>
        <w:t>monthly internal monitoring</w:t>
      </w:r>
      <w:r w:rsidRPr="002B3F36">
        <w:rPr>
          <w:lang w:val="en-PH"/>
        </w:rPr>
        <w:t xml:space="preserve"> of the Environmental and Social Management Plans (ESMPs) to evaluate the effectiveness of mitigation measures against identified environmental and social risks and impacts. Monitoring results will be reviewed by the </w:t>
      </w:r>
      <w:r w:rsidRPr="002B3F36">
        <w:rPr>
          <w:b/>
          <w:bCs/>
          <w:lang w:val="en-PH"/>
        </w:rPr>
        <w:t>KTZ Project Director</w:t>
      </w:r>
      <w:r w:rsidRPr="002B3F36">
        <w:rPr>
          <w:lang w:val="en-PH"/>
        </w:rPr>
        <w:t xml:space="preserve"> and submitted to the </w:t>
      </w:r>
      <w:r w:rsidRPr="002B3F36">
        <w:rPr>
          <w:b/>
          <w:bCs/>
          <w:lang w:val="en-PH"/>
        </w:rPr>
        <w:t>World Bank</w:t>
      </w:r>
      <w:r w:rsidRPr="002B3F36">
        <w:rPr>
          <w:lang w:val="en-PH"/>
        </w:rPr>
        <w:t xml:space="preserve"> for review, ensuring compliance with </w:t>
      </w:r>
      <w:r w:rsidR="00163238" w:rsidRPr="002B3F36">
        <w:rPr>
          <w:b/>
          <w:bCs/>
          <w:lang w:val="en-PH"/>
        </w:rPr>
        <w:t>WB PS</w:t>
      </w:r>
      <w:r w:rsidRPr="002B3F36">
        <w:rPr>
          <w:b/>
          <w:bCs/>
          <w:lang w:val="en-PH"/>
        </w:rPr>
        <w:t>1</w:t>
      </w:r>
      <w:r w:rsidRPr="002B3F36">
        <w:rPr>
          <w:lang w:val="en-PH"/>
        </w:rPr>
        <w:t xml:space="preserve"> requirements on impact assessment, management systems, and monitoring. The </w:t>
      </w:r>
      <w:r w:rsidRPr="002B3F36">
        <w:rPr>
          <w:b/>
          <w:bCs/>
          <w:lang w:val="en-PH"/>
        </w:rPr>
        <w:t>Construction Supervision Consultant (CSC)</w:t>
      </w:r>
      <w:r w:rsidRPr="002B3F36">
        <w:rPr>
          <w:lang w:val="en-PH"/>
        </w:rPr>
        <w:t xml:space="preserve"> will assist KTZ in compiling and preparing these reports in accordance with national environmental legislation and international safeguards.</w:t>
      </w:r>
    </w:p>
    <w:p w14:paraId="0BDA8D40" w14:textId="77777777" w:rsidR="00B73347" w:rsidRPr="002B3F36" w:rsidRDefault="00B73347" w:rsidP="00B73347">
      <w:pPr>
        <w:pStyle w:val="ReportBodyPar"/>
        <w:rPr>
          <w:lang w:val="en-PH"/>
        </w:rPr>
      </w:pPr>
    </w:p>
    <w:p w14:paraId="2CE20ED6" w14:textId="5A698440" w:rsidR="00AC0622" w:rsidRPr="002B3F36" w:rsidRDefault="00AC0622" w:rsidP="00B73347">
      <w:pPr>
        <w:pStyle w:val="ReportBodyPar"/>
        <w:rPr>
          <w:lang w:val="en-PH"/>
        </w:rPr>
      </w:pPr>
      <w:r w:rsidRPr="002B3F36">
        <w:rPr>
          <w:lang w:val="en-PH"/>
        </w:rPr>
        <w:t xml:space="preserve">Throughout the railway construction period, </w:t>
      </w:r>
      <w:r w:rsidRPr="002B3F36">
        <w:rPr>
          <w:b/>
          <w:bCs/>
          <w:lang w:val="en-PH"/>
        </w:rPr>
        <w:t>KTZ</w:t>
      </w:r>
      <w:r w:rsidRPr="002B3F36">
        <w:rPr>
          <w:lang w:val="en-PH"/>
        </w:rPr>
        <w:t xml:space="preserve">, with CSC support, will closely monitor </w:t>
      </w:r>
      <w:r w:rsidRPr="002B3F36">
        <w:rPr>
          <w:b/>
          <w:bCs/>
          <w:lang w:val="en-PH"/>
        </w:rPr>
        <w:t>Contractor compliance</w:t>
      </w:r>
      <w:r w:rsidRPr="002B3F36">
        <w:rPr>
          <w:lang w:val="en-PH"/>
        </w:rPr>
        <w:t xml:space="preserve"> with the ESMP obligations. Contractors will be required to prepare </w:t>
      </w:r>
      <w:r w:rsidRPr="002B3F36">
        <w:rPr>
          <w:b/>
          <w:bCs/>
          <w:lang w:val="en-PH"/>
        </w:rPr>
        <w:t>monthly reports</w:t>
      </w:r>
      <w:r w:rsidRPr="002B3F36">
        <w:rPr>
          <w:lang w:val="en-PH"/>
        </w:rPr>
        <w:t xml:space="preserve"> on environmental and social mitigation implementation, with the CSC consolidating these into </w:t>
      </w:r>
      <w:r w:rsidRPr="002B3F36">
        <w:rPr>
          <w:b/>
          <w:bCs/>
          <w:lang w:val="en-PH"/>
        </w:rPr>
        <w:t>quarterly reports</w:t>
      </w:r>
      <w:r w:rsidRPr="002B3F36">
        <w:rPr>
          <w:lang w:val="en-PH"/>
        </w:rPr>
        <w:t xml:space="preserve"> for submission to KTZ and relevant authorities. Reports will document the status of mitigation measures, identify any additional actions required, record incidents of non-compliance with environmental permits, summarize complaints from affected communities or NGOs, and describe resolution measures undertaken.</w:t>
      </w:r>
    </w:p>
    <w:p w14:paraId="1D036757" w14:textId="77777777" w:rsidR="00B73347" w:rsidRPr="002B3F36" w:rsidRDefault="00B73347" w:rsidP="00B73347">
      <w:pPr>
        <w:pStyle w:val="ReportBodyPar"/>
        <w:rPr>
          <w:lang w:val="en-PH"/>
        </w:rPr>
      </w:pPr>
    </w:p>
    <w:p w14:paraId="775FF152" w14:textId="1B99798E" w:rsidR="00AC0622" w:rsidRPr="002B3F36" w:rsidRDefault="00AC0622" w:rsidP="00B73347">
      <w:pPr>
        <w:pStyle w:val="ReportBodyPar"/>
        <w:rPr>
          <w:lang w:val="en-PH"/>
        </w:rPr>
      </w:pPr>
      <w:r w:rsidRPr="002B3F36">
        <w:rPr>
          <w:lang w:val="en-PH"/>
        </w:rPr>
        <w:t xml:space="preserve">In line with </w:t>
      </w:r>
      <w:r w:rsidR="00163238" w:rsidRPr="002B3F36">
        <w:rPr>
          <w:b/>
          <w:bCs/>
          <w:lang w:val="en-PH"/>
        </w:rPr>
        <w:t>WB PS</w:t>
      </w:r>
      <w:r w:rsidRPr="002B3F36">
        <w:rPr>
          <w:b/>
          <w:bCs/>
          <w:lang w:val="en-PH"/>
        </w:rPr>
        <w:t>1</w:t>
      </w:r>
      <w:r w:rsidRPr="002B3F36">
        <w:rPr>
          <w:lang w:val="en-PH"/>
        </w:rPr>
        <w:t xml:space="preserve"> and the </w:t>
      </w:r>
      <w:r w:rsidRPr="002B3F36">
        <w:rPr>
          <w:b/>
          <w:bCs/>
          <w:lang w:val="en-PH"/>
        </w:rPr>
        <w:t>WBG EHS Guidelines (2007)</w:t>
      </w:r>
      <w:r w:rsidRPr="002B3F36">
        <w:rPr>
          <w:lang w:val="en-PH"/>
        </w:rPr>
        <w:t xml:space="preserve"> on incident prevention and reporting, any </w:t>
      </w:r>
      <w:r w:rsidRPr="002B3F36">
        <w:rPr>
          <w:b/>
          <w:bCs/>
          <w:lang w:val="en-PH"/>
        </w:rPr>
        <w:t>occupational health and safety (OHS)</w:t>
      </w:r>
      <w:r w:rsidRPr="002B3F36">
        <w:rPr>
          <w:lang w:val="en-PH"/>
        </w:rPr>
        <w:t xml:space="preserve">, environmental, or community-related incidents occurring at project sites must be </w:t>
      </w:r>
      <w:r w:rsidRPr="002B3F36">
        <w:rPr>
          <w:b/>
          <w:bCs/>
          <w:lang w:val="en-PH"/>
        </w:rPr>
        <w:t>immediately reported</w:t>
      </w:r>
      <w:r w:rsidRPr="002B3F36">
        <w:rPr>
          <w:lang w:val="en-PH"/>
        </w:rPr>
        <w:t xml:space="preserve"> to the World Bank rather than deferred to periodic reporting. KTZ will include explicit contractual provisions requiring contractors and supervision consultants to </w:t>
      </w:r>
      <w:r w:rsidRPr="002B3F36">
        <w:rPr>
          <w:b/>
          <w:bCs/>
          <w:lang w:val="en-PH"/>
        </w:rPr>
        <w:t>promptly notify KTZ</w:t>
      </w:r>
      <w:r w:rsidRPr="002B3F36">
        <w:rPr>
          <w:lang w:val="en-PH"/>
        </w:rPr>
        <w:t xml:space="preserve"> of any incidents. Upon notification, KTZ will:</w:t>
      </w:r>
    </w:p>
    <w:p w14:paraId="36B9BEDE" w14:textId="77777777" w:rsidR="00AC0622" w:rsidRPr="002B3F36" w:rsidRDefault="00AC0622" w:rsidP="00B73347">
      <w:pPr>
        <w:pStyle w:val="Bullet12"/>
      </w:pPr>
      <w:r w:rsidRPr="002B3F36">
        <w:t xml:space="preserve">Submit a </w:t>
      </w:r>
      <w:r w:rsidRPr="002B3F36">
        <w:rPr>
          <w:b/>
        </w:rPr>
        <w:t>written incident report</w:t>
      </w:r>
      <w:r w:rsidRPr="002B3F36">
        <w:t xml:space="preserve"> to the World Bank detailing all available information at the time of reporting.</w:t>
      </w:r>
    </w:p>
    <w:p w14:paraId="0EDC09AB" w14:textId="77777777" w:rsidR="00AC0622" w:rsidRPr="002B3F36" w:rsidRDefault="00AC0622" w:rsidP="00B73347">
      <w:pPr>
        <w:pStyle w:val="Bullet12"/>
      </w:pPr>
      <w:r w:rsidRPr="002B3F36">
        <w:t xml:space="preserve">Conduct a </w:t>
      </w:r>
      <w:r w:rsidRPr="002B3F36">
        <w:rPr>
          <w:b/>
        </w:rPr>
        <w:t>root cause analysis</w:t>
      </w:r>
      <w:r w:rsidRPr="002B3F36">
        <w:t xml:space="preserve"> to identify underlying factors and risks.</w:t>
      </w:r>
    </w:p>
    <w:p w14:paraId="2A6B8F62" w14:textId="77777777" w:rsidR="00AC0622" w:rsidRPr="002B3F36" w:rsidRDefault="00AC0622" w:rsidP="00B73347">
      <w:pPr>
        <w:pStyle w:val="Bullet12"/>
      </w:pPr>
      <w:r w:rsidRPr="002B3F36">
        <w:t xml:space="preserve">Develop and implement a </w:t>
      </w:r>
      <w:r w:rsidRPr="002B3F36">
        <w:rPr>
          <w:b/>
        </w:rPr>
        <w:t>Corrective Action Plan (CAP)</w:t>
      </w:r>
      <w:r w:rsidRPr="002B3F36">
        <w:t xml:space="preserve"> including remedial measures to prevent recurrence, mitigate impacts, and compensate for adverse consequences if applicable.</w:t>
      </w:r>
    </w:p>
    <w:p w14:paraId="6A8A4FA6" w14:textId="77777777" w:rsidR="00B73347" w:rsidRPr="002B3F36" w:rsidRDefault="00B73347" w:rsidP="00AC0622">
      <w:pPr>
        <w:pStyle w:val="ReportBodyPar"/>
        <w:rPr>
          <w:lang w:val="en-PH"/>
        </w:rPr>
      </w:pPr>
    </w:p>
    <w:p w14:paraId="56F6129F" w14:textId="39616EB6" w:rsidR="006D06B2" w:rsidRPr="002B3F36" w:rsidRDefault="006D06B2" w:rsidP="0039606C">
      <w:pPr>
        <w:pStyle w:val="ReportBodyPar"/>
        <w:sectPr w:rsidR="006D06B2" w:rsidRPr="002B3F36" w:rsidSect="00C16EE5">
          <w:pgSz w:w="11910" w:h="16840"/>
          <w:pgMar w:top="990" w:right="1133" w:bottom="900" w:left="1080" w:header="0" w:footer="0" w:gutter="0"/>
          <w:cols w:space="720"/>
          <w:docGrid w:linePitch="299"/>
        </w:sectPr>
      </w:pPr>
      <w:bookmarkStart w:id="2690" w:name="_Toc54535101"/>
      <w:bookmarkStart w:id="2691" w:name="_Toc54600878"/>
      <w:bookmarkStart w:id="2692" w:name="_Toc55826011"/>
      <w:bookmarkEnd w:id="2690"/>
      <w:bookmarkEnd w:id="2691"/>
      <w:bookmarkEnd w:id="2692"/>
    </w:p>
    <w:p w14:paraId="1F3DE21E" w14:textId="77777777" w:rsidR="00CA6BB4" w:rsidRPr="002B3F36" w:rsidRDefault="00CA6BB4" w:rsidP="00377180">
      <w:pPr>
        <w:pStyle w:val="1"/>
        <w:ind w:left="1890" w:hanging="1890"/>
        <w:rPr>
          <w:rFonts w:eastAsia="Arial" w:cs="Arial"/>
        </w:rPr>
      </w:pPr>
      <w:bookmarkStart w:id="2693" w:name="_Toc206218453"/>
      <w:bookmarkStart w:id="2694" w:name="_Toc210589544"/>
      <w:r w:rsidRPr="002B3F36">
        <w:rPr>
          <w:rFonts w:eastAsia="Arial" w:cs="Arial"/>
        </w:rPr>
        <w:lastRenderedPageBreak/>
        <w:t>Appendix 1: Inventory of Initially Obtained Electronic Data from KTZ</w:t>
      </w:r>
      <w:bookmarkEnd w:id="2693"/>
      <w:bookmarkEnd w:id="2694"/>
    </w:p>
    <w:p w14:paraId="58B2EF11" w14:textId="77777777" w:rsidR="00CA6BB4" w:rsidRPr="002B3F36" w:rsidRDefault="00CA6BB4" w:rsidP="00377180">
      <w:pPr>
        <w:ind w:left="1980" w:hanging="1980"/>
        <w:jc w:val="center"/>
        <w:rPr>
          <w:rFonts w:ascii="Arial" w:hAnsi="Arial" w:cs="Arial"/>
          <w:b/>
          <w:bCs/>
          <w:sz w:val="24"/>
          <w:szCs w:val="24"/>
        </w:rPr>
      </w:pPr>
    </w:p>
    <w:p w14:paraId="0D491C92" w14:textId="3331CCF7" w:rsidR="006D06B2" w:rsidRPr="002B3F36" w:rsidRDefault="006D06B2" w:rsidP="006D06B2">
      <w:pPr>
        <w:jc w:val="center"/>
        <w:rPr>
          <w:rFonts w:ascii="Arial" w:eastAsia="SimSun" w:hAnsi="Arial" w:cs="Arial"/>
          <w:b/>
          <w:bCs/>
          <w:sz w:val="24"/>
          <w:szCs w:val="24"/>
        </w:rPr>
      </w:pPr>
      <w:r w:rsidRPr="002B3F36">
        <w:rPr>
          <w:rFonts w:ascii="Arial" w:hAnsi="Arial" w:cs="Arial"/>
          <w:b/>
          <w:bCs/>
          <w:sz w:val="24"/>
          <w:szCs w:val="24"/>
        </w:rPr>
        <w:t xml:space="preserve">Public Consultations on the Environmental and Social Impact Assessment of the project "Construction of the </w:t>
      </w:r>
      <w:r w:rsidR="009D0CE5" w:rsidRPr="002B3F36">
        <w:rPr>
          <w:rFonts w:ascii="Arial" w:hAnsi="Arial" w:cs="Arial"/>
          <w:b/>
          <w:bCs/>
          <w:sz w:val="24"/>
          <w:szCs w:val="24"/>
        </w:rPr>
        <w:t>Mointy</w:t>
      </w:r>
      <w:r w:rsidRPr="002B3F36">
        <w:rPr>
          <w:rFonts w:ascii="Arial" w:hAnsi="Arial" w:cs="Arial"/>
          <w:b/>
          <w:bCs/>
          <w:sz w:val="24"/>
          <w:szCs w:val="24"/>
        </w:rPr>
        <w:t>-Kyzylzhar Railway Line"</w:t>
      </w:r>
    </w:p>
    <w:p w14:paraId="48D9C8C2" w14:textId="77777777" w:rsidR="006D06B2" w:rsidRPr="002B3F36" w:rsidRDefault="006D06B2" w:rsidP="006D06B2">
      <w:pPr>
        <w:jc w:val="center"/>
        <w:rPr>
          <w:rFonts w:ascii="Arial" w:hAnsi="Arial" w:cs="Arial"/>
          <w:b/>
          <w:bCs/>
          <w:sz w:val="24"/>
          <w:szCs w:val="24"/>
        </w:rPr>
      </w:pPr>
    </w:p>
    <w:p w14:paraId="65F78B66" w14:textId="77777777" w:rsidR="006D06B2" w:rsidRPr="002B3F36" w:rsidRDefault="006D06B2" w:rsidP="006D06B2">
      <w:pPr>
        <w:rPr>
          <w:rFonts w:ascii="Arial" w:hAnsi="Arial" w:cs="Arial"/>
          <w:sz w:val="24"/>
          <w:szCs w:val="24"/>
        </w:rPr>
      </w:pPr>
      <w:r w:rsidRPr="002B3F36">
        <w:rPr>
          <w:rFonts w:ascii="Arial" w:hAnsi="Arial" w:cs="Arial"/>
          <w:b/>
          <w:bCs/>
          <w:sz w:val="24"/>
          <w:szCs w:val="24"/>
        </w:rPr>
        <w:t xml:space="preserve">1. Date of implementation: </w:t>
      </w:r>
      <w:r w:rsidRPr="002B3F36">
        <w:rPr>
          <w:rFonts w:ascii="Arial" w:hAnsi="Arial" w:cs="Arial"/>
          <w:sz w:val="24"/>
          <w:szCs w:val="24"/>
        </w:rPr>
        <w:t xml:space="preserve">September 24, 2025 at 14:00 </w:t>
      </w:r>
    </w:p>
    <w:p w14:paraId="64ABA87C" w14:textId="77777777" w:rsidR="006D06B2" w:rsidRPr="002B3F36" w:rsidRDefault="006D06B2" w:rsidP="006D06B2">
      <w:pPr>
        <w:rPr>
          <w:rFonts w:ascii="Arial" w:hAnsi="Arial" w:cs="Arial"/>
          <w:sz w:val="24"/>
          <w:szCs w:val="24"/>
        </w:rPr>
      </w:pPr>
    </w:p>
    <w:p w14:paraId="286B947C" w14:textId="60772BC5" w:rsidR="006D06B2" w:rsidRPr="002B3F36" w:rsidRDefault="006D06B2" w:rsidP="006D06B2">
      <w:pPr>
        <w:widowControl/>
        <w:numPr>
          <w:ilvl w:val="0"/>
          <w:numId w:val="260"/>
        </w:numPr>
        <w:autoSpaceDE/>
        <w:autoSpaceDN/>
        <w:rPr>
          <w:rFonts w:ascii="Arial" w:hAnsi="Arial" w:cs="Arial"/>
          <w:sz w:val="24"/>
          <w:szCs w:val="24"/>
        </w:rPr>
      </w:pPr>
      <w:r w:rsidRPr="002B3F36">
        <w:rPr>
          <w:rFonts w:ascii="Arial" w:hAnsi="Arial" w:cs="Arial"/>
          <w:b/>
          <w:bCs/>
          <w:sz w:val="24"/>
          <w:szCs w:val="24"/>
        </w:rPr>
        <w:t>Venue:</w:t>
      </w:r>
      <w:r w:rsidRPr="002B3F36">
        <w:rPr>
          <w:rFonts w:ascii="Arial" w:hAnsi="Arial" w:cs="Arial"/>
          <w:sz w:val="24"/>
          <w:szCs w:val="24"/>
        </w:rPr>
        <w:t xml:space="preserve"> Shet District, Mointy village, Tanybai Batyr 14, Akimat Building </w:t>
      </w:r>
    </w:p>
    <w:p w14:paraId="422C210E" w14:textId="77777777" w:rsidR="006D06B2" w:rsidRPr="002B3F36" w:rsidRDefault="006D06B2" w:rsidP="006D06B2">
      <w:pPr>
        <w:rPr>
          <w:rFonts w:ascii="Arial" w:hAnsi="Arial" w:cs="Arial"/>
          <w:sz w:val="24"/>
          <w:szCs w:val="24"/>
        </w:rPr>
      </w:pPr>
    </w:p>
    <w:p w14:paraId="31FCDEEB"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3. General Information:</w:t>
      </w:r>
    </w:p>
    <w:p w14:paraId="6DD760E6" w14:textId="6E8B6290" w:rsidR="006D06B2" w:rsidRPr="002B3F36" w:rsidRDefault="006D06B2" w:rsidP="00377180">
      <w:pPr>
        <w:pStyle w:val="ReportBodyPar"/>
      </w:pPr>
      <w:r w:rsidRPr="002B3F36">
        <w:t xml:space="preserve">The public consultations were organized jointly by "National Company "Kazakhstan Temir Zholy" Joint Stock Company (hereinafter - "NC "KTZ" JSC) and the World Bank. Information about the public consultations was conveyed to the public through the Akim's Office of Moiynty village, Shet District, </w:t>
      </w:r>
      <w:r w:rsidR="003A184C">
        <w:t>Karagandy</w:t>
      </w:r>
      <w:r w:rsidRPr="002B3F36">
        <w:t xml:space="preserve"> region, as well as by "NC "KTZ" JSC in accordance with the requirements of </w:t>
      </w:r>
      <w:r w:rsidR="00163238" w:rsidRPr="002B3F36">
        <w:t>WBG PS1</w:t>
      </w:r>
      <w:r w:rsidRPr="002B3F36">
        <w:t xml:space="preserve">. </w:t>
      </w:r>
    </w:p>
    <w:p w14:paraId="2CF201C7" w14:textId="77777777" w:rsidR="006D06B2" w:rsidRPr="002B3F36" w:rsidRDefault="006D06B2" w:rsidP="006D06B2">
      <w:pPr>
        <w:rPr>
          <w:rFonts w:ascii="Arial" w:hAnsi="Arial" w:cs="Arial"/>
          <w:sz w:val="24"/>
          <w:szCs w:val="24"/>
        </w:rPr>
      </w:pPr>
    </w:p>
    <w:p w14:paraId="5B3AF533"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4. Agenda of the Public Consultations:</w:t>
      </w:r>
    </w:p>
    <w:p w14:paraId="7FDD916C" w14:textId="58C781D1"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1) Opening speech by the Representative of the Client - Head of the "Mointy-Kyzylzhar" Directorate Karsakbayev Bakyt Serikbayuly; </w:t>
      </w:r>
    </w:p>
    <w:p w14:paraId="7220CBA6"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2) Report and presentation by the client's representative - Environmental Manager, Environmental Specialist Shiryayeva Tamara Aleksandrovna on the topic: "Environmental and Social Impact Assessment. Environmental and Social Management"; </w:t>
      </w:r>
    </w:p>
    <w:p w14:paraId="6F31A367"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3) Discussion of the report: </w:t>
      </w:r>
    </w:p>
    <w:p w14:paraId="5E56893F"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4) Report and presentation by the client's representative - National Biodiversity Consultant Senyak Evgenia Nikolaevna on the topic: "Biodiversity Management Plan"; </w:t>
      </w:r>
    </w:p>
    <w:p w14:paraId="38DC2634"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5) Discussion of the report: </w:t>
      </w:r>
    </w:p>
    <w:p w14:paraId="70B27D71"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6) Questions, proposals, and comments from public representatives; </w:t>
      </w:r>
    </w:p>
    <w:p w14:paraId="0A834F1E"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7) Responses of the Client to questions, proposals, and comments; </w:t>
      </w:r>
    </w:p>
    <w:p w14:paraId="6A7ED723" w14:textId="77777777" w:rsidR="006D06B2" w:rsidRPr="002B3F36" w:rsidRDefault="006D06B2" w:rsidP="006D06B2">
      <w:pPr>
        <w:ind w:left="540" w:hanging="540"/>
        <w:rPr>
          <w:rFonts w:ascii="Arial" w:hAnsi="Arial" w:cs="Arial"/>
          <w:sz w:val="24"/>
          <w:szCs w:val="24"/>
        </w:rPr>
      </w:pPr>
      <w:r w:rsidRPr="002B3F36">
        <w:rPr>
          <w:rFonts w:ascii="Arial" w:hAnsi="Arial" w:cs="Arial"/>
          <w:sz w:val="24"/>
          <w:szCs w:val="24"/>
        </w:rPr>
        <w:t xml:space="preserve">8) Appendices to the Protocol (photo and video materials, lists of participants, copies of announcements, presentation materials). </w:t>
      </w:r>
    </w:p>
    <w:p w14:paraId="1F103E1F" w14:textId="77777777" w:rsidR="006D06B2" w:rsidRPr="002B3F36" w:rsidRDefault="006D06B2" w:rsidP="006D06B2">
      <w:pPr>
        <w:rPr>
          <w:rFonts w:ascii="Arial" w:hAnsi="Arial" w:cs="Arial"/>
          <w:sz w:val="24"/>
          <w:szCs w:val="24"/>
        </w:rPr>
      </w:pPr>
    </w:p>
    <w:p w14:paraId="4D2BEE06"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5. Participants of the Consultations:</w:t>
      </w:r>
    </w:p>
    <w:p w14:paraId="29572FF4" w14:textId="78CC017E" w:rsidR="006D06B2" w:rsidRPr="002B3F36" w:rsidRDefault="006D06B2" w:rsidP="006D06B2">
      <w:pPr>
        <w:ind w:left="360"/>
        <w:rPr>
          <w:rFonts w:ascii="Arial" w:hAnsi="Arial" w:cs="Arial"/>
          <w:sz w:val="24"/>
          <w:szCs w:val="24"/>
        </w:rPr>
      </w:pPr>
      <w:r w:rsidRPr="002B3F36">
        <w:rPr>
          <w:rFonts w:ascii="Arial" w:hAnsi="Arial" w:cs="Arial"/>
          <w:sz w:val="24"/>
          <w:szCs w:val="24"/>
        </w:rPr>
        <w:t xml:space="preserve">From "NC "KTZ" JSC: Karsakbayev Bakyt Serikbayuly - Head of the "Mointy-Kyzylzhar" Directorate. </w:t>
      </w:r>
    </w:p>
    <w:p w14:paraId="10D759F8" w14:textId="77777777" w:rsidR="006D06B2" w:rsidRPr="002B3F36" w:rsidRDefault="006D06B2" w:rsidP="006D06B2">
      <w:pPr>
        <w:ind w:left="360"/>
        <w:rPr>
          <w:rFonts w:ascii="Arial" w:hAnsi="Arial" w:cs="Arial"/>
          <w:sz w:val="24"/>
          <w:szCs w:val="24"/>
          <w:lang w:val="sv-SE"/>
        </w:rPr>
      </w:pPr>
      <w:r w:rsidRPr="002B3F36">
        <w:rPr>
          <w:rFonts w:ascii="Arial" w:hAnsi="Arial" w:cs="Arial"/>
          <w:sz w:val="24"/>
          <w:szCs w:val="24"/>
          <w:lang w:val="sv-SE"/>
        </w:rPr>
        <w:t xml:space="preserve">Shiryayeva Tamara Aleksandrovna - Environmental Manager, Environmental Specialist. </w:t>
      </w:r>
    </w:p>
    <w:p w14:paraId="30A326A8" w14:textId="77777777" w:rsidR="006D06B2" w:rsidRPr="002B3F36" w:rsidRDefault="006D06B2" w:rsidP="006D06B2">
      <w:pPr>
        <w:ind w:left="360"/>
        <w:rPr>
          <w:rFonts w:ascii="Arial" w:hAnsi="Arial" w:cs="Arial"/>
          <w:sz w:val="24"/>
          <w:szCs w:val="24"/>
        </w:rPr>
      </w:pPr>
      <w:r w:rsidRPr="002B3F36">
        <w:rPr>
          <w:rFonts w:ascii="Arial" w:hAnsi="Arial" w:cs="Arial"/>
          <w:sz w:val="24"/>
          <w:szCs w:val="24"/>
        </w:rPr>
        <w:t xml:space="preserve">Senyak Evgenia Nikolaevna - National Biodiversity Consultant. </w:t>
      </w:r>
    </w:p>
    <w:p w14:paraId="7E0ED145" w14:textId="77777777" w:rsidR="006D06B2" w:rsidRPr="002B3F36" w:rsidRDefault="006D06B2" w:rsidP="006D06B2">
      <w:pPr>
        <w:ind w:left="360"/>
        <w:rPr>
          <w:rFonts w:ascii="Arial" w:hAnsi="Arial" w:cs="Arial"/>
          <w:sz w:val="24"/>
          <w:szCs w:val="24"/>
        </w:rPr>
      </w:pPr>
      <w:r w:rsidRPr="002B3F36">
        <w:rPr>
          <w:rFonts w:ascii="Arial" w:hAnsi="Arial" w:cs="Arial"/>
          <w:sz w:val="24"/>
          <w:szCs w:val="24"/>
        </w:rPr>
        <w:t xml:space="preserve">Abishev Abzal Madenuly - Interpreter </w:t>
      </w:r>
    </w:p>
    <w:p w14:paraId="197F46E5" w14:textId="77777777" w:rsidR="006D06B2" w:rsidRPr="002B3F36" w:rsidRDefault="006D06B2" w:rsidP="006D06B2">
      <w:pPr>
        <w:rPr>
          <w:rFonts w:ascii="Arial" w:hAnsi="Arial" w:cs="Arial"/>
          <w:sz w:val="24"/>
          <w:szCs w:val="24"/>
        </w:rPr>
      </w:pPr>
    </w:p>
    <w:p w14:paraId="42CF785D"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 xml:space="preserve">Public representatives: </w:t>
      </w:r>
    </w:p>
    <w:p w14:paraId="7AAD4F70" w14:textId="4562456B" w:rsidR="006D06B2" w:rsidRPr="002B3F36" w:rsidRDefault="006D06B2" w:rsidP="00F82096">
      <w:pPr>
        <w:pStyle w:val="ReportBodyPar"/>
      </w:pPr>
      <w:r w:rsidRPr="002B3F36">
        <w:t>(Full name, position, or affiliation with organizations/population are listed) Chief Specialist of the Akim's Office of Mointy village Zh. Tlegenova, Chairman of the Council of Elders O. Kisikov, Chairman of the local community S. Mukhashev (heads of institutions) according to the list of attendance.</w:t>
      </w:r>
    </w:p>
    <w:p w14:paraId="13DA43D4" w14:textId="77777777" w:rsidR="006D06B2" w:rsidRPr="002B3F36" w:rsidRDefault="006D06B2" w:rsidP="006D06B2">
      <w:pPr>
        <w:rPr>
          <w:rFonts w:ascii="Arial" w:hAnsi="Arial" w:cs="Arial"/>
          <w:sz w:val="24"/>
          <w:szCs w:val="24"/>
        </w:rPr>
      </w:pPr>
    </w:p>
    <w:p w14:paraId="3768E05A" w14:textId="77777777" w:rsidR="006D06B2" w:rsidRPr="002B3F36" w:rsidRDefault="006D06B2" w:rsidP="006D06B2">
      <w:pPr>
        <w:rPr>
          <w:rFonts w:ascii="Arial" w:hAnsi="Arial" w:cs="Arial"/>
          <w:sz w:val="24"/>
          <w:szCs w:val="24"/>
        </w:rPr>
      </w:pPr>
      <w:r w:rsidRPr="002B3F36">
        <w:rPr>
          <w:rFonts w:ascii="Arial" w:hAnsi="Arial" w:cs="Arial"/>
          <w:b/>
          <w:bCs/>
          <w:sz w:val="24"/>
          <w:szCs w:val="24"/>
        </w:rPr>
        <w:t>6. Course of Consultations</w:t>
      </w:r>
      <w:r w:rsidRPr="002B3F36">
        <w:rPr>
          <w:rFonts w:ascii="Arial" w:hAnsi="Arial" w:cs="Arial"/>
          <w:sz w:val="24"/>
          <w:szCs w:val="24"/>
        </w:rPr>
        <w:t>:</w:t>
      </w:r>
    </w:p>
    <w:p w14:paraId="4D73A959"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During the consultations, reports by the Client's representatives and consultants were heard, and issues related to the environmental and social aspects of the project implementation were discussed. </w:t>
      </w:r>
    </w:p>
    <w:p w14:paraId="69348E33"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 xml:space="preserve">Main questions and comments from public representatives: </w:t>
      </w:r>
    </w:p>
    <w:p w14:paraId="204036B0" w14:textId="5674F8BC" w:rsidR="006D06B2" w:rsidRPr="002B3F36" w:rsidRDefault="006D06B2" w:rsidP="00F82096">
      <w:pPr>
        <w:ind w:left="720" w:hanging="720"/>
        <w:rPr>
          <w:rFonts w:ascii="Arial" w:hAnsi="Arial" w:cs="Arial"/>
          <w:i/>
          <w:iCs/>
          <w:sz w:val="24"/>
          <w:szCs w:val="24"/>
        </w:rPr>
      </w:pPr>
      <w:r w:rsidRPr="002B3F36">
        <w:rPr>
          <w:rFonts w:ascii="Arial" w:hAnsi="Arial" w:cs="Arial"/>
          <w:b/>
          <w:bCs/>
          <w:sz w:val="24"/>
          <w:szCs w:val="24"/>
        </w:rPr>
        <w:t xml:space="preserve">1) Deputy of Mointy village A. Adambayev </w:t>
      </w:r>
      <w:r w:rsidRPr="002B3F36">
        <w:rPr>
          <w:rFonts w:ascii="Arial" w:hAnsi="Arial" w:cs="Arial"/>
          <w:sz w:val="24"/>
          <w:szCs w:val="24"/>
        </w:rPr>
        <w:t>-</w:t>
      </w:r>
      <w:r w:rsidRPr="002B3F36">
        <w:rPr>
          <w:rFonts w:ascii="Arial" w:hAnsi="Arial" w:cs="Arial"/>
          <w:i/>
          <w:iCs/>
          <w:sz w:val="24"/>
          <w:szCs w:val="24"/>
        </w:rPr>
        <w:t xml:space="preserve"> Carry out work to level the external roads of Mointy village, lay a special paved road, not use the road inside the village because </w:t>
      </w:r>
      <w:r w:rsidRPr="002B3F36">
        <w:rPr>
          <w:rFonts w:ascii="Arial" w:hAnsi="Arial" w:cs="Arial"/>
          <w:i/>
          <w:iCs/>
          <w:sz w:val="24"/>
          <w:szCs w:val="24"/>
        </w:rPr>
        <w:lastRenderedPageBreak/>
        <w:t xml:space="preserve">it is impossible to move inside the village due to dust, and equipment is crushing pasture lands. </w:t>
      </w:r>
    </w:p>
    <w:p w14:paraId="5A7EB096" w14:textId="42A703A1" w:rsidR="006D06B2" w:rsidRPr="002B3F36" w:rsidRDefault="006D06B2" w:rsidP="00F82096">
      <w:pPr>
        <w:ind w:left="720" w:hanging="720"/>
        <w:rPr>
          <w:rFonts w:ascii="Arial" w:hAnsi="Arial" w:cs="Arial"/>
          <w:i/>
          <w:iCs/>
          <w:sz w:val="24"/>
          <w:szCs w:val="24"/>
        </w:rPr>
      </w:pPr>
      <w:r w:rsidRPr="002B3F36">
        <w:rPr>
          <w:rFonts w:ascii="Arial" w:hAnsi="Arial" w:cs="Arial"/>
          <w:b/>
          <w:bCs/>
          <w:sz w:val="24"/>
          <w:szCs w:val="24"/>
        </w:rPr>
        <w:t>2) Resident of Mointy village B. Kanzhanov -</w:t>
      </w:r>
      <w:r w:rsidRPr="002B3F36">
        <w:rPr>
          <w:rFonts w:ascii="Arial" w:hAnsi="Arial" w:cs="Arial"/>
          <w:sz w:val="24"/>
          <w:szCs w:val="24"/>
        </w:rPr>
        <w:t xml:space="preserve"> </w:t>
      </w:r>
      <w:r w:rsidRPr="002B3F36">
        <w:rPr>
          <w:rFonts w:ascii="Arial" w:hAnsi="Arial" w:cs="Arial"/>
          <w:i/>
          <w:iCs/>
          <w:sz w:val="24"/>
          <w:szCs w:val="24"/>
        </w:rPr>
        <w:t xml:space="preserve">KTZ is using water in the village area for its construction purposes, there is no water left for the village livestock, and agricultural livestock are leaving the village. KTZ should drill wells for itself. </w:t>
      </w:r>
    </w:p>
    <w:p w14:paraId="4949629A" w14:textId="74511F60" w:rsidR="006D06B2" w:rsidRPr="002B3F36" w:rsidRDefault="006D06B2" w:rsidP="00F82096">
      <w:pPr>
        <w:ind w:left="720" w:hanging="720"/>
        <w:rPr>
          <w:rFonts w:ascii="Arial" w:hAnsi="Arial" w:cs="Arial"/>
          <w:sz w:val="24"/>
          <w:szCs w:val="24"/>
        </w:rPr>
      </w:pPr>
      <w:r w:rsidRPr="002B3F36">
        <w:rPr>
          <w:rFonts w:ascii="Arial" w:hAnsi="Arial" w:cs="Arial"/>
          <w:b/>
          <w:bCs/>
          <w:sz w:val="24"/>
          <w:szCs w:val="24"/>
        </w:rPr>
        <w:t xml:space="preserve">3) Terr. Insp. of </w:t>
      </w:r>
      <w:r w:rsidR="003A184C">
        <w:rPr>
          <w:rFonts w:ascii="Arial" w:hAnsi="Arial" w:cs="Arial"/>
          <w:b/>
          <w:bCs/>
          <w:sz w:val="24"/>
          <w:szCs w:val="24"/>
        </w:rPr>
        <w:t>Karagandy</w:t>
      </w:r>
      <w:r w:rsidRPr="002B3F36">
        <w:rPr>
          <w:rFonts w:ascii="Arial" w:hAnsi="Arial" w:cs="Arial"/>
          <w:b/>
          <w:bCs/>
          <w:sz w:val="24"/>
          <w:szCs w:val="24"/>
        </w:rPr>
        <w:t xml:space="preserve"> region -</w:t>
      </w:r>
      <w:r w:rsidRPr="002B3F36">
        <w:rPr>
          <w:rFonts w:ascii="Arial" w:hAnsi="Arial" w:cs="Arial"/>
          <w:i/>
          <w:iCs/>
          <w:sz w:val="24"/>
          <w:szCs w:val="24"/>
        </w:rPr>
        <w:t xml:space="preserve"> It is necessary to accurately determine the migration routes of saigas in the territory of Shet district. The fence along the railway will impede the passage of saigas</w:t>
      </w:r>
      <w:r w:rsidRPr="002B3F36">
        <w:rPr>
          <w:rFonts w:ascii="Arial" w:hAnsi="Arial" w:cs="Arial"/>
          <w:sz w:val="24"/>
          <w:szCs w:val="24"/>
        </w:rPr>
        <w:t xml:space="preserve">. </w:t>
      </w:r>
    </w:p>
    <w:p w14:paraId="1F588E4E" w14:textId="77777777" w:rsidR="006D06B2" w:rsidRPr="002B3F36" w:rsidRDefault="006D06B2" w:rsidP="006D06B2">
      <w:pPr>
        <w:rPr>
          <w:rFonts w:ascii="Arial" w:hAnsi="Arial" w:cs="Arial"/>
          <w:sz w:val="24"/>
          <w:szCs w:val="24"/>
        </w:rPr>
      </w:pPr>
    </w:p>
    <w:p w14:paraId="23581071"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 xml:space="preserve">Responses of the Client's Representatives: </w:t>
      </w:r>
    </w:p>
    <w:p w14:paraId="047B8B2F" w14:textId="1C4321D0" w:rsidR="006D06B2" w:rsidRPr="002B3F36" w:rsidRDefault="006D06B2" w:rsidP="00F82096">
      <w:pPr>
        <w:ind w:left="720" w:hanging="720"/>
        <w:rPr>
          <w:rFonts w:ascii="Arial" w:hAnsi="Arial" w:cs="Arial"/>
          <w:i/>
          <w:iCs/>
          <w:sz w:val="24"/>
          <w:szCs w:val="24"/>
        </w:rPr>
      </w:pPr>
      <w:r w:rsidRPr="002B3F36">
        <w:rPr>
          <w:rFonts w:ascii="Arial" w:hAnsi="Arial" w:cs="Arial"/>
          <w:b/>
          <w:bCs/>
          <w:sz w:val="24"/>
          <w:szCs w:val="24"/>
        </w:rPr>
        <w:t xml:space="preserve">1) Karsakbayev B. - KTZ Representative </w:t>
      </w:r>
      <w:r w:rsidRPr="002B3F36">
        <w:rPr>
          <w:rFonts w:ascii="Arial" w:hAnsi="Arial" w:cs="Arial"/>
          <w:sz w:val="24"/>
          <w:szCs w:val="24"/>
        </w:rPr>
        <w:t>-</w:t>
      </w:r>
      <w:r w:rsidRPr="002B3F36">
        <w:rPr>
          <w:rFonts w:ascii="Arial" w:hAnsi="Arial" w:cs="Arial"/>
          <w:i/>
          <w:iCs/>
          <w:sz w:val="24"/>
          <w:szCs w:val="24"/>
        </w:rPr>
        <w:t xml:space="preserve"> We will level and improve the roads outside Mointy village after the completion of construction. </w:t>
      </w:r>
    </w:p>
    <w:p w14:paraId="12972C2B" w14:textId="77777777" w:rsidR="006D06B2" w:rsidRPr="002B3F36" w:rsidRDefault="006D06B2" w:rsidP="00F82096">
      <w:pPr>
        <w:ind w:left="720" w:hanging="720"/>
        <w:rPr>
          <w:rFonts w:ascii="Arial" w:hAnsi="Arial" w:cs="Arial"/>
          <w:i/>
          <w:iCs/>
          <w:sz w:val="24"/>
          <w:szCs w:val="24"/>
        </w:rPr>
      </w:pPr>
      <w:r w:rsidRPr="002B3F36">
        <w:rPr>
          <w:rFonts w:ascii="Arial" w:hAnsi="Arial" w:cs="Arial"/>
          <w:b/>
          <w:bCs/>
          <w:sz w:val="24"/>
          <w:szCs w:val="24"/>
        </w:rPr>
        <w:t>2) Karsakbayev B. - KTZ Representative -</w:t>
      </w:r>
      <w:r w:rsidRPr="002B3F36">
        <w:rPr>
          <w:rFonts w:ascii="Arial" w:hAnsi="Arial" w:cs="Arial"/>
          <w:sz w:val="24"/>
          <w:szCs w:val="24"/>
        </w:rPr>
        <w:t xml:space="preserve"> </w:t>
      </w:r>
      <w:r w:rsidRPr="002B3F36">
        <w:rPr>
          <w:rFonts w:ascii="Arial" w:hAnsi="Arial" w:cs="Arial"/>
          <w:i/>
          <w:iCs/>
          <w:sz w:val="24"/>
          <w:szCs w:val="24"/>
        </w:rPr>
        <w:t xml:space="preserve">I will convey the issue of water to the KTZ management. </w:t>
      </w:r>
    </w:p>
    <w:p w14:paraId="4C8639E6" w14:textId="77777777" w:rsidR="006D06B2" w:rsidRPr="002B3F36" w:rsidRDefault="006D06B2" w:rsidP="00F82096">
      <w:pPr>
        <w:ind w:left="720" w:hanging="720"/>
        <w:rPr>
          <w:rFonts w:ascii="Arial" w:hAnsi="Arial" w:cs="Arial"/>
          <w:i/>
          <w:iCs/>
          <w:sz w:val="24"/>
          <w:szCs w:val="24"/>
        </w:rPr>
      </w:pPr>
      <w:r w:rsidRPr="002B3F36">
        <w:rPr>
          <w:rFonts w:ascii="Arial" w:hAnsi="Arial" w:cs="Arial"/>
          <w:b/>
          <w:bCs/>
          <w:sz w:val="24"/>
          <w:szCs w:val="24"/>
        </w:rPr>
        <w:t xml:space="preserve">3) Senyak E. </w:t>
      </w:r>
      <w:r w:rsidRPr="002B3F36">
        <w:rPr>
          <w:rFonts w:ascii="Arial" w:hAnsi="Arial" w:cs="Arial"/>
          <w:i/>
          <w:iCs/>
          <w:sz w:val="24"/>
          <w:szCs w:val="24"/>
        </w:rPr>
        <w:t xml:space="preserve">- This issue will be considered during the design phase. </w:t>
      </w:r>
    </w:p>
    <w:p w14:paraId="546802F2" w14:textId="77777777" w:rsidR="006D06B2" w:rsidRPr="002B3F36" w:rsidRDefault="006D06B2" w:rsidP="006D06B2">
      <w:pPr>
        <w:rPr>
          <w:rFonts w:ascii="Arial" w:hAnsi="Arial" w:cs="Arial"/>
          <w:i/>
          <w:iCs/>
          <w:sz w:val="24"/>
          <w:szCs w:val="24"/>
        </w:rPr>
      </w:pPr>
    </w:p>
    <w:p w14:paraId="3545E850"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7. Outcomes of the Consultations:</w:t>
      </w:r>
    </w:p>
    <w:p w14:paraId="55EE1C34" w14:textId="77777777" w:rsidR="006D06B2" w:rsidRPr="002B3F36" w:rsidRDefault="006D06B2" w:rsidP="00F82096">
      <w:pPr>
        <w:pStyle w:val="ReportBodyPar"/>
      </w:pPr>
      <w:r w:rsidRPr="002B3F36">
        <w:t xml:space="preserve">Based on the results of the discussion, the parties noted the importance of considering the interests of the population, complying with the environmental and social standards of the World Bank, as well as ensuring the transparency and openness of project implementation. </w:t>
      </w:r>
    </w:p>
    <w:p w14:paraId="2ABCDA3F" w14:textId="77777777" w:rsidR="006D06B2" w:rsidRPr="002B3F36" w:rsidRDefault="006D06B2" w:rsidP="006D06B2">
      <w:pPr>
        <w:rPr>
          <w:rFonts w:ascii="Arial" w:hAnsi="Arial" w:cs="Arial"/>
          <w:sz w:val="24"/>
          <w:szCs w:val="24"/>
        </w:rPr>
      </w:pPr>
    </w:p>
    <w:p w14:paraId="2A0D772F" w14:textId="77777777" w:rsidR="006D06B2" w:rsidRPr="002B3F36" w:rsidRDefault="006D06B2" w:rsidP="006D06B2">
      <w:pPr>
        <w:rPr>
          <w:rFonts w:ascii="Arial" w:hAnsi="Arial" w:cs="Arial"/>
          <w:sz w:val="24"/>
          <w:szCs w:val="24"/>
        </w:rPr>
      </w:pPr>
      <w:r w:rsidRPr="002B3F36">
        <w:rPr>
          <w:rFonts w:ascii="Arial" w:hAnsi="Arial" w:cs="Arial"/>
          <w:b/>
          <w:bCs/>
          <w:sz w:val="24"/>
          <w:szCs w:val="24"/>
        </w:rPr>
        <w:t>8. Appendices:</w:t>
      </w:r>
    </w:p>
    <w:p w14:paraId="61A206CF"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List of participants; </w:t>
      </w:r>
    </w:p>
    <w:p w14:paraId="4320CC3A" w14:textId="77777777" w:rsidR="006D06B2" w:rsidRPr="002B3F36" w:rsidRDefault="006D06B2" w:rsidP="006D06B2">
      <w:pPr>
        <w:rPr>
          <w:rFonts w:ascii="Arial" w:hAnsi="Arial" w:cs="Arial"/>
          <w:sz w:val="24"/>
          <w:szCs w:val="24"/>
        </w:rPr>
      </w:pPr>
      <w:r w:rsidRPr="002B3F36">
        <w:rPr>
          <w:rFonts w:ascii="Arial" w:hAnsi="Arial" w:cs="Arial"/>
          <w:sz w:val="24"/>
          <w:szCs w:val="24"/>
        </w:rPr>
        <w:t>Photo and video materials;</w:t>
      </w:r>
    </w:p>
    <w:p w14:paraId="464DAE20" w14:textId="77777777" w:rsidR="006D06B2" w:rsidRPr="002B3F36" w:rsidRDefault="006D06B2" w:rsidP="006D06B2">
      <w:pPr>
        <w:rPr>
          <w:rFonts w:ascii="Arial" w:hAnsi="Arial" w:cs="Arial"/>
          <w:sz w:val="24"/>
          <w:szCs w:val="24"/>
        </w:rPr>
      </w:pPr>
    </w:p>
    <w:p w14:paraId="2D1DCAFB"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Signatures: </w:t>
      </w:r>
    </w:p>
    <w:p w14:paraId="6B00D25A"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Representatives of "NC "KTZ" JSC: Karsakbayev B.S. </w:t>
      </w:r>
    </w:p>
    <w:p w14:paraId="1992B85D"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Public representatives: </w:t>
      </w:r>
    </w:p>
    <w:p w14:paraId="2CB79064" w14:textId="002B2621" w:rsidR="006D06B2" w:rsidRPr="002B3F36" w:rsidRDefault="006D06B2" w:rsidP="006D06B2">
      <w:pPr>
        <w:jc w:val="center"/>
        <w:rPr>
          <w:rFonts w:ascii="Arial" w:hAnsi="Arial" w:cs="Arial"/>
          <w:b/>
          <w:bCs/>
          <w:sz w:val="24"/>
          <w:szCs w:val="24"/>
        </w:rPr>
      </w:pPr>
    </w:p>
    <w:p w14:paraId="12627C4F" w14:textId="6991C1A1" w:rsidR="00A53C28" w:rsidRPr="002B3F36" w:rsidRDefault="00A53C28">
      <w:pPr>
        <w:rPr>
          <w:rFonts w:ascii="Arial" w:hAnsi="Arial" w:cs="Arial"/>
          <w:b/>
          <w:bCs/>
          <w:sz w:val="24"/>
          <w:szCs w:val="24"/>
        </w:rPr>
      </w:pPr>
      <w:r w:rsidRPr="002B3F36">
        <w:rPr>
          <w:rFonts w:ascii="Arial" w:hAnsi="Arial" w:cs="Arial"/>
          <w:b/>
          <w:bCs/>
          <w:sz w:val="24"/>
          <w:szCs w:val="24"/>
        </w:rPr>
        <w:br w:type="page"/>
      </w:r>
    </w:p>
    <w:p w14:paraId="1C34B39F" w14:textId="77777777" w:rsidR="00A53C28" w:rsidRPr="002B3F36" w:rsidRDefault="00A53C28" w:rsidP="00A53C28">
      <w:pPr>
        <w:jc w:val="center"/>
        <w:rPr>
          <w:rFonts w:ascii="Arial" w:eastAsia="Times New Roman" w:hAnsi="Arial" w:cs="Arial"/>
          <w:b/>
          <w:bCs/>
        </w:rPr>
      </w:pPr>
      <w:r w:rsidRPr="002B3F36">
        <w:rPr>
          <w:rFonts w:ascii="Arial" w:hAnsi="Arial" w:cs="Arial"/>
          <w:b/>
          <w:bCs/>
        </w:rPr>
        <w:lastRenderedPageBreak/>
        <w:t xml:space="preserve">List of Attendees for PC 1 </w:t>
      </w:r>
    </w:p>
    <w:p w14:paraId="2CDBA86D" w14:textId="77777777" w:rsidR="00A53C28" w:rsidRPr="002B3F36" w:rsidRDefault="00A53C28" w:rsidP="00A53C28">
      <w:pPr>
        <w:jc w:val="center"/>
        <w:rPr>
          <w:rFonts w:ascii="Arial" w:hAnsi="Arial" w:cs="Arial"/>
          <w:noProof/>
        </w:rPr>
      </w:pPr>
    </w:p>
    <w:p w14:paraId="01D92EA3" w14:textId="5681EF7C" w:rsidR="00A53C28" w:rsidRPr="002B3F36" w:rsidRDefault="00A53C28" w:rsidP="00A53C28">
      <w:pPr>
        <w:jc w:val="center"/>
        <w:rPr>
          <w:rFonts w:ascii="Arial" w:hAnsi="Arial" w:cs="Arial"/>
          <w:b/>
          <w:bCs/>
        </w:rPr>
      </w:pPr>
      <w:r w:rsidRPr="002B3F36">
        <w:rPr>
          <w:rFonts w:ascii="Arial" w:hAnsi="Arial" w:cs="Arial"/>
          <w:noProof/>
        </w:rPr>
        <w:drawing>
          <wp:inline distT="0" distB="0" distL="0" distR="0" wp14:anchorId="013C53AB" wp14:editId="5C236FB9">
            <wp:extent cx="5666740" cy="65392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t="2" r="5000" b="17789"/>
                    <a:stretch>
                      <a:fillRect/>
                    </a:stretch>
                  </pic:blipFill>
                  <pic:spPr bwMode="auto">
                    <a:xfrm>
                      <a:off x="0" y="0"/>
                      <a:ext cx="5666740" cy="6539230"/>
                    </a:xfrm>
                    <a:prstGeom prst="rect">
                      <a:avLst/>
                    </a:prstGeom>
                    <a:noFill/>
                    <a:ln>
                      <a:noFill/>
                    </a:ln>
                  </pic:spPr>
                </pic:pic>
              </a:graphicData>
            </a:graphic>
          </wp:inline>
        </w:drawing>
      </w:r>
    </w:p>
    <w:p w14:paraId="03DED48F" w14:textId="1DAA290A" w:rsidR="00377180" w:rsidRPr="002B3F36" w:rsidRDefault="00377180">
      <w:pPr>
        <w:rPr>
          <w:rFonts w:ascii="Arial" w:eastAsia="Calibri" w:hAnsi="Arial" w:cs="Arial"/>
          <w:b/>
          <w:bCs/>
          <w:sz w:val="24"/>
          <w:szCs w:val="24"/>
          <w:lang w:val="en-GB"/>
        </w:rPr>
      </w:pPr>
      <w:r w:rsidRPr="002B3F36">
        <w:rPr>
          <w:rFonts w:ascii="Arial" w:hAnsi="Arial" w:cs="Arial"/>
          <w:sz w:val="24"/>
          <w:szCs w:val="24"/>
        </w:rPr>
        <w:br w:type="page"/>
      </w:r>
    </w:p>
    <w:p w14:paraId="23F51770" w14:textId="59F2B453" w:rsidR="00A53C28" w:rsidRPr="002B3F36" w:rsidRDefault="00A53C28" w:rsidP="00A53C28">
      <w:pPr>
        <w:pStyle w:val="Space"/>
        <w:rPr>
          <w:rFonts w:ascii="Arial" w:hAnsi="Arial" w:cs="Arial"/>
          <w:sz w:val="24"/>
          <w:szCs w:val="24"/>
        </w:rPr>
      </w:pPr>
    </w:p>
    <w:p w14:paraId="4EFCB9AE" w14:textId="1BE5F132" w:rsidR="00377180" w:rsidRPr="002B3F36" w:rsidRDefault="00377180" w:rsidP="00A53C28">
      <w:pPr>
        <w:pStyle w:val="Space"/>
        <w:rPr>
          <w:rFonts w:ascii="Arial" w:hAnsi="Arial" w:cs="Arial"/>
          <w:sz w:val="24"/>
          <w:szCs w:val="24"/>
        </w:rPr>
      </w:pPr>
    </w:p>
    <w:p w14:paraId="5F62CAA0" w14:textId="38E93552" w:rsidR="00377180" w:rsidRPr="002B3F36" w:rsidRDefault="00377180" w:rsidP="00A53C28">
      <w:pPr>
        <w:pStyle w:val="Space"/>
        <w:rPr>
          <w:rFonts w:ascii="Arial" w:hAnsi="Arial" w:cs="Arial"/>
          <w:sz w:val="24"/>
          <w:szCs w:val="24"/>
        </w:rPr>
      </w:pPr>
    </w:p>
    <w:p w14:paraId="65AF6992" w14:textId="1571FDA1" w:rsidR="00377180" w:rsidRPr="002B3F36" w:rsidRDefault="00377180" w:rsidP="00A53C28">
      <w:pPr>
        <w:pStyle w:val="Space"/>
        <w:rPr>
          <w:rFonts w:ascii="Arial" w:hAnsi="Arial" w:cs="Arial"/>
          <w:sz w:val="24"/>
          <w:szCs w:val="24"/>
        </w:rPr>
      </w:pPr>
    </w:p>
    <w:p w14:paraId="511BB911" w14:textId="2F97A821" w:rsidR="00377180" w:rsidRPr="002B3F36" w:rsidRDefault="00377180" w:rsidP="00A53C28">
      <w:pPr>
        <w:pStyle w:val="Space"/>
        <w:rPr>
          <w:rFonts w:ascii="Arial" w:hAnsi="Arial" w:cs="Arial"/>
          <w:sz w:val="24"/>
          <w:szCs w:val="24"/>
        </w:rPr>
      </w:pPr>
    </w:p>
    <w:p w14:paraId="6819C37E" w14:textId="77777777" w:rsidR="00377180" w:rsidRPr="002B3F36" w:rsidRDefault="00377180" w:rsidP="00A53C28">
      <w:pPr>
        <w:pStyle w:val="Space"/>
        <w:rPr>
          <w:rFonts w:ascii="Arial" w:hAnsi="Arial" w:cs="Arial"/>
          <w:sz w:val="24"/>
          <w:szCs w:val="24"/>
        </w:rPr>
      </w:pPr>
    </w:p>
    <w:p w14:paraId="168D29AA" w14:textId="002F00C0" w:rsidR="00A53C28" w:rsidRPr="002B3F36" w:rsidRDefault="00A53C28" w:rsidP="00A53C28">
      <w:pPr>
        <w:pStyle w:val="Space"/>
        <w:rPr>
          <w:rFonts w:ascii="Arial" w:hAnsi="Arial" w:cs="Arial"/>
          <w:sz w:val="24"/>
          <w:szCs w:val="24"/>
        </w:rPr>
      </w:pPr>
      <w:r w:rsidRPr="002B3F36">
        <w:rPr>
          <w:rFonts w:ascii="Arial" w:hAnsi="Arial" w:cs="Arial"/>
          <w:noProof/>
        </w:rPr>
        <w:drawing>
          <wp:inline distT="0" distB="0" distL="0" distR="0" wp14:anchorId="02626CD0" wp14:editId="5A0A5DDD">
            <wp:extent cx="5728970" cy="3221355"/>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8970" cy="3221355"/>
                    </a:xfrm>
                    <a:prstGeom prst="rect">
                      <a:avLst/>
                    </a:prstGeom>
                    <a:noFill/>
                    <a:ln>
                      <a:noFill/>
                    </a:ln>
                  </pic:spPr>
                </pic:pic>
              </a:graphicData>
            </a:graphic>
          </wp:inline>
        </w:drawing>
      </w:r>
    </w:p>
    <w:p w14:paraId="408417F5" w14:textId="77777777" w:rsidR="00A53C28" w:rsidRPr="002B3F36" w:rsidRDefault="00A53C28" w:rsidP="00A53C28">
      <w:pPr>
        <w:pStyle w:val="Space"/>
        <w:rPr>
          <w:rFonts w:ascii="Arial" w:hAnsi="Arial" w:cs="Arial"/>
          <w:sz w:val="24"/>
          <w:szCs w:val="24"/>
        </w:rPr>
      </w:pPr>
    </w:p>
    <w:p w14:paraId="2697E39A" w14:textId="2495FF5A" w:rsidR="00A53C28" w:rsidRPr="002B3F36" w:rsidRDefault="00A53C28" w:rsidP="00A53C28">
      <w:pPr>
        <w:pStyle w:val="Space"/>
        <w:rPr>
          <w:rFonts w:ascii="Arial" w:hAnsi="Arial" w:cs="Arial"/>
          <w:sz w:val="24"/>
          <w:szCs w:val="24"/>
        </w:rPr>
      </w:pPr>
      <w:r w:rsidRPr="002B3F36">
        <w:rPr>
          <w:rFonts w:ascii="Arial" w:hAnsi="Arial" w:cs="Arial"/>
          <w:noProof/>
        </w:rPr>
        <w:drawing>
          <wp:inline distT="0" distB="0" distL="0" distR="0" wp14:anchorId="14F5290E" wp14:editId="32132C44">
            <wp:extent cx="5728970" cy="322135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8970" cy="3221355"/>
                    </a:xfrm>
                    <a:prstGeom prst="rect">
                      <a:avLst/>
                    </a:prstGeom>
                    <a:noFill/>
                    <a:ln>
                      <a:noFill/>
                    </a:ln>
                  </pic:spPr>
                </pic:pic>
              </a:graphicData>
            </a:graphic>
          </wp:inline>
        </w:drawing>
      </w:r>
    </w:p>
    <w:p w14:paraId="2C035D5E" w14:textId="62FB8015" w:rsidR="00A53C28" w:rsidRPr="002B3F36" w:rsidRDefault="00A53C28" w:rsidP="00A53C28">
      <w:pPr>
        <w:pStyle w:val="Space"/>
        <w:rPr>
          <w:rFonts w:ascii="Arial" w:hAnsi="Arial" w:cs="Arial"/>
          <w:sz w:val="24"/>
          <w:szCs w:val="24"/>
        </w:rPr>
      </w:pPr>
      <w:r w:rsidRPr="002B3F36">
        <w:rPr>
          <w:rFonts w:ascii="Arial" w:hAnsi="Arial" w:cs="Arial"/>
          <w:sz w:val="24"/>
          <w:szCs w:val="24"/>
        </w:rPr>
        <w:t>Photos for PC 1: Mointy</w:t>
      </w:r>
    </w:p>
    <w:p w14:paraId="419DEDC6" w14:textId="77777777" w:rsidR="00A53C28" w:rsidRPr="002B3F36" w:rsidRDefault="00A53C28" w:rsidP="006D06B2">
      <w:pPr>
        <w:jc w:val="center"/>
        <w:rPr>
          <w:rFonts w:ascii="Arial" w:hAnsi="Arial" w:cs="Arial"/>
          <w:b/>
          <w:bCs/>
          <w:sz w:val="24"/>
          <w:szCs w:val="24"/>
        </w:rPr>
      </w:pPr>
    </w:p>
    <w:p w14:paraId="7BB9B0AC" w14:textId="77777777" w:rsidR="006D06B2" w:rsidRPr="002B3F36" w:rsidRDefault="006D06B2" w:rsidP="006D06B2">
      <w:pPr>
        <w:jc w:val="center"/>
        <w:rPr>
          <w:rFonts w:ascii="Arial" w:hAnsi="Arial" w:cs="Arial"/>
          <w:b/>
          <w:bCs/>
          <w:sz w:val="24"/>
          <w:szCs w:val="24"/>
        </w:rPr>
      </w:pPr>
      <w:r w:rsidRPr="002B3F36">
        <w:rPr>
          <w:rFonts w:ascii="Arial" w:hAnsi="Arial" w:cs="Arial"/>
          <w:b/>
          <w:bCs/>
          <w:sz w:val="24"/>
          <w:szCs w:val="24"/>
        </w:rPr>
        <w:br w:type="page"/>
      </w:r>
    </w:p>
    <w:p w14:paraId="192B268B" w14:textId="1DBBA1EF" w:rsidR="006D06B2" w:rsidRPr="002B3F36" w:rsidRDefault="006D06B2" w:rsidP="006D06B2">
      <w:pPr>
        <w:jc w:val="center"/>
        <w:rPr>
          <w:rFonts w:ascii="Arial" w:hAnsi="Arial" w:cs="Arial"/>
          <w:b/>
          <w:bCs/>
          <w:sz w:val="24"/>
          <w:szCs w:val="24"/>
        </w:rPr>
      </w:pPr>
      <w:r w:rsidRPr="002B3F36">
        <w:rPr>
          <w:rFonts w:ascii="Arial" w:hAnsi="Arial" w:cs="Arial"/>
          <w:b/>
          <w:bCs/>
          <w:sz w:val="24"/>
          <w:szCs w:val="24"/>
        </w:rPr>
        <w:lastRenderedPageBreak/>
        <w:t>Minutes of</w:t>
      </w:r>
    </w:p>
    <w:p w14:paraId="277270A6" w14:textId="2FB4432F" w:rsidR="006D06B2" w:rsidRPr="002B3F36" w:rsidRDefault="006D06B2" w:rsidP="006D06B2">
      <w:pPr>
        <w:jc w:val="center"/>
        <w:rPr>
          <w:rFonts w:ascii="Arial" w:hAnsi="Arial" w:cs="Arial"/>
          <w:sz w:val="24"/>
          <w:szCs w:val="24"/>
        </w:rPr>
      </w:pPr>
      <w:r w:rsidRPr="002B3F36">
        <w:rPr>
          <w:rFonts w:ascii="Arial" w:hAnsi="Arial" w:cs="Arial"/>
          <w:b/>
          <w:bCs/>
          <w:sz w:val="24"/>
          <w:szCs w:val="24"/>
        </w:rPr>
        <w:t>Public Consultations on the Environmental and Social Impact Assessment of the project "Construction of the Mointy-Kyzylzhar Railway Line</w:t>
      </w:r>
      <w:r w:rsidRPr="002B3F36">
        <w:rPr>
          <w:rFonts w:ascii="Arial" w:hAnsi="Arial" w:cs="Arial"/>
          <w:sz w:val="24"/>
          <w:szCs w:val="24"/>
        </w:rPr>
        <w:t>"</w:t>
      </w:r>
    </w:p>
    <w:p w14:paraId="6C585516" w14:textId="77777777" w:rsidR="006D06B2" w:rsidRPr="002B3F36" w:rsidRDefault="006D06B2" w:rsidP="006D06B2">
      <w:pPr>
        <w:jc w:val="center"/>
        <w:rPr>
          <w:rFonts w:ascii="Arial" w:hAnsi="Arial" w:cs="Arial"/>
          <w:b/>
          <w:bCs/>
          <w:sz w:val="24"/>
          <w:szCs w:val="24"/>
          <w:lang w:val="ru-RU"/>
        </w:rPr>
      </w:pPr>
      <w:r w:rsidRPr="002B3F36">
        <w:rPr>
          <w:rFonts w:ascii="Arial" w:hAnsi="Arial" w:cs="Arial"/>
          <w:b/>
          <w:bCs/>
          <w:sz w:val="24"/>
          <w:szCs w:val="24"/>
          <w:lang w:val="ru-RU"/>
        </w:rPr>
        <w:t>(</w:t>
      </w:r>
      <w:r w:rsidRPr="002B3F36">
        <w:rPr>
          <w:rFonts w:ascii="Arial" w:hAnsi="Arial" w:cs="Arial"/>
          <w:b/>
          <w:bCs/>
          <w:sz w:val="24"/>
          <w:szCs w:val="24"/>
        </w:rPr>
        <w:t>IN ENGLISH</w:t>
      </w:r>
      <w:r w:rsidRPr="002B3F36">
        <w:rPr>
          <w:rFonts w:ascii="Arial" w:hAnsi="Arial" w:cs="Arial"/>
          <w:b/>
          <w:bCs/>
          <w:sz w:val="24"/>
          <w:szCs w:val="24"/>
          <w:lang w:val="ru-RU"/>
        </w:rPr>
        <w:t>)</w:t>
      </w:r>
    </w:p>
    <w:p w14:paraId="13C52375" w14:textId="77777777" w:rsidR="006D06B2" w:rsidRPr="002B3F36" w:rsidRDefault="006D06B2" w:rsidP="006D06B2">
      <w:pPr>
        <w:rPr>
          <w:rFonts w:ascii="Arial" w:hAnsi="Arial" w:cs="Arial"/>
          <w:b/>
          <w:bCs/>
          <w:sz w:val="24"/>
          <w:szCs w:val="24"/>
        </w:rPr>
      </w:pPr>
    </w:p>
    <w:p w14:paraId="0CEDF9BA" w14:textId="77777777" w:rsidR="006D06B2" w:rsidRPr="002B3F36" w:rsidRDefault="006D06B2" w:rsidP="006D06B2">
      <w:pPr>
        <w:widowControl/>
        <w:numPr>
          <w:ilvl w:val="0"/>
          <w:numId w:val="261"/>
        </w:numPr>
        <w:autoSpaceDE/>
        <w:autoSpaceDN/>
        <w:rPr>
          <w:rFonts w:ascii="Arial" w:hAnsi="Arial" w:cs="Arial"/>
          <w:sz w:val="24"/>
          <w:szCs w:val="24"/>
        </w:rPr>
      </w:pPr>
      <w:r w:rsidRPr="002B3F36">
        <w:rPr>
          <w:rFonts w:ascii="Arial" w:hAnsi="Arial" w:cs="Arial"/>
          <w:b/>
          <w:bCs/>
          <w:sz w:val="24"/>
          <w:szCs w:val="24"/>
        </w:rPr>
        <w:t xml:space="preserve">Date of implementation: </w:t>
      </w:r>
      <w:r w:rsidRPr="002B3F36">
        <w:rPr>
          <w:rFonts w:ascii="Arial" w:hAnsi="Arial" w:cs="Arial"/>
          <w:sz w:val="24"/>
          <w:szCs w:val="24"/>
        </w:rPr>
        <w:t xml:space="preserve">September 25, 2025 </w:t>
      </w:r>
    </w:p>
    <w:p w14:paraId="20920D38" w14:textId="77777777" w:rsidR="006D06B2" w:rsidRPr="002B3F36" w:rsidRDefault="006D06B2" w:rsidP="006D06B2">
      <w:pPr>
        <w:rPr>
          <w:rFonts w:ascii="Arial" w:hAnsi="Arial" w:cs="Arial"/>
          <w:sz w:val="24"/>
          <w:szCs w:val="24"/>
        </w:rPr>
      </w:pPr>
    </w:p>
    <w:p w14:paraId="1E11DD1C" w14:textId="77777777" w:rsidR="006D06B2" w:rsidRPr="002B3F36" w:rsidRDefault="006D06B2" w:rsidP="006D06B2">
      <w:pPr>
        <w:widowControl/>
        <w:numPr>
          <w:ilvl w:val="0"/>
          <w:numId w:val="261"/>
        </w:numPr>
        <w:autoSpaceDE/>
        <w:autoSpaceDN/>
        <w:rPr>
          <w:rFonts w:ascii="Arial" w:hAnsi="Arial" w:cs="Arial"/>
          <w:sz w:val="24"/>
          <w:szCs w:val="24"/>
        </w:rPr>
      </w:pPr>
      <w:r w:rsidRPr="002B3F36">
        <w:rPr>
          <w:rFonts w:ascii="Arial" w:hAnsi="Arial" w:cs="Arial"/>
          <w:b/>
          <w:bCs/>
          <w:sz w:val="24"/>
          <w:szCs w:val="24"/>
        </w:rPr>
        <w:t>Venue:</w:t>
      </w:r>
      <w:r w:rsidRPr="002B3F36">
        <w:rPr>
          <w:rFonts w:ascii="Arial" w:hAnsi="Arial" w:cs="Arial"/>
          <w:sz w:val="24"/>
          <w:szCs w:val="24"/>
        </w:rPr>
        <w:t xml:space="preserve"> Karazhal city</w:t>
      </w:r>
    </w:p>
    <w:p w14:paraId="2E5C44C1"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 </w:t>
      </w:r>
    </w:p>
    <w:p w14:paraId="24C661D4"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3. General Information:</w:t>
      </w:r>
    </w:p>
    <w:p w14:paraId="69A3C0F4" w14:textId="6C8E9129" w:rsidR="006D06B2" w:rsidRPr="002B3F36" w:rsidRDefault="006D06B2" w:rsidP="006D06B2">
      <w:pPr>
        <w:rPr>
          <w:rFonts w:ascii="Arial" w:hAnsi="Arial" w:cs="Arial"/>
          <w:sz w:val="24"/>
          <w:szCs w:val="24"/>
        </w:rPr>
      </w:pPr>
      <w:r w:rsidRPr="002B3F36">
        <w:rPr>
          <w:rFonts w:ascii="Arial" w:hAnsi="Arial" w:cs="Arial"/>
          <w:sz w:val="24"/>
          <w:szCs w:val="24"/>
        </w:rPr>
        <w:t xml:space="preserve">The public consultations were organized by "NC "Kazakhstan Temir Zholy" JSC (hereinafter - "NC "KTZ" JSC) jointly with the World Bank. Information about the public consultations was conveyed to the public through the SE "Akim's Office of Karazhal city", as well as by "NC "KTZ" JSC in accordance with the requirements of </w:t>
      </w:r>
      <w:r w:rsidR="00163238" w:rsidRPr="002B3F36">
        <w:rPr>
          <w:rFonts w:ascii="Arial" w:hAnsi="Arial" w:cs="Arial"/>
          <w:sz w:val="24"/>
          <w:szCs w:val="24"/>
        </w:rPr>
        <w:t>WB PS</w:t>
      </w:r>
      <w:r w:rsidRPr="002B3F36">
        <w:rPr>
          <w:rFonts w:ascii="Arial" w:hAnsi="Arial" w:cs="Arial"/>
          <w:sz w:val="24"/>
          <w:szCs w:val="24"/>
        </w:rPr>
        <w:t xml:space="preserve"> 1. </w:t>
      </w:r>
    </w:p>
    <w:p w14:paraId="4A2E40A8" w14:textId="77777777" w:rsidR="006D06B2" w:rsidRPr="002B3F36" w:rsidRDefault="006D06B2" w:rsidP="006D06B2">
      <w:pPr>
        <w:rPr>
          <w:rFonts w:ascii="Arial" w:hAnsi="Arial" w:cs="Arial"/>
          <w:sz w:val="24"/>
          <w:szCs w:val="24"/>
        </w:rPr>
      </w:pPr>
    </w:p>
    <w:p w14:paraId="6B735C13"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4. Agenda of the Public Consultations:</w:t>
      </w:r>
    </w:p>
    <w:p w14:paraId="43A02616" w14:textId="15C75575"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1) Opening speech by the Representative of the Client - Deputy Head of the "Mointy - Kyzylzhar" Directorate Absalimov Almas Bolatbekovich; </w:t>
      </w:r>
    </w:p>
    <w:p w14:paraId="71E1E418"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2) Report and presentation by the client's representative - Environmental Manager Shiryayeva Tamara Aleksandrovna on the topic: "Environmental and Social Impact Assessment. Environmental and Social Management"; </w:t>
      </w:r>
    </w:p>
    <w:p w14:paraId="01F85F37"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3) Discussion of the report; </w:t>
      </w:r>
    </w:p>
    <w:p w14:paraId="30696313"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4) Report and presentation by the client's representative - National Biodiversity Consultant Senyak Evgenia Nikolaevna on the topic: "Biodiversity Management Plan"; </w:t>
      </w:r>
    </w:p>
    <w:p w14:paraId="560A9C2E"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5) Discussion of the report; </w:t>
      </w:r>
    </w:p>
    <w:p w14:paraId="70167E1B"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6) Questions, proposals, and comments from public representatives; </w:t>
      </w:r>
    </w:p>
    <w:p w14:paraId="29F0B324"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7) Responses of the Client to questions, proposals, and comments; </w:t>
      </w:r>
    </w:p>
    <w:p w14:paraId="1215441F" w14:textId="77777777" w:rsidR="006D06B2" w:rsidRPr="002B3F36" w:rsidRDefault="006D06B2" w:rsidP="00377180">
      <w:pPr>
        <w:ind w:left="360" w:hanging="360"/>
        <w:rPr>
          <w:rFonts w:ascii="Arial" w:hAnsi="Arial" w:cs="Arial"/>
          <w:sz w:val="24"/>
          <w:szCs w:val="24"/>
        </w:rPr>
      </w:pPr>
      <w:r w:rsidRPr="002B3F36">
        <w:rPr>
          <w:rFonts w:ascii="Arial" w:hAnsi="Arial" w:cs="Arial"/>
          <w:sz w:val="24"/>
          <w:szCs w:val="24"/>
        </w:rPr>
        <w:t xml:space="preserve">8) Appendices to the Protocol (photo and video materials, lists of participants, copies of announcements, presentation materials). </w:t>
      </w:r>
    </w:p>
    <w:p w14:paraId="54E31D25" w14:textId="77777777" w:rsidR="006D06B2" w:rsidRPr="002B3F36" w:rsidRDefault="006D06B2" w:rsidP="006D06B2">
      <w:pPr>
        <w:rPr>
          <w:rFonts w:ascii="Arial" w:hAnsi="Arial" w:cs="Arial"/>
          <w:sz w:val="24"/>
          <w:szCs w:val="24"/>
        </w:rPr>
      </w:pPr>
    </w:p>
    <w:p w14:paraId="27E20403"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5. Participants of the Consultations:</w:t>
      </w:r>
    </w:p>
    <w:p w14:paraId="24C0AC53" w14:textId="56D71ED9" w:rsidR="006D06B2" w:rsidRPr="002B3F36" w:rsidRDefault="006D06B2" w:rsidP="006D06B2">
      <w:pPr>
        <w:rPr>
          <w:rFonts w:ascii="Arial" w:hAnsi="Arial" w:cs="Arial"/>
          <w:sz w:val="24"/>
          <w:szCs w:val="24"/>
        </w:rPr>
      </w:pPr>
      <w:r w:rsidRPr="002B3F36">
        <w:rPr>
          <w:rFonts w:ascii="Arial" w:hAnsi="Arial" w:cs="Arial"/>
          <w:sz w:val="24"/>
          <w:szCs w:val="24"/>
        </w:rPr>
        <w:t xml:space="preserve">From "NC "KTZ" JSC:  Absalimov Almas Bolatbekovich - Deputy Head of the "Mointy - Kyzylzhar" Directorate. </w:t>
      </w:r>
    </w:p>
    <w:p w14:paraId="0E9FBFB3" w14:textId="77777777" w:rsidR="006D06B2" w:rsidRPr="002B3F36" w:rsidRDefault="006D06B2" w:rsidP="006D06B2">
      <w:pPr>
        <w:rPr>
          <w:rFonts w:ascii="Arial" w:hAnsi="Arial" w:cs="Arial"/>
          <w:sz w:val="24"/>
          <w:szCs w:val="24"/>
          <w:lang w:val="sv-SE"/>
        </w:rPr>
      </w:pPr>
      <w:r w:rsidRPr="002B3F36">
        <w:rPr>
          <w:rFonts w:ascii="Arial" w:hAnsi="Arial" w:cs="Arial"/>
          <w:sz w:val="24"/>
          <w:szCs w:val="24"/>
          <w:lang w:val="sv-SE"/>
        </w:rPr>
        <w:t xml:space="preserve">Shiryayeva Tamara Aleksandrovna - Environmental Manager, Environmental Specialist. </w:t>
      </w:r>
    </w:p>
    <w:p w14:paraId="2189FDD0"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Senyak Evgenia Nikolaevna - National Biodiversity Consultant. </w:t>
      </w:r>
    </w:p>
    <w:p w14:paraId="45DAC87D" w14:textId="77777777" w:rsidR="006D06B2" w:rsidRPr="002B3F36" w:rsidRDefault="006D06B2" w:rsidP="006D06B2">
      <w:pPr>
        <w:rPr>
          <w:rFonts w:ascii="Arial" w:hAnsi="Arial" w:cs="Arial"/>
          <w:sz w:val="24"/>
          <w:szCs w:val="24"/>
        </w:rPr>
      </w:pPr>
      <w:r w:rsidRPr="002B3F36">
        <w:rPr>
          <w:rFonts w:ascii="Arial" w:hAnsi="Arial" w:cs="Arial"/>
          <w:sz w:val="24"/>
          <w:szCs w:val="24"/>
        </w:rPr>
        <w:t>Abzal Abishev- Interpreter</w:t>
      </w:r>
    </w:p>
    <w:p w14:paraId="754A3887" w14:textId="77777777" w:rsidR="006D06B2" w:rsidRPr="002B3F36" w:rsidRDefault="006D06B2" w:rsidP="006D06B2">
      <w:pPr>
        <w:rPr>
          <w:rFonts w:ascii="Arial" w:hAnsi="Arial" w:cs="Arial"/>
          <w:sz w:val="24"/>
          <w:szCs w:val="24"/>
        </w:rPr>
      </w:pPr>
    </w:p>
    <w:p w14:paraId="3B677A12"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 xml:space="preserve">Public representatives: </w:t>
      </w:r>
    </w:p>
    <w:p w14:paraId="0BC2D517"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(Full names, positions, or affiliation with organizations/population are listed) </w:t>
      </w:r>
    </w:p>
    <w:p w14:paraId="4C7590F2" w14:textId="77777777" w:rsidR="006D06B2" w:rsidRPr="002B3F36" w:rsidRDefault="006D06B2" w:rsidP="006D06B2">
      <w:pPr>
        <w:rPr>
          <w:rFonts w:ascii="Arial" w:hAnsi="Arial" w:cs="Arial"/>
          <w:sz w:val="24"/>
          <w:szCs w:val="24"/>
        </w:rPr>
      </w:pPr>
    </w:p>
    <w:p w14:paraId="55467997"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6. Course of Consultations:</w:t>
      </w:r>
    </w:p>
    <w:p w14:paraId="0BB3825B" w14:textId="2B3FAE1B" w:rsidR="006D06B2" w:rsidRPr="002B3F36" w:rsidRDefault="006D06B2" w:rsidP="006D06B2">
      <w:pPr>
        <w:rPr>
          <w:rFonts w:ascii="Arial" w:hAnsi="Arial" w:cs="Arial"/>
          <w:sz w:val="24"/>
          <w:szCs w:val="24"/>
        </w:rPr>
      </w:pPr>
      <w:r w:rsidRPr="002B3F36">
        <w:rPr>
          <w:rFonts w:ascii="Arial" w:hAnsi="Arial" w:cs="Arial"/>
          <w:sz w:val="24"/>
          <w:szCs w:val="24"/>
        </w:rPr>
        <w:t xml:space="preserve">During the consultations, reports by the Client's representatives and consultants were heard, and issues related to the environmental and social aspects of the project implementation were discussed. </w:t>
      </w:r>
    </w:p>
    <w:p w14:paraId="4507144E" w14:textId="77777777" w:rsidR="00A53C28" w:rsidRPr="002B3F36" w:rsidRDefault="00A53C28" w:rsidP="006D06B2">
      <w:pPr>
        <w:rPr>
          <w:rFonts w:ascii="Arial" w:hAnsi="Arial" w:cs="Arial"/>
          <w:sz w:val="24"/>
          <w:szCs w:val="24"/>
        </w:rPr>
      </w:pPr>
    </w:p>
    <w:p w14:paraId="009C9123" w14:textId="77777777" w:rsidR="006D06B2" w:rsidRPr="002B3F36" w:rsidRDefault="006D06B2" w:rsidP="006D06B2">
      <w:pPr>
        <w:rPr>
          <w:rFonts w:ascii="Arial" w:hAnsi="Arial" w:cs="Arial"/>
          <w:sz w:val="24"/>
          <w:szCs w:val="24"/>
        </w:rPr>
      </w:pPr>
      <w:r w:rsidRPr="002B3F36">
        <w:rPr>
          <w:rFonts w:ascii="Arial" w:hAnsi="Arial" w:cs="Arial"/>
          <w:b/>
          <w:bCs/>
          <w:sz w:val="24"/>
          <w:szCs w:val="24"/>
          <w:u w:val="single"/>
        </w:rPr>
        <w:t>Main questions and comments from public representatives:</w:t>
      </w:r>
      <w:r w:rsidRPr="002B3F36">
        <w:rPr>
          <w:rFonts w:ascii="Arial" w:hAnsi="Arial" w:cs="Arial"/>
          <w:sz w:val="24"/>
          <w:szCs w:val="24"/>
        </w:rPr>
        <w:t xml:space="preserve"> </w:t>
      </w:r>
    </w:p>
    <w:p w14:paraId="1178A869"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1) Please indicate where the bridges for driving livestock are located. </w:t>
      </w:r>
    </w:p>
    <w:p w14:paraId="5CE17C91"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2) Before next year, sand will fall into the pit where it was delivered, and many animals will die. The pits are 4-5 meters deep. Who will answer this question? I hope to find a solution to this issue as soon as possible. The dug trenches should be fenced off. </w:t>
      </w:r>
    </w:p>
    <w:p w14:paraId="5174A366"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3) Is it possible to dump garbage into the pits formed as a result of your work near the village? (Aktau village) Will these pits be closed? </w:t>
      </w:r>
    </w:p>
    <w:p w14:paraId="02AD649D"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4) There are agricultural lands where the railway passes. Will you receive compensation for the use of this land? </w:t>
      </w:r>
    </w:p>
    <w:p w14:paraId="50F9855E"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lastRenderedPageBreak/>
        <w:t xml:space="preserve">5) I would like the bridge to connect the station with Aktau, because the Atasu river will be cut off. </w:t>
      </w:r>
    </w:p>
    <w:p w14:paraId="0F7E590C"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6) It is necessary to build a fire depot, because there are no firefighting means that could extinguish a field fire if coals fly out of the locomotive. </w:t>
      </w:r>
    </w:p>
    <w:p w14:paraId="7D2AC911"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7) The railway will pass through the lands of private farms in Karazhal. No land is left for grazing livestock. The exit to the farmer's pasture is on the other side of the railway. The house is on the other side. There is no crossing. I ask you to consider crossings. </w:t>
      </w:r>
    </w:p>
    <w:p w14:paraId="6D709BB7"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8) Are crossings for saigas being considered? Assuming the road passes over the railway, not under it. </w:t>
      </w:r>
    </w:p>
    <w:p w14:paraId="1412B624"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9) The names of the settlements are incorrectly indicated. Make changes Tugisken, Kiikti. </w:t>
      </w:r>
    </w:p>
    <w:p w14:paraId="2CE243E5"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10) The Zhidebay River flows for 1-2 weeks. When this water flows, it drains into the desert and spreads over the ground, becoming useless water. In this case, it would be a great help for the city if they built a dam (from stones from the ditch) and blocked the water stopping point. This will also contribute to livestock grazing. </w:t>
      </w:r>
    </w:p>
    <w:p w14:paraId="7F53603C" w14:textId="77777777" w:rsidR="006D06B2" w:rsidRPr="002B3F36" w:rsidRDefault="006D06B2" w:rsidP="00377180">
      <w:pPr>
        <w:ind w:left="720" w:hanging="720"/>
        <w:rPr>
          <w:rFonts w:ascii="Arial" w:hAnsi="Arial" w:cs="Arial"/>
          <w:i/>
          <w:iCs/>
          <w:sz w:val="24"/>
          <w:szCs w:val="24"/>
        </w:rPr>
      </w:pPr>
      <w:r w:rsidRPr="002B3F36">
        <w:rPr>
          <w:rFonts w:ascii="Arial" w:hAnsi="Arial" w:cs="Arial"/>
          <w:i/>
          <w:iCs/>
          <w:sz w:val="24"/>
          <w:szCs w:val="24"/>
        </w:rPr>
        <w:t xml:space="preserve">11) Who is responsible for all the problems? </w:t>
      </w:r>
    </w:p>
    <w:p w14:paraId="3C9FD8E8" w14:textId="77777777" w:rsidR="006D06B2" w:rsidRPr="002B3F36" w:rsidRDefault="006D06B2" w:rsidP="006D06B2">
      <w:pPr>
        <w:rPr>
          <w:rFonts w:ascii="Arial" w:hAnsi="Arial" w:cs="Arial"/>
          <w:i/>
          <w:iCs/>
          <w:sz w:val="24"/>
          <w:szCs w:val="24"/>
        </w:rPr>
      </w:pPr>
    </w:p>
    <w:p w14:paraId="13DB8CBD" w14:textId="77777777" w:rsidR="006D06B2" w:rsidRPr="00C16565" w:rsidRDefault="006D06B2" w:rsidP="006D06B2">
      <w:pPr>
        <w:rPr>
          <w:rFonts w:ascii="Arial" w:hAnsi="Arial" w:cs="Arial"/>
          <w:b/>
          <w:sz w:val="24"/>
          <w:szCs w:val="24"/>
        </w:rPr>
      </w:pPr>
      <w:r w:rsidRPr="00C16565">
        <w:rPr>
          <w:rFonts w:ascii="Arial" w:hAnsi="Arial" w:cs="Arial"/>
          <w:b/>
          <w:sz w:val="24"/>
          <w:szCs w:val="24"/>
        </w:rPr>
        <w:t>7. Outcomes of the Consultations:</w:t>
      </w:r>
    </w:p>
    <w:p w14:paraId="68B2EEB9"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Based on the results of the discussion, the parties noted the importance of considering the interests of the population, complying with the environmental and social standards of the World Bank, as well as ensuring the transparency and openness of project implementation. </w:t>
      </w:r>
    </w:p>
    <w:p w14:paraId="337D14A9" w14:textId="77777777" w:rsidR="006D06B2" w:rsidRPr="002B3F36" w:rsidRDefault="006D06B2" w:rsidP="006D06B2">
      <w:pPr>
        <w:rPr>
          <w:rFonts w:ascii="Arial" w:hAnsi="Arial" w:cs="Arial"/>
          <w:sz w:val="24"/>
          <w:szCs w:val="24"/>
        </w:rPr>
      </w:pPr>
    </w:p>
    <w:p w14:paraId="608E6EFC" w14:textId="77777777" w:rsidR="006D06B2" w:rsidRPr="002B3F36" w:rsidRDefault="006D06B2" w:rsidP="006D06B2">
      <w:pPr>
        <w:rPr>
          <w:rFonts w:ascii="Arial" w:hAnsi="Arial" w:cs="Arial"/>
          <w:b/>
          <w:bCs/>
          <w:sz w:val="24"/>
          <w:szCs w:val="24"/>
        </w:rPr>
      </w:pPr>
      <w:r w:rsidRPr="002B3F36">
        <w:rPr>
          <w:rFonts w:ascii="Arial" w:hAnsi="Arial" w:cs="Arial"/>
          <w:b/>
          <w:bCs/>
          <w:sz w:val="24"/>
          <w:szCs w:val="24"/>
        </w:rPr>
        <w:t>8. Appendix:</w:t>
      </w:r>
    </w:p>
    <w:p w14:paraId="5344A059"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List of participants. </w:t>
      </w:r>
    </w:p>
    <w:p w14:paraId="42EEEBB0"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Photo and video materials. </w:t>
      </w:r>
    </w:p>
    <w:p w14:paraId="132F025D" w14:textId="77777777" w:rsidR="006D06B2" w:rsidRPr="002B3F36" w:rsidRDefault="006D06B2" w:rsidP="006D06B2">
      <w:pPr>
        <w:rPr>
          <w:rFonts w:ascii="Arial" w:hAnsi="Arial" w:cs="Arial"/>
          <w:sz w:val="24"/>
          <w:szCs w:val="24"/>
        </w:rPr>
      </w:pPr>
    </w:p>
    <w:p w14:paraId="0D7A527A"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Signatures: </w:t>
      </w:r>
    </w:p>
    <w:p w14:paraId="28BAB7A3"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Representative of "NC "KTZ" JSC: Absalimov AB. </w:t>
      </w:r>
    </w:p>
    <w:p w14:paraId="1E23AD3A" w14:textId="77777777" w:rsidR="006D06B2" w:rsidRPr="002B3F36" w:rsidRDefault="006D06B2" w:rsidP="006D06B2">
      <w:pPr>
        <w:rPr>
          <w:rFonts w:ascii="Arial" w:hAnsi="Arial" w:cs="Arial"/>
          <w:sz w:val="24"/>
          <w:szCs w:val="24"/>
        </w:rPr>
      </w:pPr>
      <w:r w:rsidRPr="002B3F36">
        <w:rPr>
          <w:rFonts w:ascii="Arial" w:hAnsi="Arial" w:cs="Arial"/>
          <w:sz w:val="24"/>
          <w:szCs w:val="24"/>
        </w:rPr>
        <w:t xml:space="preserve">Public representatives: </w:t>
      </w:r>
    </w:p>
    <w:p w14:paraId="59B948B6" w14:textId="77777777" w:rsidR="006D06B2" w:rsidRPr="002B3F36" w:rsidRDefault="006D06B2" w:rsidP="006D06B2">
      <w:pPr>
        <w:rPr>
          <w:rFonts w:ascii="Arial" w:hAnsi="Arial" w:cs="Arial"/>
          <w:sz w:val="24"/>
          <w:szCs w:val="24"/>
        </w:rPr>
      </w:pPr>
    </w:p>
    <w:p w14:paraId="26E6EFF6" w14:textId="77777777" w:rsidR="00A53C28" w:rsidRPr="002B3F36" w:rsidRDefault="00A53C28" w:rsidP="00A53C28">
      <w:pPr>
        <w:ind w:left="410" w:hanging="360"/>
        <w:jc w:val="center"/>
        <w:rPr>
          <w:rFonts w:ascii="Arial" w:eastAsia="Times New Roman" w:hAnsi="Arial" w:cs="Arial"/>
          <w:noProof/>
        </w:rPr>
      </w:pPr>
    </w:p>
    <w:p w14:paraId="04908963" w14:textId="3F669650" w:rsidR="00A53C28" w:rsidRPr="002B3F36" w:rsidRDefault="00A53C28" w:rsidP="00A53C28">
      <w:pPr>
        <w:ind w:left="410" w:hanging="360"/>
        <w:jc w:val="center"/>
        <w:rPr>
          <w:rFonts w:ascii="Arial" w:hAnsi="Arial" w:cs="Arial"/>
        </w:rPr>
      </w:pPr>
      <w:r w:rsidRPr="002B3F36">
        <w:rPr>
          <w:rFonts w:ascii="Arial" w:hAnsi="Arial" w:cs="Arial"/>
          <w:noProof/>
        </w:rPr>
        <w:lastRenderedPageBreak/>
        <w:drawing>
          <wp:inline distT="0" distB="0" distL="0" distR="0" wp14:anchorId="2744AFE8" wp14:editId="4C95159E">
            <wp:extent cx="5970992" cy="766354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r="3613" b="7234"/>
                    <a:stretch>
                      <a:fillRect/>
                    </a:stretch>
                  </pic:blipFill>
                  <pic:spPr bwMode="auto">
                    <a:xfrm>
                      <a:off x="0" y="0"/>
                      <a:ext cx="5972705" cy="7665742"/>
                    </a:xfrm>
                    <a:prstGeom prst="rect">
                      <a:avLst/>
                    </a:prstGeom>
                    <a:noFill/>
                    <a:ln>
                      <a:noFill/>
                    </a:ln>
                  </pic:spPr>
                </pic:pic>
              </a:graphicData>
            </a:graphic>
          </wp:inline>
        </w:drawing>
      </w:r>
    </w:p>
    <w:p w14:paraId="37F34659" w14:textId="2CFD87FB" w:rsidR="00A53C28" w:rsidRPr="002B3F36" w:rsidRDefault="00A53C28" w:rsidP="00A53C28">
      <w:pPr>
        <w:ind w:left="410" w:hanging="360"/>
        <w:jc w:val="center"/>
        <w:rPr>
          <w:rFonts w:ascii="Arial" w:hAnsi="Arial" w:cs="Arial"/>
        </w:rPr>
      </w:pPr>
      <w:r w:rsidRPr="002B3F36">
        <w:rPr>
          <w:rFonts w:ascii="Arial" w:hAnsi="Arial" w:cs="Arial"/>
          <w:noProof/>
        </w:rPr>
        <w:lastRenderedPageBreak/>
        <w:drawing>
          <wp:inline distT="0" distB="0" distL="0" distR="0" wp14:anchorId="111D2A28" wp14:editId="55FDCFCF">
            <wp:extent cx="5522788" cy="7369629"/>
            <wp:effectExtent l="0" t="0" r="190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26250" cy="7374248"/>
                    </a:xfrm>
                    <a:prstGeom prst="rect">
                      <a:avLst/>
                    </a:prstGeom>
                    <a:noFill/>
                    <a:ln>
                      <a:noFill/>
                    </a:ln>
                  </pic:spPr>
                </pic:pic>
              </a:graphicData>
            </a:graphic>
          </wp:inline>
        </w:drawing>
      </w:r>
    </w:p>
    <w:p w14:paraId="34274243" w14:textId="439EB011" w:rsidR="00377180" w:rsidRPr="002B3F36" w:rsidRDefault="00377180">
      <w:pPr>
        <w:rPr>
          <w:rFonts w:ascii="Arial" w:hAnsi="Arial" w:cs="Arial"/>
          <w:sz w:val="24"/>
          <w:szCs w:val="24"/>
        </w:rPr>
      </w:pPr>
      <w:r w:rsidRPr="002B3F36">
        <w:rPr>
          <w:rFonts w:ascii="Arial" w:hAnsi="Arial" w:cs="Arial"/>
          <w:sz w:val="24"/>
          <w:szCs w:val="24"/>
        </w:rPr>
        <w:br w:type="page"/>
      </w:r>
    </w:p>
    <w:p w14:paraId="39D54921" w14:textId="04EC8E45" w:rsidR="006D06B2" w:rsidRPr="002B3F36" w:rsidRDefault="006D06B2" w:rsidP="006D06B2">
      <w:pPr>
        <w:rPr>
          <w:rFonts w:ascii="Arial" w:hAnsi="Arial" w:cs="Arial"/>
          <w:sz w:val="24"/>
          <w:szCs w:val="24"/>
        </w:rPr>
      </w:pPr>
    </w:p>
    <w:p w14:paraId="021AA677" w14:textId="093CCD57" w:rsidR="00377180" w:rsidRPr="002B3F36" w:rsidRDefault="00377180" w:rsidP="006D06B2">
      <w:pPr>
        <w:rPr>
          <w:rFonts w:ascii="Arial" w:hAnsi="Arial" w:cs="Arial"/>
          <w:sz w:val="24"/>
          <w:szCs w:val="24"/>
        </w:rPr>
      </w:pPr>
    </w:p>
    <w:p w14:paraId="7C9E3B9F" w14:textId="77777777" w:rsidR="00377180" w:rsidRPr="002B3F36" w:rsidRDefault="00377180" w:rsidP="006D06B2">
      <w:pPr>
        <w:rPr>
          <w:rFonts w:ascii="Arial" w:hAnsi="Arial" w:cs="Arial"/>
          <w:sz w:val="24"/>
          <w:szCs w:val="24"/>
        </w:rPr>
      </w:pPr>
    </w:p>
    <w:p w14:paraId="5D4EB2E8" w14:textId="051A109E" w:rsidR="00A53C28" w:rsidRPr="002B3F36" w:rsidRDefault="00A53C28" w:rsidP="00A53C28">
      <w:pPr>
        <w:pStyle w:val="aff9"/>
        <w:shd w:val="clear" w:color="auto" w:fill="FFFFFF"/>
        <w:spacing w:before="0" w:beforeAutospacing="0" w:after="0" w:afterAutospacing="0"/>
        <w:jc w:val="center"/>
        <w:textAlignment w:val="baseline"/>
        <w:rPr>
          <w:rFonts w:ascii="Arial" w:hAnsi="Arial" w:cs="Arial"/>
          <w:bCs/>
          <w:spacing w:val="1"/>
          <w:lang w:val="en-GB"/>
        </w:rPr>
      </w:pPr>
      <w:r w:rsidRPr="002B3F36">
        <w:rPr>
          <w:rFonts w:ascii="Arial" w:hAnsi="Arial" w:cs="Arial"/>
          <w:noProof/>
        </w:rPr>
        <w:drawing>
          <wp:inline distT="0" distB="0" distL="0" distR="0" wp14:anchorId="40D3718F" wp14:editId="52928522">
            <wp:extent cx="6202604" cy="3483429"/>
            <wp:effectExtent l="0" t="0" r="825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16430" cy="3491194"/>
                    </a:xfrm>
                    <a:prstGeom prst="rect">
                      <a:avLst/>
                    </a:prstGeom>
                    <a:noFill/>
                    <a:ln>
                      <a:noFill/>
                    </a:ln>
                  </pic:spPr>
                </pic:pic>
              </a:graphicData>
            </a:graphic>
          </wp:inline>
        </w:drawing>
      </w:r>
    </w:p>
    <w:p w14:paraId="53FC3DC3" w14:textId="77777777" w:rsidR="00A53C28" w:rsidRPr="002B3F36" w:rsidRDefault="00A53C28" w:rsidP="00A53C28">
      <w:pPr>
        <w:pStyle w:val="aff9"/>
        <w:shd w:val="clear" w:color="auto" w:fill="FFFFFF"/>
        <w:spacing w:before="0" w:beforeAutospacing="0" w:after="0" w:afterAutospacing="0"/>
        <w:jc w:val="center"/>
        <w:textAlignment w:val="baseline"/>
        <w:rPr>
          <w:rFonts w:ascii="Arial" w:hAnsi="Arial" w:cs="Arial"/>
          <w:bCs/>
          <w:spacing w:val="1"/>
          <w:lang w:val="en-GB"/>
        </w:rPr>
      </w:pPr>
    </w:p>
    <w:p w14:paraId="2F325097" w14:textId="1E4CB714" w:rsidR="00A53C28" w:rsidRPr="002B3F36" w:rsidRDefault="00A53C28" w:rsidP="00A53C28">
      <w:pPr>
        <w:pStyle w:val="aff9"/>
        <w:shd w:val="clear" w:color="auto" w:fill="FFFFFF"/>
        <w:spacing w:before="0" w:beforeAutospacing="0" w:after="0" w:afterAutospacing="0"/>
        <w:jc w:val="center"/>
        <w:textAlignment w:val="baseline"/>
        <w:rPr>
          <w:rFonts w:ascii="Arial" w:hAnsi="Arial" w:cs="Arial"/>
          <w:bCs/>
          <w:spacing w:val="1"/>
          <w:lang w:val="en-GB"/>
        </w:rPr>
      </w:pPr>
      <w:r w:rsidRPr="002B3F36">
        <w:rPr>
          <w:rFonts w:ascii="Arial" w:hAnsi="Arial" w:cs="Arial"/>
          <w:noProof/>
        </w:rPr>
        <w:drawing>
          <wp:inline distT="0" distB="0" distL="0" distR="0" wp14:anchorId="0AB85983" wp14:editId="44E64FDC">
            <wp:extent cx="6202605" cy="3483429"/>
            <wp:effectExtent l="0" t="0" r="8255"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206952" cy="3485870"/>
                    </a:xfrm>
                    <a:prstGeom prst="rect">
                      <a:avLst/>
                    </a:prstGeom>
                    <a:noFill/>
                    <a:ln>
                      <a:noFill/>
                    </a:ln>
                  </pic:spPr>
                </pic:pic>
              </a:graphicData>
            </a:graphic>
          </wp:inline>
        </w:drawing>
      </w:r>
    </w:p>
    <w:p w14:paraId="384A7052" w14:textId="6305B1AD" w:rsidR="00A53C28" w:rsidRPr="00F82096" w:rsidRDefault="00A53C28" w:rsidP="00A53C28">
      <w:pPr>
        <w:pStyle w:val="ReportBodyTextNogap"/>
        <w:rPr>
          <w:b/>
          <w:lang w:val="en-PH"/>
        </w:rPr>
      </w:pPr>
      <w:r w:rsidRPr="002B3F36">
        <w:rPr>
          <w:b/>
          <w:lang w:val="en-PH"/>
        </w:rPr>
        <w:t>Photos for PC2: Karazhal</w:t>
      </w:r>
    </w:p>
    <w:p w14:paraId="76B230CF" w14:textId="02715C7A" w:rsidR="00F61F8E" w:rsidRPr="008D5118" w:rsidRDefault="00F61F8E" w:rsidP="006D06B2">
      <w:pPr>
        <w:pStyle w:val="ReportBodyPar"/>
        <w:rPr>
          <w:b/>
          <w:sz w:val="32"/>
          <w:szCs w:val="28"/>
        </w:rPr>
      </w:pPr>
    </w:p>
    <w:sectPr w:rsidR="00F61F8E" w:rsidRPr="008D5118" w:rsidSect="00C16EE5">
      <w:pgSz w:w="11910" w:h="16840"/>
      <w:pgMar w:top="990" w:right="1133" w:bottom="900" w:left="108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29B1A" w14:textId="77777777" w:rsidR="00AD3146" w:rsidRDefault="00AD3146">
      <w:r>
        <w:separator/>
      </w:r>
    </w:p>
  </w:endnote>
  <w:endnote w:type="continuationSeparator" w:id="0">
    <w:p w14:paraId="0CB85061" w14:textId="77777777" w:rsidR="00AD3146" w:rsidRDefault="00AD3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Noto Sans Symbols">
    <w:altName w:val="Calibri"/>
    <w:charset w:val="00"/>
    <w:family w:val="auto"/>
    <w:pitch w:val="default"/>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charset w:val="00"/>
    <w:family w:val="auto"/>
    <w:pitch w:val="default"/>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NOBGN+BookAntiqua">
    <w:panose1 w:val="00000000000000000000"/>
    <w:charset w:val="00"/>
    <w:family w:val="roman"/>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Optima">
    <w:charset w:val="00"/>
    <w:family w:val="swiss"/>
    <w:pitch w:val="variable"/>
    <w:sig w:usb0="00000007" w:usb1="00000000" w:usb2="00000000" w:usb3="00000000" w:csb0="00000093" w:csb1="00000000"/>
  </w:font>
  <w:font w:name="MS ??">
    <w:panose1 w:val="00000000000000000000"/>
    <w:charset w:val="80"/>
    <w:family w:val="auto"/>
    <w:notTrueType/>
    <w:pitch w:val="variable"/>
    <w:sig w:usb0="00000001" w:usb1="08070000" w:usb2="00000010" w:usb3="00000000" w:csb0="00020000" w:csb1="00000000"/>
  </w:font>
  <w:font w:name="DaunPenh">
    <w:charset w:val="00"/>
    <w:family w:val="auto"/>
    <w:pitch w:val="variable"/>
    <w:sig w:usb0="80000003" w:usb1="00000000" w:usb2="00010000" w:usb3="00000000" w:csb0="00000001" w:csb1="00000000"/>
  </w:font>
  <w:font w:name="BookAntiqua-BoldItalic">
    <w:altName w:val="Times New Roman"/>
    <w:panose1 w:val="00000000000000000000"/>
    <w:charset w:val="00"/>
    <w:family w:val="roman"/>
    <w:notTrueType/>
    <w:pitch w:val="default"/>
  </w:font>
  <w:font w:name="TimesNewRomanPSMT">
    <w:altName w:val="Yu Gothic"/>
    <w:panose1 w:val="00000000000000000000"/>
    <w:charset w:val="80"/>
    <w:family w:val="auto"/>
    <w:notTrueType/>
    <w:pitch w:val="default"/>
    <w:sig w:usb0="00000201" w:usb1="08070000" w:usb2="00000010" w:usb3="00000000" w:csb0="00020005"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69052" w14:textId="672DA9D2" w:rsidR="00EB4816" w:rsidRDefault="00EB4816">
    <w:pPr>
      <w:pStyle w:val="aff"/>
    </w:pPr>
    <w:r>
      <w:rPr>
        <w:noProof/>
      </w:rPr>
      <mc:AlternateContent>
        <mc:Choice Requires="wps">
          <w:drawing>
            <wp:anchor distT="0" distB="0" distL="0" distR="0" simplePos="0" relativeHeight="251658240" behindDoc="0" locked="0" layoutInCell="1" allowOverlap="1" wp14:anchorId="332254F4" wp14:editId="408B100D">
              <wp:simplePos x="0" y="0"/>
              <wp:positionH relativeFrom="page">
                <wp:align>right</wp:align>
              </wp:positionH>
              <wp:positionV relativeFrom="page">
                <wp:align>bottom</wp:align>
              </wp:positionV>
              <wp:extent cx="882014" cy="345440"/>
              <wp:effectExtent l="0" t="0" r="0" b="0"/>
              <wp:wrapNone/>
              <wp:docPr id="4097" name="Text Box 2"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62C589CC"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332254F4" id="Text Box 2" o:spid="_x0000_s1028" alt="Confidential" style="position:absolute;margin-left:18.25pt;margin-top:0;width:69.45pt;height:27.2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" filled="f" stroked="f">
              <v:textbox style="mso-fit-shape-to-text:t" inset="0,0,20pt,15pt">
                <w:txbxContent>
                  <w:p w14:paraId="62C589CC"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9CE8C" w14:textId="6D36059A" w:rsidR="00EB4816" w:rsidRDefault="00EB4816">
    <w:pPr>
      <w:pStyle w:val="aff"/>
    </w:pPr>
    <w:r>
      <w:rPr>
        <w:noProof/>
      </w:rPr>
      <mc:AlternateContent>
        <mc:Choice Requires="wps">
          <w:drawing>
            <wp:anchor distT="0" distB="0" distL="0" distR="0" simplePos="0" relativeHeight="251658246" behindDoc="0" locked="0" layoutInCell="1" allowOverlap="1" wp14:anchorId="59CC69F7" wp14:editId="29CC338D">
              <wp:simplePos x="0" y="0"/>
              <wp:positionH relativeFrom="page">
                <wp:align>right</wp:align>
              </wp:positionH>
              <wp:positionV relativeFrom="page">
                <wp:align>bottom</wp:align>
              </wp:positionV>
              <wp:extent cx="882014" cy="345440"/>
              <wp:effectExtent l="0" t="0" r="0" b="0"/>
              <wp:wrapNone/>
              <wp:docPr id="4107" name="Text Box 10"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0D037F17"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59CC69F7" id="Text Box 10" o:spid="_x0000_s1035" alt="Confidential" style="position:absolute;margin-left:18.25pt;margin-top:0;width:69.45pt;height:27.2pt;z-index:25165824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CK/NwpwgEAAH0DAAAOAAAAAAAAAAAAAAAAAC4C&#10;AABkcnMvZTJvRG9jLnhtbFBLAQItABQABgAIAAAAIQBlFv1X2wAAAAQBAAAPAAAAAAAAAAAAAAAA&#10;ABwEAABkcnMvZG93bnJldi54bWxQSwUGAAAAAAQABADzAAAAJAUAAAAA&#10;" filled="f" stroked="f">
              <v:textbox style="mso-fit-shape-to-text:t" inset="0,0,20pt,15pt">
                <w:txbxContent>
                  <w:p w14:paraId="0D037F17"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B7730" w14:textId="61104AD4" w:rsidR="00EB4816" w:rsidRDefault="00EB4816">
    <w:pPr>
      <w:pStyle w:val="aff"/>
      <w:jc w:val="center"/>
    </w:pPr>
    <w:r>
      <w:rPr>
        <w:noProof/>
      </w:rPr>
      <mc:AlternateContent>
        <mc:Choice Requires="wps">
          <w:drawing>
            <wp:anchor distT="0" distB="0" distL="0" distR="0" simplePos="0" relativeHeight="251658241" behindDoc="0" locked="0" layoutInCell="1" allowOverlap="1" wp14:anchorId="6EE42265" wp14:editId="69E7E4A6">
              <wp:simplePos x="0" y="0"/>
              <wp:positionH relativeFrom="page">
                <wp:align>right</wp:align>
              </wp:positionH>
              <wp:positionV relativeFrom="page">
                <wp:align>bottom</wp:align>
              </wp:positionV>
              <wp:extent cx="882014" cy="345440"/>
              <wp:effectExtent l="0" t="0" r="0" b="0"/>
              <wp:wrapNone/>
              <wp:docPr id="4098" name="Text Box 3"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36E948A3"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6EE42265" id="Text Box 3" o:spid="_x0000_s1029" alt="Confidential" style="position:absolute;left:0;text-align:left;margin-left:18.25pt;margin-top:0;width:69.45pt;height:27.2pt;z-index:25165824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Ae9MkjwgEAAH0DAAAOAAAAAAAAAAAAAAAAAC4C&#10;AABkcnMvZTJvRG9jLnhtbFBLAQItABQABgAIAAAAIQBlFv1X2wAAAAQBAAAPAAAAAAAAAAAAAAAA&#10;ABwEAABkcnMvZG93bnJldi54bWxQSwUGAAAAAAQABADzAAAAJAUAAAAA&#10;" filled="f" stroked="f">
              <v:textbox style="mso-fit-shape-to-text:t" inset="0,0,20pt,15pt">
                <w:txbxContent>
                  <w:p w14:paraId="36E948A3"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p w14:paraId="2E945BCC" w14:textId="77777777" w:rsidR="00EB4816" w:rsidRDefault="00EB4816">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5EAF0" w14:textId="77777777" w:rsidR="00EB4816" w:rsidRDefault="00EB4816">
    <w:pPr>
      <w:pStyle w:val="aff"/>
      <w:jc w:val="center"/>
    </w:pPr>
    <w:r>
      <w:fldChar w:fldCharType="begin"/>
    </w:r>
    <w:r>
      <w:instrText xml:space="preserve"> PAGE   \* MERGEFORMAT </w:instrText>
    </w:r>
    <w:r>
      <w:fldChar w:fldCharType="separate"/>
    </w:r>
    <w:r>
      <w:rPr>
        <w:noProof/>
      </w:rPr>
      <w:t>2</w:t>
    </w:r>
    <w:r>
      <w:rPr>
        <w:noProof/>
      </w:rPr>
      <w:fldChar w:fldCharType="end"/>
    </w:r>
  </w:p>
  <w:p w14:paraId="4872B01C" w14:textId="77777777" w:rsidR="00EB4816" w:rsidRDefault="00EB4816">
    <w:pPr>
      <w:pStyle w:val="aff"/>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EA5FD" w14:textId="5EE7D99F" w:rsidR="00EB4816" w:rsidRDefault="00EB4816">
    <w:pPr>
      <w:pStyle w:val="aff"/>
    </w:pPr>
    <w:r>
      <w:rPr>
        <w:noProof/>
      </w:rPr>
      <mc:AlternateContent>
        <mc:Choice Requires="wps">
          <w:drawing>
            <wp:anchor distT="0" distB="0" distL="0" distR="0" simplePos="0" relativeHeight="251658243" behindDoc="0" locked="0" layoutInCell="1" allowOverlap="1" wp14:anchorId="2AFBE190" wp14:editId="0CF057C2">
              <wp:simplePos x="0" y="0"/>
              <wp:positionH relativeFrom="page">
                <wp:align>right</wp:align>
              </wp:positionH>
              <wp:positionV relativeFrom="page">
                <wp:align>bottom</wp:align>
              </wp:positionV>
              <wp:extent cx="882014" cy="345440"/>
              <wp:effectExtent l="0" t="0" r="0" b="0"/>
              <wp:wrapNone/>
              <wp:docPr id="4100" name="Text Box 5"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03A1128B"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2AFBE190" id="Text Box 5" o:spid="_x0000_s1030" alt="Confidential" style="position:absolute;margin-left:18.25pt;margin-top:0;width:69.45pt;height:27.2pt;z-index:251658243;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BUcMMmwgEAAH0DAAAOAAAAAAAAAAAAAAAAAC4C&#10;AABkcnMvZTJvRG9jLnhtbFBLAQItABQABgAIAAAAIQBlFv1X2wAAAAQBAAAPAAAAAAAAAAAAAAAA&#10;ABwEAABkcnMvZG93bnJldi54bWxQSwUGAAAAAAQABADzAAAAJAUAAAAA&#10;" filled="f" stroked="f">
              <v:textbox style="mso-fit-shape-to-text:t" inset="0,0,20pt,15pt">
                <w:txbxContent>
                  <w:p w14:paraId="03A1128B"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041A0" w14:textId="77777777" w:rsidR="00EB4816" w:rsidRDefault="00EB4816">
    <w:pPr>
      <w:pStyle w:val="aff"/>
      <w:jc w:val="center"/>
    </w:pPr>
    <w:r>
      <w:fldChar w:fldCharType="begin"/>
    </w:r>
    <w:r>
      <w:instrText xml:space="preserve"> PAGE   \* MERGEFORMAT </w:instrText>
    </w:r>
    <w:r>
      <w:fldChar w:fldCharType="separate"/>
    </w:r>
    <w:r>
      <w:rPr>
        <w:noProof/>
      </w:rPr>
      <w:t>2</w:t>
    </w:r>
    <w:r>
      <w:rPr>
        <w:noProof/>
      </w:rPr>
      <w:fldChar w:fldCharType="end"/>
    </w:r>
  </w:p>
  <w:p w14:paraId="59325803" w14:textId="77777777" w:rsidR="00EB4816" w:rsidRDefault="00EB4816">
    <w:pPr>
      <w:pStyle w:val="aff"/>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6DC37" w14:textId="647D75DE" w:rsidR="00EB4816" w:rsidRDefault="00EB4816">
    <w:pPr>
      <w:pStyle w:val="aff"/>
    </w:pPr>
    <w:r>
      <w:rPr>
        <w:noProof/>
      </w:rPr>
      <mc:AlternateContent>
        <mc:Choice Requires="wps">
          <w:drawing>
            <wp:anchor distT="0" distB="0" distL="0" distR="0" simplePos="0" relativeHeight="251658242" behindDoc="0" locked="0" layoutInCell="1" allowOverlap="1" wp14:anchorId="37D13470" wp14:editId="2CB6C5C5">
              <wp:simplePos x="0" y="0"/>
              <wp:positionH relativeFrom="page">
                <wp:align>right</wp:align>
              </wp:positionH>
              <wp:positionV relativeFrom="page">
                <wp:align>bottom</wp:align>
              </wp:positionV>
              <wp:extent cx="882014" cy="345440"/>
              <wp:effectExtent l="0" t="0" r="0" b="0"/>
              <wp:wrapNone/>
              <wp:docPr id="4101" name="Text Box 4"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4DE0E5D4"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37D13470" id="Text Box 4" o:spid="_x0000_s1031" alt="Confidential" style="position:absolute;margin-left:18.25pt;margin-top:0;width:69.45pt;height:27.2pt;z-index:25165824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" filled="f" stroked="f">
              <v:textbox style="mso-fit-shape-to-text:t" inset="0,0,20pt,15pt">
                <w:txbxContent>
                  <w:p w14:paraId="4DE0E5D4"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08F7A" w14:textId="28AA067A" w:rsidR="00EB4816" w:rsidRDefault="00EB4816">
    <w:pPr>
      <w:pStyle w:val="aff"/>
    </w:pPr>
    <w:r>
      <w:rPr>
        <w:noProof/>
      </w:rPr>
      <mc:AlternateContent>
        <mc:Choice Requires="wps">
          <w:drawing>
            <wp:anchor distT="0" distB="0" distL="0" distR="0" simplePos="0" relativeHeight="251658245" behindDoc="0" locked="0" layoutInCell="1" allowOverlap="1" wp14:anchorId="0344D3E3" wp14:editId="496A1901">
              <wp:simplePos x="0" y="0"/>
              <wp:positionH relativeFrom="page">
                <wp:align>right</wp:align>
              </wp:positionH>
              <wp:positionV relativeFrom="page">
                <wp:align>bottom</wp:align>
              </wp:positionV>
              <wp:extent cx="882014" cy="345440"/>
              <wp:effectExtent l="0" t="0" r="0" b="0"/>
              <wp:wrapNone/>
              <wp:docPr id="4102" name="Text Box 8"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2A415A0C"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0344D3E3" id="Text Box 8" o:spid="_x0000_s1032" alt="Confidential" style="position:absolute;margin-left:18.25pt;margin-top:0;width:69.45pt;height:27.2pt;z-index:251658245;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DAeNYswgEAAH0DAAAOAAAAAAAAAAAAAAAAAC4C&#10;AABkcnMvZTJvRG9jLnhtbFBLAQItABQABgAIAAAAIQBlFv1X2wAAAAQBAAAPAAAAAAAAAAAAAAAA&#10;ABwEAABkcnMvZG93bnJldi54bWxQSwUGAAAAAAQABADzAAAAJAUAAAAA&#10;" filled="f" stroked="f">
              <v:textbox style="mso-fit-shape-to-text:t" inset="0,0,20pt,15pt">
                <w:txbxContent>
                  <w:p w14:paraId="2A415A0C"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6A329" w14:textId="5736D67C" w:rsidR="00EB4816" w:rsidRDefault="00EB4816">
    <w:pPr>
      <w:pStyle w:val="aff"/>
    </w:pPr>
    <w:r>
      <w:rPr>
        <w:noProof/>
      </w:rPr>
      <mc:AlternateContent>
        <mc:Choice Requires="wps">
          <w:drawing>
            <wp:anchor distT="0" distB="0" distL="0" distR="0" simplePos="0" relativeHeight="251658244" behindDoc="0" locked="0" layoutInCell="1" allowOverlap="1" wp14:anchorId="66A28C30" wp14:editId="3B0D62E4">
              <wp:simplePos x="0" y="0"/>
              <wp:positionH relativeFrom="page">
                <wp:align>right</wp:align>
              </wp:positionH>
              <wp:positionV relativeFrom="page">
                <wp:align>bottom</wp:align>
              </wp:positionV>
              <wp:extent cx="882014" cy="345440"/>
              <wp:effectExtent l="0" t="0" r="0" b="0"/>
              <wp:wrapNone/>
              <wp:docPr id="4104" name="Text Box 7"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779F5E6F"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66A28C30" id="Text Box 7" o:spid="_x0000_s1033" alt="Confidential" style="position:absolute;margin-left:18.25pt;margin-top:0;width:69.45pt;height:27.2pt;z-index:25165824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A5+QCZwgEAAH0DAAAOAAAAAAAAAAAAAAAAAC4C&#10;AABkcnMvZTJvRG9jLnhtbFBLAQItABQABgAIAAAAIQBlFv1X2wAAAAQBAAAPAAAAAAAAAAAAAAAA&#10;ABwEAABkcnMvZG93bnJldi54bWxQSwUGAAAAAAQABADzAAAAJAUAAAAA&#10;" filled="f" stroked="f">
              <v:textbox style="mso-fit-shape-to-text:t" inset="0,0,20pt,15pt">
                <w:txbxContent>
                  <w:p w14:paraId="779F5E6F"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46D55" w14:textId="5DA9BE68" w:rsidR="00EB4816" w:rsidRDefault="00EB4816">
    <w:pPr>
      <w:pStyle w:val="aff"/>
    </w:pPr>
    <w:r>
      <w:rPr>
        <w:noProof/>
      </w:rPr>
      <mc:AlternateContent>
        <mc:Choice Requires="wps">
          <w:drawing>
            <wp:anchor distT="0" distB="0" distL="0" distR="0" simplePos="0" relativeHeight="251658247" behindDoc="0" locked="0" layoutInCell="1" allowOverlap="1" wp14:anchorId="4471B33D" wp14:editId="505BD290">
              <wp:simplePos x="0" y="0"/>
              <wp:positionH relativeFrom="page">
                <wp:align>right</wp:align>
              </wp:positionH>
              <wp:positionV relativeFrom="page">
                <wp:align>bottom</wp:align>
              </wp:positionV>
              <wp:extent cx="882014" cy="345440"/>
              <wp:effectExtent l="0" t="0" r="0" b="0"/>
              <wp:wrapNone/>
              <wp:docPr id="4105" name="Text Box 11"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0EFDDD97"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4471B33D" id="Text Box 11" o:spid="_x0000_s1034" alt="Confidential" style="position:absolute;margin-left:18.25pt;margin-top:0;width:69.45pt;height:27.2pt;z-index:251658247;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BzfQqcwgEAAH0DAAAOAAAAAAAAAAAAAAAAAC4C&#10;AABkcnMvZTJvRG9jLnhtbFBLAQItABQABgAIAAAAIQBlFv1X2wAAAAQBAAAPAAAAAAAAAAAAAAAA&#10;ABwEAABkcnMvZG93bnJldi54bWxQSwUGAAAAAAQABADzAAAAJAUAAAAA&#10;" filled="f" stroked="f">
              <v:textbox style="mso-fit-shape-to-text:t" inset="0,0,20pt,15pt">
                <w:txbxContent>
                  <w:p w14:paraId="0EFDDD97" w14:textId="77777777" w:rsidR="00EB4816" w:rsidRDefault="00EB4816">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D3367" w14:textId="77777777" w:rsidR="00AD3146" w:rsidRDefault="00AD3146">
      <w:r>
        <w:separator/>
      </w:r>
    </w:p>
  </w:footnote>
  <w:footnote w:type="continuationSeparator" w:id="0">
    <w:p w14:paraId="062482A3" w14:textId="77777777" w:rsidR="00AD3146" w:rsidRDefault="00AD3146">
      <w:r>
        <w:continuationSeparator/>
      </w:r>
    </w:p>
  </w:footnote>
  <w:footnote w:id="1">
    <w:p w14:paraId="2074CA70" w14:textId="11E4FA11" w:rsidR="00EB4816" w:rsidRDefault="00EB4816">
      <w:pPr>
        <w:pStyle w:val="aa"/>
      </w:pPr>
      <w:r>
        <w:rPr>
          <w:rStyle w:val="ac"/>
        </w:rPr>
        <w:footnoteRef/>
      </w:r>
      <w:r>
        <w:t xml:space="preserve"> </w:t>
      </w:r>
      <w:r w:rsidRPr="00EC364E">
        <w:t>For railways, use a provisional setback of ≥300 m to settlement edges (upgrade to ≥500 m where schools/hospitals are present or night operations are expected) and ≥100–150 m to isolated homes (or add engineered barriers), then confirm/refine with site-specific noise/air/vibration and safety modeling to satisfy PS1/PS4 and local limits.</w:t>
      </w:r>
    </w:p>
  </w:footnote>
  <w:footnote w:id="2">
    <w:p w14:paraId="6A397F27" w14:textId="77777777" w:rsidR="00EB4816" w:rsidRDefault="00EB4816">
      <w:pPr>
        <w:pStyle w:val="aa"/>
      </w:pPr>
      <w:r>
        <w:rPr>
          <w:rStyle w:val="ac"/>
        </w:rPr>
        <w:footnoteRef/>
      </w:r>
      <w:r>
        <w:t xml:space="preserve"> KTZ Annual Report 2023 – Kazakhstan Temir Zholy JSC. </w:t>
      </w:r>
      <w:hyperlink r:id="rId1" w:history="1">
        <w:r>
          <w:rPr>
            <w:rStyle w:val="aff6"/>
          </w:rPr>
          <w:t>https://www.railways.kz</w:t>
        </w:r>
      </w:hyperlink>
      <w:r>
        <w:t xml:space="preserve">. </w:t>
      </w:r>
    </w:p>
  </w:footnote>
  <w:footnote w:id="3">
    <w:p w14:paraId="3ACFEDA9" w14:textId="77777777" w:rsidR="00EB4816" w:rsidRDefault="00EB4816">
      <w:pPr>
        <w:pStyle w:val="aa"/>
      </w:pPr>
      <w:r>
        <w:rPr>
          <w:rStyle w:val="ac"/>
        </w:rPr>
        <w:footnoteRef/>
      </w:r>
      <w:r>
        <w:t xml:space="preserve"> Ministry of Transport of Kazakhstan – Transport Statistics 2022. </w:t>
      </w:r>
      <w:hyperlink r:id="rId2" w:history="1">
        <w:r>
          <w:rPr>
            <w:rStyle w:val="aff6"/>
          </w:rPr>
          <w:t>https://www.gov.kz</w:t>
        </w:r>
      </w:hyperlink>
      <w:r>
        <w:t xml:space="preserve"> </w:t>
      </w:r>
    </w:p>
  </w:footnote>
  <w:footnote w:id="4">
    <w:p w14:paraId="55DD34D9" w14:textId="77777777" w:rsidR="00EB4816" w:rsidRDefault="00EB4816">
      <w:pPr>
        <w:pStyle w:val="aa"/>
      </w:pPr>
      <w:r>
        <w:rPr>
          <w:rStyle w:val="ac"/>
        </w:rPr>
        <w:footnoteRef/>
      </w:r>
      <w:r>
        <w:t xml:space="preserve"> KTZ Infrastructure Development Plan 2025, </w:t>
      </w:r>
      <w:hyperlink r:id="rId3" w:history="1">
        <w:r>
          <w:rPr>
            <w:rStyle w:val="aff6"/>
          </w:rPr>
          <w:t>https://www.railways.kz</w:t>
        </w:r>
      </w:hyperlink>
      <w:r>
        <w:t xml:space="preserve"> </w:t>
      </w:r>
    </w:p>
  </w:footnote>
  <w:footnote w:id="5">
    <w:p w14:paraId="22415B79" w14:textId="77777777" w:rsidR="00EB4816" w:rsidRDefault="00EB4816">
      <w:pPr>
        <w:pStyle w:val="aa"/>
      </w:pPr>
      <w:r>
        <w:rPr>
          <w:rStyle w:val="ac"/>
        </w:rPr>
        <w:footnoteRef/>
      </w:r>
      <w:r>
        <w:t xml:space="preserve"> “Kazakhstan’s Rail Transit Volumes Recover in 2022,” Railfreight.com. </w:t>
      </w:r>
      <w:hyperlink r:id="rId4" w:history="1">
        <w:r>
          <w:rPr>
            <w:rStyle w:val="aff6"/>
          </w:rPr>
          <w:t>https://www.railfreight.com</w:t>
        </w:r>
      </w:hyperlink>
      <w:r>
        <w:t xml:space="preserve"> </w:t>
      </w:r>
    </w:p>
  </w:footnote>
  <w:footnote w:id="6">
    <w:p w14:paraId="405F075A" w14:textId="77777777" w:rsidR="00EB4816" w:rsidRDefault="00EB4816">
      <w:pPr>
        <w:pStyle w:val="aa"/>
      </w:pPr>
      <w:r>
        <w:rPr>
          <w:rStyle w:val="ac"/>
        </w:rPr>
        <w:footnoteRef/>
      </w:r>
      <w:r>
        <w:t xml:space="preserve"> National Railway Electrification Program 2030. </w:t>
      </w:r>
      <w:hyperlink r:id="rId5" w:history="1">
        <w:r>
          <w:rPr>
            <w:rStyle w:val="aff6"/>
          </w:rPr>
          <w:t>https://www.gov.kz</w:t>
        </w:r>
      </w:hyperlink>
      <w:r>
        <w:t xml:space="preserve"> </w:t>
      </w:r>
    </w:p>
  </w:footnote>
  <w:footnote w:id="7">
    <w:p w14:paraId="18A9CBBC" w14:textId="77777777" w:rsidR="00EB4816" w:rsidRDefault="00EB4816">
      <w:pPr>
        <w:pStyle w:val="aa"/>
      </w:pPr>
      <w:r>
        <w:rPr>
          <w:rStyle w:val="ac"/>
        </w:rPr>
        <w:footnoteRef/>
      </w:r>
      <w:r>
        <w:t xml:space="preserve"> Transport Infrastructure Development Plan 2025, Government of Kazakhstan. </w:t>
      </w:r>
      <w:hyperlink r:id="rId6" w:history="1">
        <w:r>
          <w:rPr>
            <w:rStyle w:val="aff6"/>
          </w:rPr>
          <w:t>https://www.gov.kz</w:t>
        </w:r>
      </w:hyperlink>
      <w:r>
        <w:t xml:space="preserve"> </w:t>
      </w:r>
    </w:p>
  </w:footnote>
  <w:footnote w:id="8">
    <w:p w14:paraId="3EF86E7A" w14:textId="22A4D6C3" w:rsidR="00EB4816" w:rsidRDefault="00EB4816">
      <w:pPr>
        <w:pStyle w:val="aa"/>
      </w:pPr>
      <w:r>
        <w:rPr>
          <w:rStyle w:val="ac"/>
        </w:rPr>
        <w:footnoteRef/>
      </w:r>
      <w:r>
        <w:t xml:space="preserve"> Aside from the connecting points at Mointy and Kyzylzhar, onky Karazhal is 1.5km away, next closest one is Aktau at 2m, and the rest at more than 5km.</w:t>
      </w:r>
    </w:p>
  </w:footnote>
  <w:footnote w:id="9">
    <w:p w14:paraId="7847AB65" w14:textId="4166692B" w:rsidR="00EB4816" w:rsidRDefault="00EB4816" w:rsidP="009E4D88">
      <w:pPr>
        <w:pStyle w:val="aa"/>
        <w:ind w:left="180" w:hanging="180"/>
      </w:pPr>
      <w:r>
        <w:rPr>
          <w:rStyle w:val="ac"/>
        </w:rPr>
        <w:footnoteRef/>
      </w:r>
      <w:r>
        <w:t xml:space="preserve"> </w:t>
      </w:r>
      <w:r w:rsidRPr="00315A68">
        <w:t>In IFC-consistent ESIA practice, however, sensitive receptors are understood to be people, places, or environmental features that are more susceptible to harm from project impacts and therefore warrant heightened protection and conservative assessment/mitigation</w:t>
      </w:r>
      <w:r>
        <w:t>. This covers: (i) Human receptors: homes/residences, schools, hospitals/clinics, elderly/childcare facilities, places of worship, markets; sites heavily used by vulnerable groups (children, elderly, pregnant women, low-income households, Indigenous Peoples). (ii) Environmental receptors: drinking-water sources and intakes, community wells, irrigation offtakes; wetlands, rivers and spawning grounds; legally protected areas, critical habitat, key biodiversity features, wildlife corridors. (iii) Cultural receptors: cemeteries, archaeological sites, sacred/natural heritage sites, traditional use areas.</w:t>
      </w:r>
    </w:p>
  </w:footnote>
  <w:footnote w:id="10">
    <w:p w14:paraId="396F6E03" w14:textId="2C276DFF" w:rsidR="00EB4816" w:rsidRDefault="00EB4816">
      <w:pPr>
        <w:pStyle w:val="aa"/>
      </w:pPr>
      <w:r>
        <w:rPr>
          <w:rStyle w:val="ac"/>
        </w:rPr>
        <w:footnoteRef/>
      </w:r>
      <w:r>
        <w:t xml:space="preserve"> </w:t>
      </w:r>
      <w:r w:rsidRPr="000E123E">
        <w:t>(equivalent sound level LAeq), dBA</w:t>
      </w:r>
    </w:p>
  </w:footnote>
  <w:footnote w:id="11">
    <w:p w14:paraId="42C0988A" w14:textId="368FEB0B" w:rsidR="00EB4816" w:rsidRDefault="00EB4816">
      <w:pPr>
        <w:pStyle w:val="aa"/>
      </w:pPr>
      <w:r>
        <w:rPr>
          <w:rStyle w:val="ac"/>
        </w:rPr>
        <w:footnoteRef/>
      </w:r>
      <w:r>
        <w:t xml:space="preserve"> In IFC, the Client,</w:t>
      </w:r>
      <w:r w:rsidRPr="00BD3FAA">
        <w:t xml:space="preserve"> refers to the entity (company, developer, or borrower) that is responsible for planning, financing, constructing, or operating the project and for ensuring compliance with </w:t>
      </w:r>
      <w:r>
        <w:t>WB</w:t>
      </w:r>
      <w:r w:rsidRPr="00BD3FAA">
        <w:t xml:space="preserve"> Performance Standards</w:t>
      </w:r>
      <w:r>
        <w:t>. In this instance it is KTZ</w:t>
      </w:r>
    </w:p>
  </w:footnote>
  <w:footnote w:id="12">
    <w:p w14:paraId="7ACBB0B4" w14:textId="2762833C" w:rsidR="00EB4816" w:rsidRDefault="00EB4816">
      <w:pPr>
        <w:pStyle w:val="aa"/>
      </w:pPr>
      <w:r>
        <w:rPr>
          <w:rStyle w:val="ac"/>
        </w:rPr>
        <w:footnoteRef/>
      </w:r>
      <w:r>
        <w:t xml:space="preserve"> In this case also as Environmental and Social Consultant, Dong Sung Engineering, Ltd., Seoul, SK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C7D6F" w14:textId="77777777" w:rsidR="00EB4816" w:rsidRDefault="00EB4816">
    <w:pPr>
      <w:pStyle w:val="af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FF7B6" w14:textId="77777777" w:rsidR="00EB4816" w:rsidRDefault="00EB4816">
    <w:pPr>
      <w:pStyle w:val="a5"/>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B2D66" w14:textId="77777777" w:rsidR="00EB4816" w:rsidRDefault="00EB4816">
    <w:pPr>
      <w:pStyle w:val="a5"/>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E937F" w14:textId="77777777" w:rsidR="00EB4816" w:rsidRDefault="00EB4816">
    <w:pPr>
      <w:pStyle w:val="a5"/>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4AC8DC"/>
    <w:multiLevelType w:val="singleLevel"/>
    <w:tmpl w:val="844AC8DC"/>
    <w:lvl w:ilvl="0">
      <w:start w:val="2"/>
      <w:numFmt w:val="decimal"/>
      <w:suff w:val="space"/>
      <w:lvlText w:val="%1."/>
      <w:lvlJc w:val="left"/>
      <w:pPr>
        <w:ind w:left="0" w:firstLine="0"/>
      </w:pPr>
    </w:lvl>
  </w:abstractNum>
  <w:abstractNum w:abstractNumId="1" w15:restartNumberingAfterBreak="0">
    <w:nsid w:val="AB91D382"/>
    <w:multiLevelType w:val="singleLevel"/>
    <w:tmpl w:val="AB91D382"/>
    <w:lvl w:ilvl="0">
      <w:start w:val="1"/>
      <w:numFmt w:val="decimal"/>
      <w:suff w:val="space"/>
      <w:lvlText w:val="%1."/>
      <w:lvlJc w:val="left"/>
      <w:pPr>
        <w:ind w:left="0" w:firstLine="0"/>
      </w:pPr>
    </w:lvl>
  </w:abstractNum>
  <w:abstractNum w:abstractNumId="2" w15:restartNumberingAfterBreak="0">
    <w:nsid w:val="00000001"/>
    <w:multiLevelType w:val="singleLevel"/>
    <w:tmpl w:val="19901AC0"/>
    <w:lvl w:ilvl="0">
      <w:start w:val="1"/>
      <w:numFmt w:val="decimal"/>
      <w:pStyle w:val="4"/>
      <w:lvlText w:val="%1."/>
      <w:lvlJc w:val="left"/>
      <w:pPr>
        <w:tabs>
          <w:tab w:val="left" w:pos="1440"/>
        </w:tabs>
        <w:ind w:left="1440" w:hanging="360"/>
      </w:pPr>
    </w:lvl>
  </w:abstractNum>
  <w:abstractNum w:abstractNumId="3" w15:restartNumberingAfterBreak="0">
    <w:nsid w:val="00000002"/>
    <w:multiLevelType w:val="singleLevel"/>
    <w:tmpl w:val="2EC0CC54"/>
    <w:lvl w:ilvl="0">
      <w:start w:val="1"/>
      <w:numFmt w:val="decimal"/>
      <w:pStyle w:val="3"/>
      <w:lvlText w:val="%1."/>
      <w:lvlJc w:val="left"/>
      <w:pPr>
        <w:tabs>
          <w:tab w:val="left" w:pos="1080"/>
        </w:tabs>
        <w:ind w:left="1080" w:hanging="360"/>
      </w:pPr>
    </w:lvl>
  </w:abstractNum>
  <w:abstractNum w:abstractNumId="4" w15:restartNumberingAfterBreak="0">
    <w:nsid w:val="00000003"/>
    <w:multiLevelType w:val="singleLevel"/>
    <w:tmpl w:val="016A895E"/>
    <w:lvl w:ilvl="0">
      <w:start w:val="1"/>
      <w:numFmt w:val="decimal"/>
      <w:pStyle w:val="2"/>
      <w:lvlText w:val="%1."/>
      <w:lvlJc w:val="left"/>
      <w:pPr>
        <w:tabs>
          <w:tab w:val="left" w:pos="720"/>
        </w:tabs>
        <w:ind w:left="720" w:hanging="360"/>
      </w:pPr>
    </w:lvl>
  </w:abstractNum>
  <w:abstractNum w:abstractNumId="5" w15:restartNumberingAfterBreak="0">
    <w:nsid w:val="00000004"/>
    <w:multiLevelType w:val="singleLevel"/>
    <w:tmpl w:val="FD8CAB4A"/>
    <w:lvl w:ilvl="0">
      <w:start w:val="1"/>
      <w:numFmt w:val="bullet"/>
      <w:pStyle w:val="5"/>
      <w:lvlText w:val=""/>
      <w:lvlJc w:val="left"/>
      <w:pPr>
        <w:tabs>
          <w:tab w:val="left" w:pos="1800"/>
        </w:tabs>
        <w:ind w:left="1800" w:hanging="360"/>
      </w:pPr>
      <w:rPr>
        <w:rFonts w:ascii="Symbol" w:hAnsi="Symbol" w:hint="default"/>
      </w:rPr>
    </w:lvl>
  </w:abstractNum>
  <w:abstractNum w:abstractNumId="6" w15:restartNumberingAfterBreak="0">
    <w:nsid w:val="00000005"/>
    <w:multiLevelType w:val="singleLevel"/>
    <w:tmpl w:val="505A12E4"/>
    <w:lvl w:ilvl="0">
      <w:start w:val="1"/>
      <w:numFmt w:val="bullet"/>
      <w:pStyle w:val="40"/>
      <w:lvlText w:val=""/>
      <w:lvlJc w:val="left"/>
      <w:pPr>
        <w:tabs>
          <w:tab w:val="left" w:pos="1440"/>
        </w:tabs>
        <w:ind w:left="1440" w:hanging="360"/>
      </w:pPr>
      <w:rPr>
        <w:rFonts w:ascii="Symbol" w:hAnsi="Symbol" w:hint="default"/>
      </w:rPr>
    </w:lvl>
  </w:abstractNum>
  <w:abstractNum w:abstractNumId="7" w15:restartNumberingAfterBreak="0">
    <w:nsid w:val="00000006"/>
    <w:multiLevelType w:val="singleLevel"/>
    <w:tmpl w:val="6BA865A8"/>
    <w:lvl w:ilvl="0">
      <w:start w:val="1"/>
      <w:numFmt w:val="bullet"/>
      <w:pStyle w:val="30"/>
      <w:lvlText w:val=""/>
      <w:lvlJc w:val="left"/>
      <w:pPr>
        <w:tabs>
          <w:tab w:val="left" w:pos="1080"/>
        </w:tabs>
        <w:ind w:left="1080" w:hanging="360"/>
      </w:pPr>
      <w:rPr>
        <w:rFonts w:ascii="Symbol" w:hAnsi="Symbol" w:hint="default"/>
      </w:rPr>
    </w:lvl>
  </w:abstractNum>
  <w:abstractNum w:abstractNumId="8" w15:restartNumberingAfterBreak="0">
    <w:nsid w:val="00000007"/>
    <w:multiLevelType w:val="singleLevel"/>
    <w:tmpl w:val="AA563C12"/>
    <w:lvl w:ilvl="0">
      <w:start w:val="1"/>
      <w:numFmt w:val="decimal"/>
      <w:pStyle w:val="a"/>
      <w:lvlText w:val="%1."/>
      <w:lvlJc w:val="left"/>
      <w:pPr>
        <w:tabs>
          <w:tab w:val="left" w:pos="360"/>
        </w:tabs>
        <w:ind w:left="360" w:hanging="360"/>
      </w:pPr>
    </w:lvl>
  </w:abstractNum>
  <w:abstractNum w:abstractNumId="9" w15:restartNumberingAfterBreak="0">
    <w:nsid w:val="00000009"/>
    <w:multiLevelType w:val="multilevel"/>
    <w:tmpl w:val="BDC8488E"/>
    <w:lvl w:ilvl="0">
      <w:start w:val="1"/>
      <w:numFmt w:val="none"/>
      <w:suff w:val="nothing"/>
      <w:lvlText w:val=""/>
      <w:lvlJc w:val="left"/>
      <w:pPr>
        <w:tabs>
          <w:tab w:val="left" w:pos="0"/>
        </w:tabs>
        <w:ind w:left="0" w:firstLine="0"/>
      </w:pPr>
      <w:rPr>
        <w:rFonts w:ascii="Times New Roman" w:hAnsi="Times New Roman" w:cs="Times New Roman"/>
        <w:sz w:val="26"/>
        <w:szCs w:val="26"/>
      </w:r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0" w15:restartNumberingAfterBreak="0">
    <w:nsid w:val="0000000A"/>
    <w:multiLevelType w:val="hybridMultilevel"/>
    <w:tmpl w:val="55C86090"/>
    <w:lvl w:ilvl="0" w:tplc="E30CDFCE">
      <w:start w:val="1"/>
      <w:numFmt w:val="bullet"/>
      <w:pStyle w:val="BulletPar"/>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1" w15:restartNumberingAfterBreak="0">
    <w:nsid w:val="0000000B"/>
    <w:multiLevelType w:val="multilevel"/>
    <w:tmpl w:val="C636A13C"/>
    <w:lvl w:ilvl="0">
      <w:start w:val="12"/>
      <w:numFmt w:val="bullet"/>
      <w:lvlText w:val="-"/>
      <w:lvlJc w:val="left"/>
      <w:pPr>
        <w:ind w:left="1170" w:hanging="360"/>
      </w:pPr>
      <w:rPr>
        <w:rFonts w:ascii="Arial" w:eastAsia="Arial" w:hAnsi="Arial" w:cs="Arial"/>
      </w:rPr>
    </w:lvl>
    <w:lvl w:ilvl="1">
      <w:start w:val="12"/>
      <w:numFmt w:val="bullet"/>
      <w:lvlText w:val="-"/>
      <w:lvlJc w:val="left"/>
      <w:pPr>
        <w:ind w:left="1890" w:hanging="360"/>
      </w:pPr>
      <w:rPr>
        <w:rFonts w:ascii="Arial" w:eastAsia="Arial" w:hAnsi="Arial" w:cs="Arial"/>
      </w:rPr>
    </w:lvl>
    <w:lvl w:ilvl="2">
      <w:start w:val="1"/>
      <w:numFmt w:val="bullet"/>
      <w:lvlText w:val="▪"/>
      <w:lvlJc w:val="left"/>
      <w:pPr>
        <w:ind w:left="2610" w:hanging="360"/>
      </w:pPr>
      <w:rPr>
        <w:rFonts w:ascii="Noto Sans Symbols" w:eastAsia="Noto Sans Symbols" w:hAnsi="Noto Sans Symbols" w:cs="Noto Sans Symbols"/>
      </w:rPr>
    </w:lvl>
    <w:lvl w:ilvl="3">
      <w:start w:val="1"/>
      <w:numFmt w:val="bullet"/>
      <w:lvlText w:val="●"/>
      <w:lvlJc w:val="left"/>
      <w:pPr>
        <w:ind w:left="3330" w:hanging="360"/>
      </w:pPr>
      <w:rPr>
        <w:rFonts w:ascii="Noto Sans Symbols" w:eastAsia="Noto Sans Symbols" w:hAnsi="Noto Sans Symbols" w:cs="Noto Sans Symbols"/>
      </w:rPr>
    </w:lvl>
    <w:lvl w:ilvl="4">
      <w:start w:val="1"/>
      <w:numFmt w:val="bullet"/>
      <w:lvlText w:val="o"/>
      <w:lvlJc w:val="left"/>
      <w:pPr>
        <w:ind w:left="4050" w:hanging="360"/>
      </w:pPr>
      <w:rPr>
        <w:rFonts w:ascii="Courier New" w:eastAsia="Courier New" w:hAnsi="Courier New" w:cs="Courier New"/>
      </w:rPr>
    </w:lvl>
    <w:lvl w:ilvl="5">
      <w:start w:val="1"/>
      <w:numFmt w:val="bullet"/>
      <w:lvlText w:val="▪"/>
      <w:lvlJc w:val="left"/>
      <w:pPr>
        <w:ind w:left="4770" w:hanging="360"/>
      </w:pPr>
      <w:rPr>
        <w:rFonts w:ascii="Noto Sans Symbols" w:eastAsia="Noto Sans Symbols" w:hAnsi="Noto Sans Symbols" w:cs="Noto Sans Symbols"/>
      </w:rPr>
    </w:lvl>
    <w:lvl w:ilvl="6">
      <w:start w:val="1"/>
      <w:numFmt w:val="bullet"/>
      <w:lvlText w:val="●"/>
      <w:lvlJc w:val="left"/>
      <w:pPr>
        <w:ind w:left="5490" w:hanging="360"/>
      </w:pPr>
      <w:rPr>
        <w:rFonts w:ascii="Noto Sans Symbols" w:eastAsia="Noto Sans Symbols" w:hAnsi="Noto Sans Symbols" w:cs="Noto Sans Symbols"/>
      </w:rPr>
    </w:lvl>
    <w:lvl w:ilvl="7">
      <w:start w:val="1"/>
      <w:numFmt w:val="bullet"/>
      <w:lvlText w:val="o"/>
      <w:lvlJc w:val="left"/>
      <w:pPr>
        <w:ind w:left="6210" w:hanging="360"/>
      </w:pPr>
      <w:rPr>
        <w:rFonts w:ascii="Courier New" w:eastAsia="Courier New" w:hAnsi="Courier New" w:cs="Courier New"/>
      </w:rPr>
    </w:lvl>
    <w:lvl w:ilvl="8">
      <w:start w:val="1"/>
      <w:numFmt w:val="bullet"/>
      <w:lvlText w:val="▪"/>
      <w:lvlJc w:val="left"/>
      <w:pPr>
        <w:ind w:left="6930" w:hanging="360"/>
      </w:pPr>
      <w:rPr>
        <w:rFonts w:ascii="Noto Sans Symbols" w:eastAsia="Noto Sans Symbols" w:hAnsi="Noto Sans Symbols" w:cs="Noto Sans Symbols"/>
      </w:rPr>
    </w:lvl>
  </w:abstractNum>
  <w:abstractNum w:abstractNumId="12" w15:restartNumberingAfterBreak="0">
    <w:nsid w:val="0000000C"/>
    <w:multiLevelType w:val="hybridMultilevel"/>
    <w:tmpl w:val="9DB2502A"/>
    <w:lvl w:ilvl="0" w:tplc="D6FAE9F2">
      <w:start w:val="41"/>
      <w:numFmt w:val="bullet"/>
      <w:pStyle w:val="Frecciasinistra6sopra"/>
      <w:lvlText w:val="-"/>
      <w:lvlJc w:val="left"/>
      <w:pPr>
        <w:ind w:left="360" w:hanging="360"/>
      </w:pPr>
      <w:rPr>
        <w:rFonts w:ascii="Arial Narrow" w:eastAsia="Times New Roman" w:hAnsi="Arial Narrow" w:cs="Times New Roman" w:hint="default"/>
      </w:rPr>
    </w:lvl>
    <w:lvl w:ilvl="1" w:tplc="04100003">
      <w:start w:val="1"/>
      <w:numFmt w:val="bullet"/>
      <w:lvlText w:val="o"/>
      <w:lvlJc w:val="left"/>
      <w:pPr>
        <w:tabs>
          <w:tab w:val="left" w:pos="1610"/>
        </w:tabs>
        <w:ind w:left="1610" w:hanging="360"/>
      </w:pPr>
      <w:rPr>
        <w:rFonts w:ascii="Courier New" w:hAnsi="Courier New" w:cs="Courier New" w:hint="default"/>
      </w:rPr>
    </w:lvl>
    <w:lvl w:ilvl="2" w:tplc="04100005" w:tentative="1">
      <w:start w:val="1"/>
      <w:numFmt w:val="bullet"/>
      <w:lvlText w:val=""/>
      <w:lvlJc w:val="left"/>
      <w:pPr>
        <w:tabs>
          <w:tab w:val="left" w:pos="2330"/>
        </w:tabs>
        <w:ind w:left="2330" w:hanging="360"/>
      </w:pPr>
      <w:rPr>
        <w:rFonts w:ascii="Wingdings" w:hAnsi="Wingdings" w:hint="default"/>
      </w:rPr>
    </w:lvl>
    <w:lvl w:ilvl="3" w:tplc="04100001" w:tentative="1">
      <w:start w:val="1"/>
      <w:numFmt w:val="bullet"/>
      <w:lvlText w:val=""/>
      <w:lvlJc w:val="left"/>
      <w:pPr>
        <w:tabs>
          <w:tab w:val="left" w:pos="3050"/>
        </w:tabs>
        <w:ind w:left="3050" w:hanging="360"/>
      </w:pPr>
      <w:rPr>
        <w:rFonts w:ascii="Symbol" w:hAnsi="Symbol" w:hint="default"/>
      </w:rPr>
    </w:lvl>
    <w:lvl w:ilvl="4" w:tplc="04100003" w:tentative="1">
      <w:start w:val="1"/>
      <w:numFmt w:val="bullet"/>
      <w:lvlText w:val="o"/>
      <w:lvlJc w:val="left"/>
      <w:pPr>
        <w:tabs>
          <w:tab w:val="left" w:pos="3770"/>
        </w:tabs>
        <w:ind w:left="3770" w:hanging="360"/>
      </w:pPr>
      <w:rPr>
        <w:rFonts w:ascii="Courier New" w:hAnsi="Courier New" w:cs="Courier New" w:hint="default"/>
      </w:rPr>
    </w:lvl>
    <w:lvl w:ilvl="5" w:tplc="04100005" w:tentative="1">
      <w:start w:val="1"/>
      <w:numFmt w:val="bullet"/>
      <w:lvlText w:val=""/>
      <w:lvlJc w:val="left"/>
      <w:pPr>
        <w:tabs>
          <w:tab w:val="left" w:pos="4490"/>
        </w:tabs>
        <w:ind w:left="4490" w:hanging="360"/>
      </w:pPr>
      <w:rPr>
        <w:rFonts w:ascii="Wingdings" w:hAnsi="Wingdings" w:hint="default"/>
      </w:rPr>
    </w:lvl>
    <w:lvl w:ilvl="6" w:tplc="04100001" w:tentative="1">
      <w:start w:val="1"/>
      <w:numFmt w:val="bullet"/>
      <w:lvlText w:val=""/>
      <w:lvlJc w:val="left"/>
      <w:pPr>
        <w:tabs>
          <w:tab w:val="left" w:pos="5210"/>
        </w:tabs>
        <w:ind w:left="5210" w:hanging="360"/>
      </w:pPr>
      <w:rPr>
        <w:rFonts w:ascii="Symbol" w:hAnsi="Symbol" w:hint="default"/>
      </w:rPr>
    </w:lvl>
    <w:lvl w:ilvl="7" w:tplc="04100003" w:tentative="1">
      <w:start w:val="1"/>
      <w:numFmt w:val="bullet"/>
      <w:lvlText w:val="o"/>
      <w:lvlJc w:val="left"/>
      <w:pPr>
        <w:tabs>
          <w:tab w:val="left" w:pos="5930"/>
        </w:tabs>
        <w:ind w:left="5930" w:hanging="360"/>
      </w:pPr>
      <w:rPr>
        <w:rFonts w:ascii="Courier New" w:hAnsi="Courier New" w:cs="Courier New" w:hint="default"/>
      </w:rPr>
    </w:lvl>
    <w:lvl w:ilvl="8" w:tplc="04100005" w:tentative="1">
      <w:start w:val="1"/>
      <w:numFmt w:val="bullet"/>
      <w:lvlText w:val=""/>
      <w:lvlJc w:val="left"/>
      <w:pPr>
        <w:tabs>
          <w:tab w:val="left" w:pos="6650"/>
        </w:tabs>
        <w:ind w:left="6650" w:hanging="360"/>
      </w:pPr>
      <w:rPr>
        <w:rFonts w:ascii="Wingdings" w:hAnsi="Wingdings" w:hint="default"/>
      </w:rPr>
    </w:lvl>
  </w:abstractNum>
  <w:abstractNum w:abstractNumId="13" w15:restartNumberingAfterBreak="0">
    <w:nsid w:val="0000000D"/>
    <w:multiLevelType w:val="hybridMultilevel"/>
    <w:tmpl w:val="09C6487A"/>
    <w:lvl w:ilvl="0" w:tplc="FFFFFFFF">
      <w:start w:val="1"/>
      <w:numFmt w:val="decimal"/>
      <w:pStyle w:val="Paragraph"/>
      <w:lvlText w:val="%1."/>
      <w:lvlJc w:val="left"/>
      <w:pPr>
        <w:tabs>
          <w:tab w:val="left" w:pos="360"/>
        </w:tabs>
        <w:ind w:left="0" w:firstLine="0"/>
      </w:pPr>
      <w:rPr>
        <w:rFonts w:ascii="Arial" w:hAnsi="Arial" w:hint="default"/>
        <w:b w:val="0"/>
        <w:i w:val="0"/>
        <w:caps w:val="0"/>
        <w:vanish w:val="0"/>
        <w:color w:val="auto"/>
        <w:sz w:val="22"/>
        <w:vertAlign w:val="baseline"/>
        <w14:shadow w14:blurRad="0" w14:dist="0" w14:dir="0" w14:sx="0" w14:sy="0" w14:kx="0" w14:ky="0" w14:algn="none">
          <w14:srgbClr w14:val="000000"/>
        </w14:shadow>
        <w14:textOutline w14:w="0" w14:cap="flat" w14:cmpd="sng" w14:algn="ctr">
          <w14:noFill/>
          <w14:prstDash w14:val="solid"/>
          <w14:bevel/>
        </w14:textOutline>
      </w:rPr>
    </w:lvl>
    <w:lvl w:ilvl="1" w:tplc="8E20C756">
      <w:start w:val="1"/>
      <w:numFmt w:val="lowerRoman"/>
      <w:lvlText w:val="(%2)"/>
      <w:lvlJc w:val="right"/>
      <w:pPr>
        <w:tabs>
          <w:tab w:val="left" w:pos="1260"/>
        </w:tabs>
        <w:ind w:left="1260" w:hanging="180"/>
      </w:pPr>
      <w:rPr>
        <w:rFonts w:hint="default"/>
        <w:b w:val="0"/>
        <w:i w:val="0"/>
        <w:caps w:val="0"/>
        <w:vanish w:val="0"/>
        <w:color w:val="auto"/>
        <w:sz w:val="22"/>
        <w:vertAlign w:val="baseline"/>
        <w14:shadow w14:blurRad="0" w14:dist="0" w14:dir="0" w14:sx="0" w14:sy="0" w14:kx="0" w14:ky="0" w14:algn="none">
          <w14:srgbClr w14:val="000000"/>
        </w14:shadow>
        <w14:textOutline w14:w="0" w14:cap="flat" w14:cmpd="sng" w14:algn="ctr">
          <w14:noFill/>
          <w14:prstDash w14:val="solid"/>
          <w14:bevel/>
        </w14:textOutline>
      </w:rPr>
    </w:lvl>
    <w:lvl w:ilvl="2" w:tplc="3FD06AC2">
      <w:start w:val="1"/>
      <w:numFmt w:val="decimal"/>
      <w:lvlText w:val="%3."/>
      <w:lvlJc w:val="left"/>
      <w:pPr>
        <w:tabs>
          <w:tab w:val="left" w:pos="720"/>
        </w:tabs>
        <w:ind w:left="2340" w:hanging="360"/>
      </w:pPr>
      <w:rPr>
        <w:rFonts w:hint="default"/>
        <w:b w:val="0"/>
        <w:i w:val="0"/>
        <w:caps w:val="0"/>
        <w:vanish w:val="0"/>
        <w:color w:val="auto"/>
        <w:sz w:val="22"/>
        <w:vertAlign w:val="baseline"/>
        <w14:shadow w14:blurRad="0" w14:dist="0" w14:dir="0" w14:sx="0" w14:sy="0" w14:kx="0" w14:ky="0" w14:algn="none">
          <w14:srgbClr w14:val="000000"/>
        </w14:shadow>
        <w14:textOutline w14:w="0" w14:cap="flat" w14:cmpd="sng" w14:algn="ctr">
          <w14:noFill/>
          <w14:prstDash w14:val="solid"/>
          <w14:bevel/>
        </w14:textOutline>
      </w:rPr>
    </w:lvl>
    <w:lvl w:ilvl="3" w:tplc="F954A550" w:tentative="1">
      <w:start w:val="1"/>
      <w:numFmt w:val="decimal"/>
      <w:lvlText w:val="%4."/>
      <w:lvlJc w:val="left"/>
      <w:pPr>
        <w:tabs>
          <w:tab w:val="left" w:pos="2880"/>
        </w:tabs>
        <w:ind w:left="2880" w:hanging="360"/>
      </w:pPr>
    </w:lvl>
    <w:lvl w:ilvl="4" w:tplc="7EBEA6EE" w:tentative="1">
      <w:start w:val="1"/>
      <w:numFmt w:val="lowerLetter"/>
      <w:lvlText w:val="%5."/>
      <w:lvlJc w:val="left"/>
      <w:pPr>
        <w:tabs>
          <w:tab w:val="left" w:pos="3600"/>
        </w:tabs>
        <w:ind w:left="3600" w:hanging="360"/>
      </w:pPr>
    </w:lvl>
    <w:lvl w:ilvl="5" w:tplc="9280A9A2" w:tentative="1">
      <w:start w:val="1"/>
      <w:numFmt w:val="lowerRoman"/>
      <w:lvlText w:val="%6."/>
      <w:lvlJc w:val="right"/>
      <w:pPr>
        <w:tabs>
          <w:tab w:val="left" w:pos="4320"/>
        </w:tabs>
        <w:ind w:left="4320" w:hanging="180"/>
      </w:pPr>
    </w:lvl>
    <w:lvl w:ilvl="6" w:tplc="368E3F4A" w:tentative="1">
      <w:start w:val="1"/>
      <w:numFmt w:val="decimal"/>
      <w:lvlText w:val="%7."/>
      <w:lvlJc w:val="left"/>
      <w:pPr>
        <w:tabs>
          <w:tab w:val="left" w:pos="5040"/>
        </w:tabs>
        <w:ind w:left="5040" w:hanging="360"/>
      </w:pPr>
    </w:lvl>
    <w:lvl w:ilvl="7" w:tplc="57024422" w:tentative="1">
      <w:start w:val="1"/>
      <w:numFmt w:val="lowerLetter"/>
      <w:lvlText w:val="%8."/>
      <w:lvlJc w:val="left"/>
      <w:pPr>
        <w:tabs>
          <w:tab w:val="left" w:pos="5760"/>
        </w:tabs>
        <w:ind w:left="5760" w:hanging="360"/>
      </w:pPr>
    </w:lvl>
    <w:lvl w:ilvl="8" w:tplc="34AAD17A" w:tentative="1">
      <w:start w:val="1"/>
      <w:numFmt w:val="lowerRoman"/>
      <w:lvlText w:val="%9."/>
      <w:lvlJc w:val="right"/>
      <w:pPr>
        <w:tabs>
          <w:tab w:val="left" w:pos="6480"/>
        </w:tabs>
        <w:ind w:left="6480" w:hanging="180"/>
      </w:pPr>
    </w:lvl>
  </w:abstractNum>
  <w:abstractNum w:abstractNumId="14" w15:restartNumberingAfterBreak="0">
    <w:nsid w:val="0000000E"/>
    <w:multiLevelType w:val="hybridMultilevel"/>
    <w:tmpl w:val="CE702A0A"/>
    <w:lvl w:ilvl="0" w:tplc="05587378">
      <w:start w:val="1"/>
      <w:numFmt w:val="bullet"/>
      <w:pStyle w:val="BulletinTable"/>
      <w:lvlText w:val=""/>
      <w:lvlJc w:val="left"/>
      <w:pPr>
        <w:ind w:left="720" w:hanging="360"/>
      </w:pPr>
      <w:rPr>
        <w:rFonts w:ascii="Symbol" w:hAnsi="Symbol" w:hint="default"/>
      </w:rPr>
    </w:lvl>
    <w:lvl w:ilvl="1" w:tplc="8E94571C">
      <w:start w:val="1"/>
      <w:numFmt w:val="bullet"/>
      <w:lvlText w:val="-"/>
      <w:lvlJc w:val="left"/>
      <w:pPr>
        <w:ind w:left="1440" w:hanging="360"/>
      </w:pPr>
      <w:rPr>
        <w:rFonts w:ascii="Arial" w:hAnsi="Arial" w:hint="default"/>
      </w:rPr>
    </w:lvl>
    <w:lvl w:ilvl="2" w:tplc="20000005" w:tentative="1">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000000F"/>
    <w:multiLevelType w:val="hybridMultilevel"/>
    <w:tmpl w:val="F86AC12C"/>
    <w:lvl w:ilvl="0" w:tplc="58FA0A78">
      <w:start w:val="1"/>
      <w:numFmt w:val="bullet"/>
      <w:pStyle w:val="DashList"/>
      <w:lvlText w:val=""/>
      <w:lvlJc w:val="left"/>
      <w:pPr>
        <w:ind w:left="833" w:hanging="360"/>
      </w:pPr>
      <w:rPr>
        <w:rFonts w:ascii="Symbol" w:eastAsia="Symbol" w:hAnsi="Symbol" w:cs="Symbol" w:hint="default"/>
        <w:b w:val="0"/>
        <w:bCs w:val="0"/>
        <w:i w:val="0"/>
        <w:iCs w:val="0"/>
        <w:w w:val="100"/>
        <w:sz w:val="20"/>
        <w:szCs w:val="20"/>
        <w:lang w:val="ru-RU" w:eastAsia="en-US" w:bidi="ar-SA"/>
      </w:rPr>
    </w:lvl>
    <w:lvl w:ilvl="1" w:tplc="04190003">
      <w:start w:val="1"/>
      <w:numFmt w:val="bullet"/>
      <w:lvlText w:val="o"/>
      <w:lvlJc w:val="left"/>
      <w:pPr>
        <w:ind w:left="1553" w:hanging="360"/>
      </w:pPr>
      <w:rPr>
        <w:rFonts w:ascii="Courier New" w:hAnsi="Courier New" w:cs="Courier New" w:hint="default"/>
      </w:rPr>
    </w:lvl>
    <w:lvl w:ilvl="2" w:tplc="04190005">
      <w:start w:val="1"/>
      <w:numFmt w:val="bullet"/>
      <w:lvlText w:val=""/>
      <w:lvlJc w:val="left"/>
      <w:pPr>
        <w:ind w:left="2273" w:hanging="360"/>
      </w:pPr>
      <w:rPr>
        <w:rFonts w:ascii="Wingdings" w:hAnsi="Wingdings" w:hint="default"/>
      </w:rPr>
    </w:lvl>
    <w:lvl w:ilvl="3" w:tplc="04190001">
      <w:start w:val="1"/>
      <w:numFmt w:val="bullet"/>
      <w:lvlText w:val=""/>
      <w:lvlJc w:val="left"/>
      <w:pPr>
        <w:ind w:left="2993" w:hanging="360"/>
      </w:pPr>
      <w:rPr>
        <w:rFonts w:ascii="Symbol" w:hAnsi="Symbol" w:hint="default"/>
      </w:rPr>
    </w:lvl>
    <w:lvl w:ilvl="4" w:tplc="04190003">
      <w:start w:val="1"/>
      <w:numFmt w:val="bullet"/>
      <w:lvlText w:val="o"/>
      <w:lvlJc w:val="left"/>
      <w:pPr>
        <w:ind w:left="3713" w:hanging="360"/>
      </w:pPr>
      <w:rPr>
        <w:rFonts w:ascii="Courier New" w:hAnsi="Courier New" w:cs="Courier New" w:hint="default"/>
      </w:rPr>
    </w:lvl>
    <w:lvl w:ilvl="5" w:tplc="04190005">
      <w:start w:val="1"/>
      <w:numFmt w:val="bullet"/>
      <w:lvlText w:val=""/>
      <w:lvlJc w:val="left"/>
      <w:pPr>
        <w:ind w:left="4433" w:hanging="360"/>
      </w:pPr>
      <w:rPr>
        <w:rFonts w:ascii="Wingdings" w:hAnsi="Wingdings" w:hint="default"/>
      </w:rPr>
    </w:lvl>
    <w:lvl w:ilvl="6" w:tplc="04190001">
      <w:start w:val="1"/>
      <w:numFmt w:val="bullet"/>
      <w:lvlText w:val=""/>
      <w:lvlJc w:val="left"/>
      <w:pPr>
        <w:ind w:left="5153" w:hanging="360"/>
      </w:pPr>
      <w:rPr>
        <w:rFonts w:ascii="Symbol" w:hAnsi="Symbol" w:hint="default"/>
      </w:rPr>
    </w:lvl>
    <w:lvl w:ilvl="7" w:tplc="04190003">
      <w:start w:val="1"/>
      <w:numFmt w:val="bullet"/>
      <w:lvlText w:val="o"/>
      <w:lvlJc w:val="left"/>
      <w:pPr>
        <w:ind w:left="5873" w:hanging="360"/>
      </w:pPr>
      <w:rPr>
        <w:rFonts w:ascii="Courier New" w:hAnsi="Courier New" w:cs="Courier New" w:hint="default"/>
      </w:rPr>
    </w:lvl>
    <w:lvl w:ilvl="8" w:tplc="04190005">
      <w:start w:val="1"/>
      <w:numFmt w:val="bullet"/>
      <w:lvlText w:val=""/>
      <w:lvlJc w:val="left"/>
      <w:pPr>
        <w:ind w:left="6593" w:hanging="360"/>
      </w:pPr>
      <w:rPr>
        <w:rFonts w:ascii="Wingdings" w:hAnsi="Wingdings" w:hint="default"/>
      </w:rPr>
    </w:lvl>
  </w:abstractNum>
  <w:abstractNum w:abstractNumId="16" w15:restartNumberingAfterBreak="0">
    <w:nsid w:val="00000010"/>
    <w:multiLevelType w:val="hybridMultilevel"/>
    <w:tmpl w:val="29D896A0"/>
    <w:lvl w:ilvl="0" w:tplc="12F6E038">
      <w:start w:val="1"/>
      <w:numFmt w:val="lowerLetter"/>
      <w:pStyle w:val="letterlistasmall"/>
      <w:lvlText w:val="%1."/>
      <w:lvlJc w:val="left"/>
      <w:rPr>
        <w:rFonts w:hint="default"/>
      </w:rPr>
    </w:lvl>
    <w:lvl w:ilvl="1" w:tplc="0C6CE0B8">
      <w:start w:val="1"/>
      <w:numFmt w:val="decimal"/>
      <w:lvlText w:val=""/>
      <w:lvlJc w:val="left"/>
    </w:lvl>
    <w:lvl w:ilvl="2" w:tplc="A914E98C">
      <w:start w:val="1"/>
      <w:numFmt w:val="decimal"/>
      <w:lvlText w:val=""/>
      <w:lvlJc w:val="left"/>
    </w:lvl>
    <w:lvl w:ilvl="3" w:tplc="4B8A8388">
      <w:start w:val="1"/>
      <w:numFmt w:val="decimal"/>
      <w:lvlText w:val=""/>
      <w:lvlJc w:val="left"/>
    </w:lvl>
    <w:lvl w:ilvl="4" w:tplc="82488F68">
      <w:start w:val="1"/>
      <w:numFmt w:val="decimal"/>
      <w:lvlText w:val=""/>
      <w:lvlJc w:val="left"/>
    </w:lvl>
    <w:lvl w:ilvl="5" w:tplc="300201CC">
      <w:start w:val="1"/>
      <w:numFmt w:val="decimal"/>
      <w:lvlText w:val=""/>
      <w:lvlJc w:val="left"/>
    </w:lvl>
    <w:lvl w:ilvl="6" w:tplc="378A1470">
      <w:start w:val="1"/>
      <w:numFmt w:val="decimal"/>
      <w:lvlText w:val=""/>
      <w:lvlJc w:val="left"/>
    </w:lvl>
    <w:lvl w:ilvl="7" w:tplc="5E1855E4">
      <w:start w:val="1"/>
      <w:numFmt w:val="decimal"/>
      <w:lvlText w:val=""/>
      <w:lvlJc w:val="left"/>
    </w:lvl>
    <w:lvl w:ilvl="8" w:tplc="A2D2D566">
      <w:start w:val="1"/>
      <w:numFmt w:val="decimal"/>
      <w:lvlText w:val=""/>
      <w:lvlJc w:val="left"/>
    </w:lvl>
  </w:abstractNum>
  <w:abstractNum w:abstractNumId="17" w15:restartNumberingAfterBreak="0">
    <w:nsid w:val="00000011"/>
    <w:multiLevelType w:val="multilevel"/>
    <w:tmpl w:val="406CBDDE"/>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18" w15:restartNumberingAfterBreak="0">
    <w:nsid w:val="00000012"/>
    <w:multiLevelType w:val="hybridMultilevel"/>
    <w:tmpl w:val="DA34A688"/>
    <w:lvl w:ilvl="0" w:tplc="36885F60">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38A22076">
      <w:start w:val="1"/>
      <w:numFmt w:val="bullet"/>
      <w:lvlText w:val="•"/>
      <w:lvlJc w:val="left"/>
      <w:pPr>
        <w:ind w:left="754" w:hanging="360"/>
      </w:pPr>
      <w:rPr>
        <w:rFonts w:hint="default"/>
        <w:lang w:val="en-US" w:eastAsia="en-US" w:bidi="ar-SA"/>
      </w:rPr>
    </w:lvl>
    <w:lvl w:ilvl="2" w:tplc="BBB21F66">
      <w:start w:val="1"/>
      <w:numFmt w:val="bullet"/>
      <w:lvlText w:val="•"/>
      <w:lvlJc w:val="left"/>
      <w:pPr>
        <w:ind w:left="1048" w:hanging="360"/>
      </w:pPr>
      <w:rPr>
        <w:rFonts w:hint="default"/>
        <w:lang w:val="en-US" w:eastAsia="en-US" w:bidi="ar-SA"/>
      </w:rPr>
    </w:lvl>
    <w:lvl w:ilvl="3" w:tplc="FD2AC606">
      <w:start w:val="1"/>
      <w:numFmt w:val="bullet"/>
      <w:lvlText w:val="•"/>
      <w:lvlJc w:val="left"/>
      <w:pPr>
        <w:ind w:left="1342" w:hanging="360"/>
      </w:pPr>
      <w:rPr>
        <w:rFonts w:hint="default"/>
        <w:lang w:val="en-US" w:eastAsia="en-US" w:bidi="ar-SA"/>
      </w:rPr>
    </w:lvl>
    <w:lvl w:ilvl="4" w:tplc="7278EB8E">
      <w:start w:val="1"/>
      <w:numFmt w:val="bullet"/>
      <w:lvlText w:val="•"/>
      <w:lvlJc w:val="left"/>
      <w:pPr>
        <w:ind w:left="1637" w:hanging="360"/>
      </w:pPr>
      <w:rPr>
        <w:rFonts w:hint="default"/>
        <w:lang w:val="en-US" w:eastAsia="en-US" w:bidi="ar-SA"/>
      </w:rPr>
    </w:lvl>
    <w:lvl w:ilvl="5" w:tplc="250465E2">
      <w:start w:val="1"/>
      <w:numFmt w:val="bullet"/>
      <w:lvlText w:val="•"/>
      <w:lvlJc w:val="left"/>
      <w:pPr>
        <w:ind w:left="1931" w:hanging="360"/>
      </w:pPr>
      <w:rPr>
        <w:rFonts w:hint="default"/>
        <w:lang w:val="en-US" w:eastAsia="en-US" w:bidi="ar-SA"/>
      </w:rPr>
    </w:lvl>
    <w:lvl w:ilvl="6" w:tplc="25C44A32">
      <w:start w:val="1"/>
      <w:numFmt w:val="bullet"/>
      <w:lvlText w:val="•"/>
      <w:lvlJc w:val="left"/>
      <w:pPr>
        <w:ind w:left="2225" w:hanging="360"/>
      </w:pPr>
      <w:rPr>
        <w:rFonts w:hint="default"/>
        <w:lang w:val="en-US" w:eastAsia="en-US" w:bidi="ar-SA"/>
      </w:rPr>
    </w:lvl>
    <w:lvl w:ilvl="7" w:tplc="C8C60308">
      <w:start w:val="1"/>
      <w:numFmt w:val="bullet"/>
      <w:lvlText w:val="•"/>
      <w:lvlJc w:val="left"/>
      <w:pPr>
        <w:ind w:left="2520" w:hanging="360"/>
      </w:pPr>
      <w:rPr>
        <w:rFonts w:hint="default"/>
        <w:lang w:val="en-US" w:eastAsia="en-US" w:bidi="ar-SA"/>
      </w:rPr>
    </w:lvl>
    <w:lvl w:ilvl="8" w:tplc="C95A2AAC">
      <w:start w:val="1"/>
      <w:numFmt w:val="bullet"/>
      <w:lvlText w:val="•"/>
      <w:lvlJc w:val="left"/>
      <w:pPr>
        <w:ind w:left="2814" w:hanging="360"/>
      </w:pPr>
      <w:rPr>
        <w:rFonts w:hint="default"/>
        <w:lang w:val="en-US" w:eastAsia="en-US" w:bidi="ar-SA"/>
      </w:rPr>
    </w:lvl>
  </w:abstractNum>
  <w:abstractNum w:abstractNumId="19" w15:restartNumberingAfterBreak="0">
    <w:nsid w:val="00000014"/>
    <w:multiLevelType w:val="hybridMultilevel"/>
    <w:tmpl w:val="E20C9CCC"/>
    <w:lvl w:ilvl="0" w:tplc="04190001">
      <w:start w:val="1"/>
      <w:numFmt w:val="bullet"/>
      <w:lvlText w:val=""/>
      <w:lvlJc w:val="left"/>
      <w:pPr>
        <w:ind w:left="1287" w:hanging="360"/>
      </w:pPr>
      <w:rPr>
        <w:rFonts w:ascii="Symbol" w:hAnsi="Symbol" w:hint="default"/>
      </w:rPr>
    </w:lvl>
    <w:lvl w:ilvl="1" w:tplc="CA6E7D74">
      <w:start w:val="1"/>
      <w:numFmt w:val="bullet"/>
      <w:pStyle w:val="Cirlce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15:restartNumberingAfterBreak="0">
    <w:nsid w:val="00000015"/>
    <w:multiLevelType w:val="hybridMultilevel"/>
    <w:tmpl w:val="DB1E9C2C"/>
    <w:lvl w:ilvl="0" w:tplc="D3E22F0A">
      <w:start w:val="1"/>
      <w:numFmt w:val="bullet"/>
      <w:pStyle w:val="diamondbullet14pt02tab"/>
      <w:lvlText w:val=""/>
      <w:lvlJc w:val="left"/>
      <w:pPr>
        <w:ind w:left="720" w:hanging="360"/>
      </w:pPr>
      <w:rPr>
        <w:rFonts w:ascii="Wingdings" w:hAnsi="Wingdings" w:hint="default"/>
      </w:rPr>
    </w:lvl>
    <w:lvl w:ilvl="1" w:tplc="042F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0000018"/>
    <w:multiLevelType w:val="multilevel"/>
    <w:tmpl w:val="588A1C20"/>
    <w:lvl w:ilvl="0">
      <w:start w:val="1"/>
      <w:numFmt w:val="upperLetter"/>
      <w:pStyle w:val="Sam1"/>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00000019"/>
    <w:multiLevelType w:val="hybridMultilevel"/>
    <w:tmpl w:val="10A6FE7C"/>
    <w:lvl w:ilvl="0" w:tplc="67B89596">
      <w:start w:val="1"/>
      <w:numFmt w:val="bullet"/>
      <w:pStyle w:val="Dash"/>
      <w:lvlText w:val="-"/>
      <w:lvlJc w:val="left"/>
      <w:pPr>
        <w:ind w:left="780" w:hanging="360"/>
      </w:pPr>
      <w:rPr>
        <w:rFonts w:ascii="Arial" w:hAnsi="Arial" w:cs="Times New Roman" w:hint="default"/>
      </w:rPr>
    </w:lvl>
    <w:lvl w:ilvl="1" w:tplc="34090003">
      <w:start w:val="1"/>
      <w:numFmt w:val="bullet"/>
      <w:lvlText w:val="o"/>
      <w:lvlJc w:val="left"/>
      <w:pPr>
        <w:ind w:left="1500" w:hanging="360"/>
      </w:pPr>
      <w:rPr>
        <w:rFonts w:ascii="Courier New" w:hAnsi="Courier New" w:cs="Courier New" w:hint="default"/>
      </w:rPr>
    </w:lvl>
    <w:lvl w:ilvl="2" w:tplc="34090005">
      <w:start w:val="1"/>
      <w:numFmt w:val="bullet"/>
      <w:lvlText w:val=""/>
      <w:lvlJc w:val="left"/>
      <w:pPr>
        <w:ind w:left="2220" w:hanging="360"/>
      </w:pPr>
      <w:rPr>
        <w:rFonts w:ascii="Wingdings" w:hAnsi="Wingdings" w:hint="default"/>
      </w:rPr>
    </w:lvl>
    <w:lvl w:ilvl="3" w:tplc="34090001">
      <w:start w:val="1"/>
      <w:numFmt w:val="bullet"/>
      <w:lvlText w:val=""/>
      <w:lvlJc w:val="left"/>
      <w:pPr>
        <w:ind w:left="2940" w:hanging="360"/>
      </w:pPr>
      <w:rPr>
        <w:rFonts w:ascii="Symbol" w:hAnsi="Symbol" w:hint="default"/>
      </w:rPr>
    </w:lvl>
    <w:lvl w:ilvl="4" w:tplc="34090003">
      <w:start w:val="1"/>
      <w:numFmt w:val="bullet"/>
      <w:lvlText w:val="o"/>
      <w:lvlJc w:val="left"/>
      <w:pPr>
        <w:ind w:left="3660" w:hanging="360"/>
      </w:pPr>
      <w:rPr>
        <w:rFonts w:ascii="Courier New" w:hAnsi="Courier New" w:cs="Courier New" w:hint="default"/>
      </w:rPr>
    </w:lvl>
    <w:lvl w:ilvl="5" w:tplc="34090005">
      <w:start w:val="1"/>
      <w:numFmt w:val="bullet"/>
      <w:lvlText w:val=""/>
      <w:lvlJc w:val="left"/>
      <w:pPr>
        <w:ind w:left="4380" w:hanging="360"/>
      </w:pPr>
      <w:rPr>
        <w:rFonts w:ascii="Wingdings" w:hAnsi="Wingdings" w:hint="default"/>
      </w:rPr>
    </w:lvl>
    <w:lvl w:ilvl="6" w:tplc="34090001">
      <w:start w:val="1"/>
      <w:numFmt w:val="bullet"/>
      <w:lvlText w:val=""/>
      <w:lvlJc w:val="left"/>
      <w:pPr>
        <w:ind w:left="5100" w:hanging="360"/>
      </w:pPr>
      <w:rPr>
        <w:rFonts w:ascii="Symbol" w:hAnsi="Symbol" w:hint="default"/>
      </w:rPr>
    </w:lvl>
    <w:lvl w:ilvl="7" w:tplc="34090003">
      <w:start w:val="1"/>
      <w:numFmt w:val="bullet"/>
      <w:lvlText w:val="o"/>
      <w:lvlJc w:val="left"/>
      <w:pPr>
        <w:ind w:left="5820" w:hanging="360"/>
      </w:pPr>
      <w:rPr>
        <w:rFonts w:ascii="Courier New" w:hAnsi="Courier New" w:cs="Courier New" w:hint="default"/>
      </w:rPr>
    </w:lvl>
    <w:lvl w:ilvl="8" w:tplc="34090005">
      <w:start w:val="1"/>
      <w:numFmt w:val="bullet"/>
      <w:lvlText w:val=""/>
      <w:lvlJc w:val="left"/>
      <w:pPr>
        <w:ind w:left="6540" w:hanging="360"/>
      </w:pPr>
      <w:rPr>
        <w:rFonts w:ascii="Wingdings" w:hAnsi="Wingdings" w:hint="default"/>
      </w:rPr>
    </w:lvl>
  </w:abstractNum>
  <w:abstractNum w:abstractNumId="23" w15:restartNumberingAfterBreak="0">
    <w:nsid w:val="0000001B"/>
    <w:multiLevelType w:val="hybridMultilevel"/>
    <w:tmpl w:val="DED6768A"/>
    <w:lvl w:ilvl="0" w:tplc="FD462922">
      <w:start w:val="1"/>
      <w:numFmt w:val="decimal"/>
      <w:lvlText w:val="%1."/>
      <w:lvlJc w:val="left"/>
      <w:pPr>
        <w:ind w:left="360" w:hanging="360"/>
      </w:pPr>
      <w:rPr>
        <w:b w:val="0"/>
        <w:bCs w:val="0"/>
      </w:rPr>
    </w:lvl>
    <w:lvl w:ilvl="1" w:tplc="04090019">
      <w:start w:val="1"/>
      <w:numFmt w:val="lowerLetter"/>
      <w:lvlText w:val="%2."/>
      <w:lvlJc w:val="left"/>
      <w:pPr>
        <w:ind w:left="720" w:hanging="360"/>
      </w:pPr>
    </w:lvl>
    <w:lvl w:ilvl="2" w:tplc="FFFFFFFF">
      <w:start w:val="1"/>
      <w:numFmt w:val="bullet"/>
      <w:pStyle w:val="BulletinPar"/>
      <w:lvlText w:val=""/>
      <w:lvlJc w:val="left"/>
      <w:pPr>
        <w:ind w:left="5220" w:hanging="360"/>
      </w:pPr>
      <w:rPr>
        <w:rFonts w:ascii="Symbol" w:hAnsi="Symbol" w:hint="default"/>
      </w:rPr>
    </w:lvl>
    <w:lvl w:ilvl="3" w:tplc="0409000F">
      <w:start w:val="1"/>
      <w:numFmt w:val="decimal"/>
      <w:lvlText w:val="%4."/>
      <w:lvlJc w:val="left"/>
      <w:pPr>
        <w:ind w:left="5760" w:hanging="360"/>
      </w:pPr>
    </w:lvl>
    <w:lvl w:ilvl="4" w:tplc="6128B27E">
      <w:start w:val="1"/>
      <w:numFmt w:val="decimal"/>
      <w:lvlText w:val="%5"/>
      <w:lvlJc w:val="left"/>
      <w:pPr>
        <w:ind w:left="6492" w:hanging="372"/>
      </w:pPr>
      <w:rPr>
        <w:rFonts w:hint="default"/>
      </w:rPr>
    </w:lvl>
    <w:lvl w:ilvl="5" w:tplc="249A7D84">
      <w:start w:val="1"/>
      <w:numFmt w:val="upperLetter"/>
      <w:lvlText w:val="%6."/>
      <w:lvlJc w:val="left"/>
      <w:pPr>
        <w:ind w:left="7380" w:hanging="360"/>
      </w:pPr>
      <w:rPr>
        <w:rFonts w:hint="default"/>
      </w:r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15:restartNumberingAfterBreak="0">
    <w:nsid w:val="0000001C"/>
    <w:multiLevelType w:val="hybridMultilevel"/>
    <w:tmpl w:val="215AEE6A"/>
    <w:lvl w:ilvl="0" w:tplc="10E6A084">
      <w:start w:val="1"/>
      <w:numFmt w:val="bullet"/>
      <w:lvlText w:val="•"/>
      <w:lvlJc w:val="left"/>
      <w:pPr>
        <w:ind w:left="461" w:hanging="360"/>
      </w:pPr>
      <w:rPr>
        <w:rFonts w:ascii="Verdana" w:eastAsia="Verdana" w:hAnsi="Verdana" w:cs="Verdana" w:hint="default"/>
        <w:b w:val="0"/>
        <w:bCs w:val="0"/>
        <w:i w:val="0"/>
        <w:iCs w:val="0"/>
        <w:spacing w:val="0"/>
        <w:w w:val="100"/>
        <w:sz w:val="18"/>
        <w:szCs w:val="18"/>
        <w:lang w:val="en-US" w:eastAsia="en-US" w:bidi="ar-SA"/>
      </w:rPr>
    </w:lvl>
    <w:lvl w:ilvl="1" w:tplc="76AAB28E">
      <w:start w:val="1"/>
      <w:numFmt w:val="bullet"/>
      <w:lvlText w:val="•"/>
      <w:lvlJc w:val="left"/>
      <w:pPr>
        <w:ind w:left="999" w:hanging="360"/>
      </w:pPr>
      <w:rPr>
        <w:rFonts w:hint="default"/>
        <w:lang w:val="en-US" w:eastAsia="en-US" w:bidi="ar-SA"/>
      </w:rPr>
    </w:lvl>
    <w:lvl w:ilvl="2" w:tplc="94E230EA">
      <w:start w:val="1"/>
      <w:numFmt w:val="bullet"/>
      <w:lvlText w:val="•"/>
      <w:lvlJc w:val="left"/>
      <w:pPr>
        <w:ind w:left="1539" w:hanging="360"/>
      </w:pPr>
      <w:rPr>
        <w:rFonts w:hint="default"/>
        <w:lang w:val="en-US" w:eastAsia="en-US" w:bidi="ar-SA"/>
      </w:rPr>
    </w:lvl>
    <w:lvl w:ilvl="3" w:tplc="0442D6FE">
      <w:start w:val="1"/>
      <w:numFmt w:val="bullet"/>
      <w:lvlText w:val="•"/>
      <w:lvlJc w:val="left"/>
      <w:pPr>
        <w:ind w:left="2078" w:hanging="360"/>
      </w:pPr>
      <w:rPr>
        <w:rFonts w:hint="default"/>
        <w:lang w:val="en-US" w:eastAsia="en-US" w:bidi="ar-SA"/>
      </w:rPr>
    </w:lvl>
    <w:lvl w:ilvl="4" w:tplc="5C208E4C">
      <w:start w:val="1"/>
      <w:numFmt w:val="bullet"/>
      <w:lvlText w:val="•"/>
      <w:lvlJc w:val="left"/>
      <w:pPr>
        <w:ind w:left="2618" w:hanging="360"/>
      </w:pPr>
      <w:rPr>
        <w:rFonts w:hint="default"/>
        <w:lang w:val="en-US" w:eastAsia="en-US" w:bidi="ar-SA"/>
      </w:rPr>
    </w:lvl>
    <w:lvl w:ilvl="5" w:tplc="66A2ADB0">
      <w:start w:val="1"/>
      <w:numFmt w:val="bullet"/>
      <w:lvlText w:val="•"/>
      <w:lvlJc w:val="left"/>
      <w:pPr>
        <w:ind w:left="3157" w:hanging="360"/>
      </w:pPr>
      <w:rPr>
        <w:rFonts w:hint="default"/>
        <w:lang w:val="en-US" w:eastAsia="en-US" w:bidi="ar-SA"/>
      </w:rPr>
    </w:lvl>
    <w:lvl w:ilvl="6" w:tplc="DEFC2B38">
      <w:start w:val="1"/>
      <w:numFmt w:val="bullet"/>
      <w:lvlText w:val="•"/>
      <w:lvlJc w:val="left"/>
      <w:pPr>
        <w:ind w:left="3697" w:hanging="360"/>
      </w:pPr>
      <w:rPr>
        <w:rFonts w:hint="default"/>
        <w:lang w:val="en-US" w:eastAsia="en-US" w:bidi="ar-SA"/>
      </w:rPr>
    </w:lvl>
    <w:lvl w:ilvl="7" w:tplc="77AEAF06">
      <w:start w:val="1"/>
      <w:numFmt w:val="bullet"/>
      <w:lvlText w:val="•"/>
      <w:lvlJc w:val="left"/>
      <w:pPr>
        <w:ind w:left="4236" w:hanging="360"/>
      </w:pPr>
      <w:rPr>
        <w:rFonts w:hint="default"/>
        <w:lang w:val="en-US" w:eastAsia="en-US" w:bidi="ar-SA"/>
      </w:rPr>
    </w:lvl>
    <w:lvl w:ilvl="8" w:tplc="0576B87A">
      <w:start w:val="1"/>
      <w:numFmt w:val="bullet"/>
      <w:lvlText w:val="•"/>
      <w:lvlJc w:val="left"/>
      <w:pPr>
        <w:ind w:left="4776" w:hanging="360"/>
      </w:pPr>
      <w:rPr>
        <w:rFonts w:hint="default"/>
        <w:lang w:val="en-US" w:eastAsia="en-US" w:bidi="ar-SA"/>
      </w:rPr>
    </w:lvl>
  </w:abstractNum>
  <w:abstractNum w:abstractNumId="25" w15:restartNumberingAfterBreak="0">
    <w:nsid w:val="0000001E"/>
    <w:multiLevelType w:val="hybridMultilevel"/>
    <w:tmpl w:val="73285500"/>
    <w:lvl w:ilvl="0" w:tplc="7520E950">
      <w:start w:val="1"/>
      <w:numFmt w:val="decimal"/>
      <w:pStyle w:val="Numberinpara"/>
      <w:lvlText w:val="%1."/>
      <w:lvlJc w:val="left"/>
      <w:pPr>
        <w:ind w:left="990" w:hanging="360"/>
      </w:pPr>
      <w:rPr>
        <w:rFonts w:ascii="Arial" w:hAnsi="Arial" w:cs="Calibri" w:hint="default"/>
        <w:b w:val="0"/>
        <w:bCs/>
        <w:i w:val="0"/>
        <w:color w:val="auto"/>
        <w:w w:val="100"/>
        <w:sz w:val="24"/>
        <w:szCs w:val="22"/>
      </w:rPr>
    </w:lvl>
    <w:lvl w:ilvl="1" w:tplc="34090019" w:tentative="1">
      <w:start w:val="1"/>
      <w:numFmt w:val="lowerLetter"/>
      <w:lvlText w:val="%2."/>
      <w:lvlJc w:val="left"/>
      <w:pPr>
        <w:ind w:left="1710" w:hanging="360"/>
      </w:pPr>
    </w:lvl>
    <w:lvl w:ilvl="2" w:tplc="3409001B" w:tentative="1">
      <w:start w:val="1"/>
      <w:numFmt w:val="lowerRoman"/>
      <w:lvlText w:val="%3."/>
      <w:lvlJc w:val="right"/>
      <w:pPr>
        <w:ind w:left="2430" w:hanging="180"/>
      </w:pPr>
    </w:lvl>
    <w:lvl w:ilvl="3" w:tplc="3409000F" w:tentative="1">
      <w:start w:val="1"/>
      <w:numFmt w:val="decimal"/>
      <w:lvlText w:val="%4."/>
      <w:lvlJc w:val="left"/>
      <w:pPr>
        <w:ind w:left="3150" w:hanging="360"/>
      </w:pPr>
    </w:lvl>
    <w:lvl w:ilvl="4" w:tplc="34090019" w:tentative="1">
      <w:start w:val="1"/>
      <w:numFmt w:val="lowerLetter"/>
      <w:lvlText w:val="%5."/>
      <w:lvlJc w:val="left"/>
      <w:pPr>
        <w:ind w:left="3870" w:hanging="360"/>
      </w:pPr>
    </w:lvl>
    <w:lvl w:ilvl="5" w:tplc="3409001B" w:tentative="1">
      <w:start w:val="1"/>
      <w:numFmt w:val="lowerRoman"/>
      <w:lvlText w:val="%6."/>
      <w:lvlJc w:val="right"/>
      <w:pPr>
        <w:ind w:left="4590" w:hanging="180"/>
      </w:pPr>
    </w:lvl>
    <w:lvl w:ilvl="6" w:tplc="3409000F" w:tentative="1">
      <w:start w:val="1"/>
      <w:numFmt w:val="decimal"/>
      <w:lvlText w:val="%7."/>
      <w:lvlJc w:val="left"/>
      <w:pPr>
        <w:ind w:left="5310" w:hanging="360"/>
      </w:pPr>
    </w:lvl>
    <w:lvl w:ilvl="7" w:tplc="34090019" w:tentative="1">
      <w:start w:val="1"/>
      <w:numFmt w:val="lowerLetter"/>
      <w:lvlText w:val="%8."/>
      <w:lvlJc w:val="left"/>
      <w:pPr>
        <w:ind w:left="6030" w:hanging="360"/>
      </w:pPr>
    </w:lvl>
    <w:lvl w:ilvl="8" w:tplc="3409001B" w:tentative="1">
      <w:start w:val="1"/>
      <w:numFmt w:val="lowerRoman"/>
      <w:lvlText w:val="%9."/>
      <w:lvlJc w:val="right"/>
      <w:pPr>
        <w:ind w:left="6750" w:hanging="180"/>
      </w:pPr>
    </w:lvl>
  </w:abstractNum>
  <w:abstractNum w:abstractNumId="26" w15:restartNumberingAfterBreak="0">
    <w:nsid w:val="0000001F"/>
    <w:multiLevelType w:val="hybridMultilevel"/>
    <w:tmpl w:val="68E8F87A"/>
    <w:lvl w:ilvl="0" w:tplc="24A2CA44">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2B16344C">
      <w:start w:val="1"/>
      <w:numFmt w:val="bullet"/>
      <w:lvlText w:val="•"/>
      <w:lvlJc w:val="left"/>
      <w:pPr>
        <w:ind w:left="1464" w:hanging="397"/>
      </w:pPr>
      <w:rPr>
        <w:rFonts w:hint="default"/>
        <w:lang w:val="en-US" w:eastAsia="en-US" w:bidi="ar-SA"/>
      </w:rPr>
    </w:lvl>
    <w:lvl w:ilvl="2" w:tplc="A6BCE598">
      <w:start w:val="1"/>
      <w:numFmt w:val="bullet"/>
      <w:lvlText w:val="•"/>
      <w:lvlJc w:val="left"/>
      <w:pPr>
        <w:ind w:left="2388" w:hanging="397"/>
      </w:pPr>
      <w:rPr>
        <w:rFonts w:hint="default"/>
        <w:lang w:val="en-US" w:eastAsia="en-US" w:bidi="ar-SA"/>
      </w:rPr>
    </w:lvl>
    <w:lvl w:ilvl="3" w:tplc="95184F9E">
      <w:start w:val="1"/>
      <w:numFmt w:val="bullet"/>
      <w:lvlText w:val="•"/>
      <w:lvlJc w:val="left"/>
      <w:pPr>
        <w:ind w:left="3312" w:hanging="397"/>
      </w:pPr>
      <w:rPr>
        <w:rFonts w:hint="default"/>
        <w:lang w:val="en-US" w:eastAsia="en-US" w:bidi="ar-SA"/>
      </w:rPr>
    </w:lvl>
    <w:lvl w:ilvl="4" w:tplc="D8D023D0">
      <w:start w:val="1"/>
      <w:numFmt w:val="bullet"/>
      <w:lvlText w:val="•"/>
      <w:lvlJc w:val="left"/>
      <w:pPr>
        <w:ind w:left="4236" w:hanging="397"/>
      </w:pPr>
      <w:rPr>
        <w:rFonts w:hint="default"/>
        <w:lang w:val="en-US" w:eastAsia="en-US" w:bidi="ar-SA"/>
      </w:rPr>
    </w:lvl>
    <w:lvl w:ilvl="5" w:tplc="31560400">
      <w:start w:val="1"/>
      <w:numFmt w:val="bullet"/>
      <w:lvlText w:val="•"/>
      <w:lvlJc w:val="left"/>
      <w:pPr>
        <w:ind w:left="5160" w:hanging="397"/>
      </w:pPr>
      <w:rPr>
        <w:rFonts w:hint="default"/>
        <w:lang w:val="en-US" w:eastAsia="en-US" w:bidi="ar-SA"/>
      </w:rPr>
    </w:lvl>
    <w:lvl w:ilvl="6" w:tplc="D0A4DF5C">
      <w:start w:val="1"/>
      <w:numFmt w:val="bullet"/>
      <w:lvlText w:val="•"/>
      <w:lvlJc w:val="left"/>
      <w:pPr>
        <w:ind w:left="6084" w:hanging="397"/>
      </w:pPr>
      <w:rPr>
        <w:rFonts w:hint="default"/>
        <w:lang w:val="en-US" w:eastAsia="en-US" w:bidi="ar-SA"/>
      </w:rPr>
    </w:lvl>
    <w:lvl w:ilvl="7" w:tplc="64020712">
      <w:start w:val="1"/>
      <w:numFmt w:val="bullet"/>
      <w:lvlText w:val="•"/>
      <w:lvlJc w:val="left"/>
      <w:pPr>
        <w:ind w:left="7008" w:hanging="397"/>
      </w:pPr>
      <w:rPr>
        <w:rFonts w:hint="default"/>
        <w:lang w:val="en-US" w:eastAsia="en-US" w:bidi="ar-SA"/>
      </w:rPr>
    </w:lvl>
    <w:lvl w:ilvl="8" w:tplc="BB36AE62">
      <w:start w:val="1"/>
      <w:numFmt w:val="bullet"/>
      <w:lvlText w:val="•"/>
      <w:lvlJc w:val="left"/>
      <w:pPr>
        <w:ind w:left="7933" w:hanging="397"/>
      </w:pPr>
      <w:rPr>
        <w:rFonts w:hint="default"/>
        <w:lang w:val="en-US" w:eastAsia="en-US" w:bidi="ar-SA"/>
      </w:rPr>
    </w:lvl>
  </w:abstractNum>
  <w:abstractNum w:abstractNumId="27" w15:restartNumberingAfterBreak="0">
    <w:nsid w:val="00000020"/>
    <w:multiLevelType w:val="hybridMultilevel"/>
    <w:tmpl w:val="C444F17E"/>
    <w:lvl w:ilvl="0" w:tplc="4F0E5F8E">
      <w:start w:val="1"/>
      <w:numFmt w:val="decimal"/>
      <w:pStyle w:val="Bodynumbered"/>
      <w:lvlText w:val="(%1)"/>
      <w:lvlJc w:val="center"/>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00000021"/>
    <w:multiLevelType w:val="multilevel"/>
    <w:tmpl w:val="3E62CABE"/>
    <w:lvl w:ilvl="0">
      <w:start w:val="1"/>
      <w:numFmt w:val="decimal"/>
      <w:pStyle w:val="IRDSPEATitle1"/>
      <w:lvlText w:val="%1."/>
      <w:lvlJc w:val="left"/>
      <w:pPr>
        <w:ind w:left="720" w:hanging="360"/>
      </w:pPr>
      <w:rPr>
        <w:rFonts w:cs="Times New Roman"/>
      </w:rPr>
    </w:lvl>
    <w:lvl w:ilvl="1">
      <w:start w:val="1"/>
      <w:numFmt w:val="decimal"/>
      <w:isLgl/>
      <w:lvlText w:val="%1.%2"/>
      <w:lvlJc w:val="left"/>
      <w:pPr>
        <w:ind w:left="720" w:hanging="360"/>
      </w:pPr>
      <w:rPr>
        <w:rFonts w:cs="Times New Roman"/>
      </w:rPr>
    </w:lvl>
    <w:lvl w:ilvl="2">
      <w:start w:val="1"/>
      <w:numFmt w:val="decimal"/>
      <w:isLgl/>
      <w:lvlText w:val="%1.%2.%3"/>
      <w:lvlJc w:val="left"/>
      <w:pPr>
        <w:ind w:left="1080" w:hanging="720"/>
      </w:pPr>
      <w:rPr>
        <w:rFonts w:ascii="Times New Roman" w:hAnsi="Times New Roman" w:cs="Times New Roman" w:hint="default"/>
      </w:rPr>
    </w:lvl>
    <w:lvl w:ilvl="3">
      <w:start w:val="1"/>
      <w:numFmt w:val="decimal"/>
      <w:pStyle w:val="IRDSPEATitle4"/>
      <w:isLgl/>
      <w:lvlText w:val="%1.%2.%3.%4"/>
      <w:lvlJc w:val="left"/>
      <w:pPr>
        <w:ind w:left="1440" w:hanging="108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800" w:hanging="144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2160" w:hanging="1800"/>
      </w:pPr>
      <w:rPr>
        <w:rFonts w:cs="Times New Roman"/>
      </w:rPr>
    </w:lvl>
    <w:lvl w:ilvl="8">
      <w:start w:val="1"/>
      <w:numFmt w:val="decimal"/>
      <w:isLgl/>
      <w:lvlText w:val="%1.%2.%3.%4.%5.%6.%7.%8.%9"/>
      <w:lvlJc w:val="left"/>
      <w:pPr>
        <w:ind w:left="2160" w:hanging="1800"/>
      </w:pPr>
      <w:rPr>
        <w:rFonts w:cs="Times New Roman"/>
      </w:rPr>
    </w:lvl>
  </w:abstractNum>
  <w:abstractNum w:abstractNumId="29" w15:restartNumberingAfterBreak="0">
    <w:nsid w:val="00000022"/>
    <w:multiLevelType w:val="hybridMultilevel"/>
    <w:tmpl w:val="21CE285C"/>
    <w:lvl w:ilvl="0" w:tplc="CD586060">
      <w:start w:val="1"/>
      <w:numFmt w:val="bullet"/>
      <w:pStyle w:val="Squarelis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30" w15:restartNumberingAfterBreak="0">
    <w:nsid w:val="00000024"/>
    <w:multiLevelType w:val="multilevel"/>
    <w:tmpl w:val="A176AB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0000026"/>
    <w:multiLevelType w:val="hybridMultilevel"/>
    <w:tmpl w:val="989E931C"/>
    <w:lvl w:ilvl="0" w:tplc="36BC3D8C">
      <w:start w:val="1"/>
      <w:numFmt w:val="decimal"/>
      <w:pStyle w:val="Number1"/>
      <w:lvlText w:val="%1)"/>
      <w:lvlJc w:val="left"/>
      <w:pPr>
        <w:ind w:left="720" w:hanging="360"/>
      </w:pPr>
      <w:rPr>
        <w:rFonts w:hint="default"/>
        <w:b w:val="0"/>
        <w:i w:val="0"/>
        <w:sz w:val="24"/>
      </w:rPr>
    </w:lvl>
    <w:lvl w:ilvl="1" w:tplc="B2FAAF02">
      <w:start w:val="2"/>
      <w:numFmt w:val="bullet"/>
      <w:lvlText w:val="-"/>
      <w:lvlJc w:val="left"/>
      <w:pPr>
        <w:ind w:left="1440" w:hanging="360"/>
      </w:pPr>
      <w:rPr>
        <w:rFonts w:ascii="Arial" w:eastAsia="Times New Roman" w:hAnsi="Arial" w:cs="Arial" w:hint="default"/>
      </w:rPr>
    </w:lvl>
    <w:lvl w:ilvl="2" w:tplc="F2DEB842">
      <w:start w:val="1"/>
      <w:numFmt w:val="lowerLetter"/>
      <w:lvlText w:val="%3."/>
      <w:lvlJc w:val="left"/>
      <w:pPr>
        <w:ind w:left="2700" w:hanging="720"/>
      </w:pPr>
      <w:rPr>
        <w:rFonts w:hint="default"/>
      </w:rPr>
    </w:lvl>
    <w:lvl w:ilvl="3" w:tplc="3409000F">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2" w15:restartNumberingAfterBreak="0">
    <w:nsid w:val="00000028"/>
    <w:multiLevelType w:val="hybridMultilevel"/>
    <w:tmpl w:val="2C202D46"/>
    <w:lvl w:ilvl="0" w:tplc="5B3C8A9C">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27D8E256">
      <w:start w:val="1"/>
      <w:numFmt w:val="bullet"/>
      <w:lvlText w:val="•"/>
      <w:lvlJc w:val="left"/>
      <w:pPr>
        <w:ind w:left="1464" w:hanging="397"/>
      </w:pPr>
      <w:rPr>
        <w:rFonts w:hint="default"/>
        <w:lang w:val="en-US" w:eastAsia="en-US" w:bidi="ar-SA"/>
      </w:rPr>
    </w:lvl>
    <w:lvl w:ilvl="2" w:tplc="91BA00DA">
      <w:start w:val="1"/>
      <w:numFmt w:val="bullet"/>
      <w:lvlText w:val="•"/>
      <w:lvlJc w:val="left"/>
      <w:pPr>
        <w:ind w:left="2388" w:hanging="397"/>
      </w:pPr>
      <w:rPr>
        <w:rFonts w:hint="default"/>
        <w:lang w:val="en-US" w:eastAsia="en-US" w:bidi="ar-SA"/>
      </w:rPr>
    </w:lvl>
    <w:lvl w:ilvl="3" w:tplc="E8361CC8">
      <w:start w:val="1"/>
      <w:numFmt w:val="bullet"/>
      <w:lvlText w:val="•"/>
      <w:lvlJc w:val="left"/>
      <w:pPr>
        <w:ind w:left="3312" w:hanging="397"/>
      </w:pPr>
      <w:rPr>
        <w:rFonts w:hint="default"/>
        <w:lang w:val="en-US" w:eastAsia="en-US" w:bidi="ar-SA"/>
      </w:rPr>
    </w:lvl>
    <w:lvl w:ilvl="4" w:tplc="699E33FE">
      <w:start w:val="1"/>
      <w:numFmt w:val="bullet"/>
      <w:lvlText w:val="•"/>
      <w:lvlJc w:val="left"/>
      <w:pPr>
        <w:ind w:left="4236" w:hanging="397"/>
      </w:pPr>
      <w:rPr>
        <w:rFonts w:hint="default"/>
        <w:lang w:val="en-US" w:eastAsia="en-US" w:bidi="ar-SA"/>
      </w:rPr>
    </w:lvl>
    <w:lvl w:ilvl="5" w:tplc="E3B8BC28">
      <w:start w:val="1"/>
      <w:numFmt w:val="bullet"/>
      <w:lvlText w:val="•"/>
      <w:lvlJc w:val="left"/>
      <w:pPr>
        <w:ind w:left="5160" w:hanging="397"/>
      </w:pPr>
      <w:rPr>
        <w:rFonts w:hint="default"/>
        <w:lang w:val="en-US" w:eastAsia="en-US" w:bidi="ar-SA"/>
      </w:rPr>
    </w:lvl>
    <w:lvl w:ilvl="6" w:tplc="04BC1CB8">
      <w:start w:val="1"/>
      <w:numFmt w:val="bullet"/>
      <w:lvlText w:val="•"/>
      <w:lvlJc w:val="left"/>
      <w:pPr>
        <w:ind w:left="6084" w:hanging="397"/>
      </w:pPr>
      <w:rPr>
        <w:rFonts w:hint="default"/>
        <w:lang w:val="en-US" w:eastAsia="en-US" w:bidi="ar-SA"/>
      </w:rPr>
    </w:lvl>
    <w:lvl w:ilvl="7" w:tplc="0276B224">
      <w:start w:val="1"/>
      <w:numFmt w:val="bullet"/>
      <w:lvlText w:val="•"/>
      <w:lvlJc w:val="left"/>
      <w:pPr>
        <w:ind w:left="7008" w:hanging="397"/>
      </w:pPr>
      <w:rPr>
        <w:rFonts w:hint="default"/>
        <w:lang w:val="en-US" w:eastAsia="en-US" w:bidi="ar-SA"/>
      </w:rPr>
    </w:lvl>
    <w:lvl w:ilvl="8" w:tplc="95B013CE">
      <w:start w:val="1"/>
      <w:numFmt w:val="bullet"/>
      <w:lvlText w:val="•"/>
      <w:lvlJc w:val="left"/>
      <w:pPr>
        <w:ind w:left="7933" w:hanging="397"/>
      </w:pPr>
      <w:rPr>
        <w:rFonts w:hint="default"/>
        <w:lang w:val="en-US" w:eastAsia="en-US" w:bidi="ar-SA"/>
      </w:rPr>
    </w:lvl>
  </w:abstractNum>
  <w:abstractNum w:abstractNumId="33" w15:restartNumberingAfterBreak="0">
    <w:nsid w:val="00000029"/>
    <w:multiLevelType w:val="hybridMultilevel"/>
    <w:tmpl w:val="37648A9C"/>
    <w:lvl w:ilvl="0" w:tplc="2334C34E">
      <w:start w:val="1"/>
      <w:numFmt w:val="bullet"/>
      <w:pStyle w:val="SecondLevelarrowhead"/>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0000002A"/>
    <w:multiLevelType w:val="multilevel"/>
    <w:tmpl w:val="B778070C"/>
    <w:lvl w:ilvl="0">
      <w:start w:val="1"/>
      <w:numFmt w:val="bullet"/>
      <w:pStyle w:val="aufgezhltsehreng"/>
      <w:lvlText w:val=""/>
      <w:lvlJc w:val="left"/>
      <w:pPr>
        <w:tabs>
          <w:tab w:val="left" w:pos="1571"/>
        </w:tabs>
        <w:ind w:left="1571" w:hanging="360"/>
      </w:pPr>
      <w:rPr>
        <w:rFonts w:ascii="Symbol" w:hAnsi="Symbol" w:hint="default"/>
      </w:rPr>
    </w:lvl>
    <w:lvl w:ilvl="1">
      <w:start w:val="1"/>
      <w:numFmt w:val="bullet"/>
      <w:lvlText w:val="o"/>
      <w:lvlJc w:val="left"/>
      <w:pPr>
        <w:tabs>
          <w:tab w:val="left" w:pos="2291"/>
        </w:tabs>
        <w:ind w:left="2291" w:hanging="360"/>
      </w:pPr>
      <w:rPr>
        <w:rFonts w:ascii="Courier New" w:hAnsi="Courier New" w:hint="default"/>
      </w:rPr>
    </w:lvl>
    <w:lvl w:ilvl="2">
      <w:start w:val="1"/>
      <w:numFmt w:val="bullet"/>
      <w:lvlText w:val=""/>
      <w:lvlJc w:val="left"/>
      <w:pPr>
        <w:tabs>
          <w:tab w:val="left" w:pos="3011"/>
        </w:tabs>
        <w:ind w:left="3011" w:hanging="360"/>
      </w:pPr>
      <w:rPr>
        <w:rFonts w:ascii="Wingdings" w:hAnsi="Wingdings" w:hint="default"/>
      </w:rPr>
    </w:lvl>
    <w:lvl w:ilvl="3">
      <w:start w:val="1"/>
      <w:numFmt w:val="bullet"/>
      <w:lvlText w:val=""/>
      <w:lvlJc w:val="left"/>
      <w:pPr>
        <w:tabs>
          <w:tab w:val="left" w:pos="3731"/>
        </w:tabs>
        <w:ind w:left="3731" w:hanging="360"/>
      </w:pPr>
      <w:rPr>
        <w:rFonts w:ascii="Symbol" w:hAnsi="Symbol" w:hint="default"/>
      </w:rPr>
    </w:lvl>
    <w:lvl w:ilvl="4">
      <w:start w:val="1"/>
      <w:numFmt w:val="bullet"/>
      <w:lvlText w:val="o"/>
      <w:lvlJc w:val="left"/>
      <w:pPr>
        <w:tabs>
          <w:tab w:val="left" w:pos="4451"/>
        </w:tabs>
        <w:ind w:left="4451" w:hanging="360"/>
      </w:pPr>
      <w:rPr>
        <w:rFonts w:ascii="Courier New" w:hAnsi="Courier New" w:hint="default"/>
      </w:rPr>
    </w:lvl>
    <w:lvl w:ilvl="5">
      <w:start w:val="1"/>
      <w:numFmt w:val="bullet"/>
      <w:lvlText w:val=""/>
      <w:lvlJc w:val="left"/>
      <w:pPr>
        <w:tabs>
          <w:tab w:val="left" w:pos="5171"/>
        </w:tabs>
        <w:ind w:left="5171" w:hanging="360"/>
      </w:pPr>
      <w:rPr>
        <w:rFonts w:ascii="Wingdings" w:hAnsi="Wingdings" w:hint="default"/>
      </w:rPr>
    </w:lvl>
    <w:lvl w:ilvl="6">
      <w:start w:val="1"/>
      <w:numFmt w:val="bullet"/>
      <w:lvlText w:val=""/>
      <w:lvlJc w:val="left"/>
      <w:pPr>
        <w:tabs>
          <w:tab w:val="left" w:pos="5891"/>
        </w:tabs>
        <w:ind w:left="5891" w:hanging="360"/>
      </w:pPr>
      <w:rPr>
        <w:rFonts w:ascii="Symbol" w:hAnsi="Symbol" w:hint="default"/>
      </w:rPr>
    </w:lvl>
    <w:lvl w:ilvl="7">
      <w:start w:val="1"/>
      <w:numFmt w:val="bullet"/>
      <w:lvlText w:val="o"/>
      <w:lvlJc w:val="left"/>
      <w:pPr>
        <w:tabs>
          <w:tab w:val="left" w:pos="6611"/>
        </w:tabs>
        <w:ind w:left="6611" w:hanging="360"/>
      </w:pPr>
      <w:rPr>
        <w:rFonts w:ascii="Courier New" w:hAnsi="Courier New" w:hint="default"/>
      </w:rPr>
    </w:lvl>
    <w:lvl w:ilvl="8">
      <w:start w:val="1"/>
      <w:numFmt w:val="bullet"/>
      <w:lvlText w:val=""/>
      <w:lvlJc w:val="left"/>
      <w:pPr>
        <w:tabs>
          <w:tab w:val="left" w:pos="7331"/>
        </w:tabs>
        <w:ind w:left="7331" w:hanging="360"/>
      </w:pPr>
      <w:rPr>
        <w:rFonts w:ascii="Wingdings" w:hAnsi="Wingdings" w:hint="default"/>
      </w:rPr>
    </w:lvl>
  </w:abstractNum>
  <w:abstractNum w:abstractNumId="35" w15:restartNumberingAfterBreak="0">
    <w:nsid w:val="0000002B"/>
    <w:multiLevelType w:val="multilevel"/>
    <w:tmpl w:val="D52C7EBA"/>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36" w15:restartNumberingAfterBreak="0">
    <w:nsid w:val="0000002E"/>
    <w:multiLevelType w:val="hybridMultilevel"/>
    <w:tmpl w:val="98E61F50"/>
    <w:lvl w:ilvl="0" w:tplc="A2F65C5C">
      <w:start w:val="1"/>
      <w:numFmt w:val="decimal"/>
      <w:lvlText w:val="%1."/>
      <w:lvlJc w:val="left"/>
      <w:pPr>
        <w:ind w:left="720" w:hanging="360"/>
      </w:pPr>
    </w:lvl>
    <w:lvl w:ilvl="1" w:tplc="B2FAAF02">
      <w:start w:val="2"/>
      <w:numFmt w:val="bullet"/>
      <w:lvlText w:val="-"/>
      <w:lvlJc w:val="left"/>
      <w:pPr>
        <w:ind w:left="1440" w:hanging="360"/>
      </w:pPr>
      <w:rPr>
        <w:rFonts w:ascii="Arial" w:eastAsia="Times New Roman" w:hAnsi="Arial" w:cs="Arial" w:hint="default"/>
      </w:rPr>
    </w:lvl>
    <w:lvl w:ilvl="2" w:tplc="F2DEB842">
      <w:start w:val="1"/>
      <w:numFmt w:val="lowerLetter"/>
      <w:pStyle w:val="BodyLettereditems"/>
      <w:lvlText w:val="%3."/>
      <w:lvlJc w:val="left"/>
      <w:pPr>
        <w:ind w:left="2700" w:hanging="720"/>
      </w:pPr>
      <w:rPr>
        <w:rFonts w:hint="default"/>
      </w:rPr>
    </w:lvl>
    <w:lvl w:ilvl="3" w:tplc="A7EC96E8">
      <w:start w:val="1"/>
      <w:numFmt w:val="lowerRoman"/>
      <w:lvlText w:val="%4)"/>
      <w:lvlJc w:val="left"/>
      <w:pPr>
        <w:ind w:left="3240" w:hanging="720"/>
      </w:pPr>
      <w:rPr>
        <w:rFonts w:hint="default"/>
      </w:r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7" w15:restartNumberingAfterBreak="0">
    <w:nsid w:val="0000002F"/>
    <w:multiLevelType w:val="multilevel"/>
    <w:tmpl w:val="52063284"/>
    <w:lvl w:ilvl="0">
      <w:start w:val="1"/>
      <w:numFmt w:val="decimal"/>
      <w:lvlText w:val="%1."/>
      <w:lvlJc w:val="left"/>
      <w:pPr>
        <w:ind w:left="720" w:hanging="360"/>
      </w:pPr>
    </w:lvl>
    <w:lvl w:ilvl="1">
      <w:start w:val="1"/>
      <w:numFmt w:val="decimal"/>
      <w:lvlText w:val="%2)"/>
      <w:lvlJc w:val="left"/>
      <w:pPr>
        <w:ind w:left="1440" w:hanging="360"/>
      </w:pPr>
      <w:rPr>
        <w:b w:val="0"/>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00000031"/>
    <w:multiLevelType w:val="hybridMultilevel"/>
    <w:tmpl w:val="CB4E05E8"/>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4AD89D0C">
      <w:start w:val="1"/>
      <w:numFmt w:val="bullet"/>
      <w:lvlText w:val="•"/>
      <w:lvlJc w:val="left"/>
      <w:pPr>
        <w:ind w:left="754" w:hanging="360"/>
      </w:pPr>
      <w:rPr>
        <w:rFonts w:hint="default"/>
        <w:lang w:val="en-US" w:eastAsia="en-US" w:bidi="ar-SA"/>
      </w:rPr>
    </w:lvl>
    <w:lvl w:ilvl="2" w:tplc="78D852F2">
      <w:start w:val="1"/>
      <w:numFmt w:val="bullet"/>
      <w:lvlText w:val="•"/>
      <w:lvlJc w:val="left"/>
      <w:pPr>
        <w:ind w:left="1048" w:hanging="360"/>
      </w:pPr>
      <w:rPr>
        <w:rFonts w:hint="default"/>
        <w:lang w:val="en-US" w:eastAsia="en-US" w:bidi="ar-SA"/>
      </w:rPr>
    </w:lvl>
    <w:lvl w:ilvl="3" w:tplc="979006CC">
      <w:start w:val="1"/>
      <w:numFmt w:val="bullet"/>
      <w:lvlText w:val="•"/>
      <w:lvlJc w:val="left"/>
      <w:pPr>
        <w:ind w:left="1342" w:hanging="360"/>
      </w:pPr>
      <w:rPr>
        <w:rFonts w:hint="default"/>
        <w:lang w:val="en-US" w:eastAsia="en-US" w:bidi="ar-SA"/>
      </w:rPr>
    </w:lvl>
    <w:lvl w:ilvl="4" w:tplc="133A0BD0">
      <w:start w:val="1"/>
      <w:numFmt w:val="bullet"/>
      <w:lvlText w:val="•"/>
      <w:lvlJc w:val="left"/>
      <w:pPr>
        <w:ind w:left="1637" w:hanging="360"/>
      </w:pPr>
      <w:rPr>
        <w:rFonts w:hint="default"/>
        <w:lang w:val="en-US" w:eastAsia="en-US" w:bidi="ar-SA"/>
      </w:rPr>
    </w:lvl>
    <w:lvl w:ilvl="5" w:tplc="7DC8E2EA">
      <w:start w:val="1"/>
      <w:numFmt w:val="bullet"/>
      <w:lvlText w:val="•"/>
      <w:lvlJc w:val="left"/>
      <w:pPr>
        <w:ind w:left="1931" w:hanging="360"/>
      </w:pPr>
      <w:rPr>
        <w:rFonts w:hint="default"/>
        <w:lang w:val="en-US" w:eastAsia="en-US" w:bidi="ar-SA"/>
      </w:rPr>
    </w:lvl>
    <w:lvl w:ilvl="6" w:tplc="CB8E8ACE">
      <w:start w:val="1"/>
      <w:numFmt w:val="bullet"/>
      <w:lvlText w:val="•"/>
      <w:lvlJc w:val="left"/>
      <w:pPr>
        <w:ind w:left="2225" w:hanging="360"/>
      </w:pPr>
      <w:rPr>
        <w:rFonts w:hint="default"/>
        <w:lang w:val="en-US" w:eastAsia="en-US" w:bidi="ar-SA"/>
      </w:rPr>
    </w:lvl>
    <w:lvl w:ilvl="7" w:tplc="90AA4262">
      <w:start w:val="1"/>
      <w:numFmt w:val="bullet"/>
      <w:lvlText w:val="•"/>
      <w:lvlJc w:val="left"/>
      <w:pPr>
        <w:ind w:left="2520" w:hanging="360"/>
      </w:pPr>
      <w:rPr>
        <w:rFonts w:hint="default"/>
        <w:lang w:val="en-US" w:eastAsia="en-US" w:bidi="ar-SA"/>
      </w:rPr>
    </w:lvl>
    <w:lvl w:ilvl="8" w:tplc="3A9E3FBA">
      <w:start w:val="1"/>
      <w:numFmt w:val="bullet"/>
      <w:lvlText w:val="•"/>
      <w:lvlJc w:val="left"/>
      <w:pPr>
        <w:ind w:left="2814" w:hanging="360"/>
      </w:pPr>
      <w:rPr>
        <w:rFonts w:hint="default"/>
        <w:lang w:val="en-US" w:eastAsia="en-US" w:bidi="ar-SA"/>
      </w:rPr>
    </w:lvl>
  </w:abstractNum>
  <w:abstractNum w:abstractNumId="39" w15:restartNumberingAfterBreak="0">
    <w:nsid w:val="00000034"/>
    <w:multiLevelType w:val="hybridMultilevel"/>
    <w:tmpl w:val="C1FC65DE"/>
    <w:lvl w:ilvl="0" w:tplc="5DDEABE8">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7070F682">
      <w:start w:val="1"/>
      <w:numFmt w:val="bullet"/>
      <w:lvlText w:val="•"/>
      <w:lvlJc w:val="left"/>
      <w:pPr>
        <w:ind w:left="754" w:hanging="360"/>
      </w:pPr>
      <w:rPr>
        <w:rFonts w:hint="default"/>
        <w:lang w:val="en-US" w:eastAsia="en-US" w:bidi="ar-SA"/>
      </w:rPr>
    </w:lvl>
    <w:lvl w:ilvl="2" w:tplc="64603E7E">
      <w:start w:val="1"/>
      <w:numFmt w:val="bullet"/>
      <w:lvlText w:val="•"/>
      <w:lvlJc w:val="left"/>
      <w:pPr>
        <w:ind w:left="1048" w:hanging="360"/>
      </w:pPr>
      <w:rPr>
        <w:rFonts w:hint="default"/>
        <w:lang w:val="en-US" w:eastAsia="en-US" w:bidi="ar-SA"/>
      </w:rPr>
    </w:lvl>
    <w:lvl w:ilvl="3" w:tplc="FB6E786E">
      <w:start w:val="1"/>
      <w:numFmt w:val="bullet"/>
      <w:lvlText w:val="•"/>
      <w:lvlJc w:val="left"/>
      <w:pPr>
        <w:ind w:left="1342" w:hanging="360"/>
      </w:pPr>
      <w:rPr>
        <w:rFonts w:hint="default"/>
        <w:lang w:val="en-US" w:eastAsia="en-US" w:bidi="ar-SA"/>
      </w:rPr>
    </w:lvl>
    <w:lvl w:ilvl="4" w:tplc="73668188">
      <w:start w:val="1"/>
      <w:numFmt w:val="bullet"/>
      <w:lvlText w:val="•"/>
      <w:lvlJc w:val="left"/>
      <w:pPr>
        <w:ind w:left="1637" w:hanging="360"/>
      </w:pPr>
      <w:rPr>
        <w:rFonts w:hint="default"/>
        <w:lang w:val="en-US" w:eastAsia="en-US" w:bidi="ar-SA"/>
      </w:rPr>
    </w:lvl>
    <w:lvl w:ilvl="5" w:tplc="B0CC0A14">
      <w:start w:val="1"/>
      <w:numFmt w:val="bullet"/>
      <w:lvlText w:val="•"/>
      <w:lvlJc w:val="left"/>
      <w:pPr>
        <w:ind w:left="1931" w:hanging="360"/>
      </w:pPr>
      <w:rPr>
        <w:rFonts w:hint="default"/>
        <w:lang w:val="en-US" w:eastAsia="en-US" w:bidi="ar-SA"/>
      </w:rPr>
    </w:lvl>
    <w:lvl w:ilvl="6" w:tplc="1214F5FE">
      <w:start w:val="1"/>
      <w:numFmt w:val="bullet"/>
      <w:lvlText w:val="•"/>
      <w:lvlJc w:val="left"/>
      <w:pPr>
        <w:ind w:left="2225" w:hanging="360"/>
      </w:pPr>
      <w:rPr>
        <w:rFonts w:hint="default"/>
        <w:lang w:val="en-US" w:eastAsia="en-US" w:bidi="ar-SA"/>
      </w:rPr>
    </w:lvl>
    <w:lvl w:ilvl="7" w:tplc="CFDCC18C">
      <w:start w:val="1"/>
      <w:numFmt w:val="bullet"/>
      <w:lvlText w:val="•"/>
      <w:lvlJc w:val="left"/>
      <w:pPr>
        <w:ind w:left="2520" w:hanging="360"/>
      </w:pPr>
      <w:rPr>
        <w:rFonts w:hint="default"/>
        <w:lang w:val="en-US" w:eastAsia="en-US" w:bidi="ar-SA"/>
      </w:rPr>
    </w:lvl>
    <w:lvl w:ilvl="8" w:tplc="B1F6BBD8">
      <w:start w:val="1"/>
      <w:numFmt w:val="bullet"/>
      <w:lvlText w:val="•"/>
      <w:lvlJc w:val="left"/>
      <w:pPr>
        <w:ind w:left="2814" w:hanging="360"/>
      </w:pPr>
      <w:rPr>
        <w:rFonts w:hint="default"/>
        <w:lang w:val="en-US" w:eastAsia="en-US" w:bidi="ar-SA"/>
      </w:rPr>
    </w:lvl>
  </w:abstractNum>
  <w:abstractNum w:abstractNumId="40" w15:restartNumberingAfterBreak="0">
    <w:nsid w:val="00000035"/>
    <w:multiLevelType w:val="hybridMultilevel"/>
    <w:tmpl w:val="B6CAF194"/>
    <w:lvl w:ilvl="0" w:tplc="5D38A4D2">
      <w:start w:val="1"/>
      <w:numFmt w:val="upperLetter"/>
      <w:pStyle w:val="LetterCAP"/>
      <w:lvlText w:val="%1."/>
      <w:lvlJc w:val="left"/>
      <w:pPr>
        <w:ind w:left="2149" w:hanging="360"/>
      </w:pPr>
    </w:lvl>
    <w:lvl w:ilvl="1" w:tplc="A7B66140">
      <w:start w:val="1"/>
      <w:numFmt w:val="upperLetter"/>
      <w:lvlText w:val="%2."/>
      <w:lvlJc w:val="left"/>
      <w:pPr>
        <w:ind w:left="2869" w:hanging="360"/>
      </w:pPr>
      <w:rPr>
        <w:rFonts w:hint="default"/>
      </w:rPr>
    </w:lvl>
    <w:lvl w:ilvl="2" w:tplc="0409001B">
      <w:start w:val="1"/>
      <w:numFmt w:val="lowerRoman"/>
      <w:lvlText w:val="%3."/>
      <w:lvlJc w:val="right"/>
      <w:pPr>
        <w:ind w:left="3589" w:hanging="180"/>
      </w:pPr>
    </w:lvl>
    <w:lvl w:ilvl="3" w:tplc="0409000F" w:tentative="1">
      <w:start w:val="1"/>
      <w:numFmt w:val="decimal"/>
      <w:lvlText w:val="%4."/>
      <w:lvlJc w:val="left"/>
      <w:pPr>
        <w:ind w:left="4309" w:hanging="360"/>
      </w:pPr>
    </w:lvl>
    <w:lvl w:ilvl="4" w:tplc="04090019" w:tentative="1">
      <w:start w:val="1"/>
      <w:numFmt w:val="lowerLetter"/>
      <w:lvlText w:val="%5."/>
      <w:lvlJc w:val="left"/>
      <w:pPr>
        <w:ind w:left="5029" w:hanging="360"/>
      </w:pPr>
    </w:lvl>
    <w:lvl w:ilvl="5" w:tplc="0409001B" w:tentative="1">
      <w:start w:val="1"/>
      <w:numFmt w:val="lowerRoman"/>
      <w:lvlText w:val="%6."/>
      <w:lvlJc w:val="right"/>
      <w:pPr>
        <w:ind w:left="5749" w:hanging="180"/>
      </w:pPr>
    </w:lvl>
    <w:lvl w:ilvl="6" w:tplc="0409000F" w:tentative="1">
      <w:start w:val="1"/>
      <w:numFmt w:val="decimal"/>
      <w:lvlText w:val="%7."/>
      <w:lvlJc w:val="left"/>
      <w:pPr>
        <w:ind w:left="6469" w:hanging="360"/>
      </w:pPr>
    </w:lvl>
    <w:lvl w:ilvl="7" w:tplc="04090019" w:tentative="1">
      <w:start w:val="1"/>
      <w:numFmt w:val="lowerLetter"/>
      <w:lvlText w:val="%8."/>
      <w:lvlJc w:val="left"/>
      <w:pPr>
        <w:ind w:left="7189" w:hanging="360"/>
      </w:pPr>
    </w:lvl>
    <w:lvl w:ilvl="8" w:tplc="0409001B" w:tentative="1">
      <w:start w:val="1"/>
      <w:numFmt w:val="lowerRoman"/>
      <w:lvlText w:val="%9."/>
      <w:lvlJc w:val="right"/>
      <w:pPr>
        <w:ind w:left="7909" w:hanging="180"/>
      </w:pPr>
    </w:lvl>
  </w:abstractNum>
  <w:abstractNum w:abstractNumId="41" w15:restartNumberingAfterBreak="0">
    <w:nsid w:val="00000036"/>
    <w:multiLevelType w:val="multilevel"/>
    <w:tmpl w:val="D5F0F9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00000037"/>
    <w:multiLevelType w:val="hybridMultilevel"/>
    <w:tmpl w:val="BFA80E98"/>
    <w:lvl w:ilvl="0" w:tplc="16C044F2">
      <w:start w:val="1"/>
      <w:numFmt w:val="decimal"/>
      <w:pStyle w:val="a0"/>
      <w:lvlText w:val="%1."/>
      <w:lvlJc w:val="left"/>
      <w:pPr>
        <w:ind w:left="542" w:hanging="397"/>
      </w:pPr>
      <w:rPr>
        <w:rFonts w:ascii="Arial" w:hAnsi="Arial" w:cs="Verdana" w:hint="default"/>
        <w:b w:val="0"/>
        <w:bCs w:val="0"/>
        <w:i w:val="0"/>
        <w:iCs w:val="0"/>
        <w:color w:val="1C1C1C"/>
        <w:spacing w:val="0"/>
        <w:w w:val="99"/>
        <w:sz w:val="24"/>
        <w:szCs w:val="20"/>
        <w:lang w:val="en-US" w:eastAsia="en-US" w:bidi="ar-SA"/>
      </w:rPr>
    </w:lvl>
    <w:lvl w:ilvl="1" w:tplc="0ED08EE4">
      <w:start w:val="1"/>
      <w:numFmt w:val="bullet"/>
      <w:lvlText w:val="•"/>
      <w:lvlJc w:val="left"/>
      <w:pPr>
        <w:ind w:left="1464" w:hanging="397"/>
      </w:pPr>
      <w:rPr>
        <w:rFonts w:hint="default"/>
        <w:lang w:val="en-US" w:eastAsia="en-US" w:bidi="ar-SA"/>
      </w:rPr>
    </w:lvl>
    <w:lvl w:ilvl="2" w:tplc="377CFB92">
      <w:start w:val="1"/>
      <w:numFmt w:val="bullet"/>
      <w:lvlText w:val="•"/>
      <w:lvlJc w:val="left"/>
      <w:pPr>
        <w:ind w:left="2388" w:hanging="397"/>
      </w:pPr>
      <w:rPr>
        <w:rFonts w:hint="default"/>
        <w:lang w:val="en-US" w:eastAsia="en-US" w:bidi="ar-SA"/>
      </w:rPr>
    </w:lvl>
    <w:lvl w:ilvl="3" w:tplc="D2187772">
      <w:start w:val="1"/>
      <w:numFmt w:val="bullet"/>
      <w:lvlText w:val="•"/>
      <w:lvlJc w:val="left"/>
      <w:pPr>
        <w:ind w:left="3312" w:hanging="397"/>
      </w:pPr>
      <w:rPr>
        <w:rFonts w:hint="default"/>
        <w:lang w:val="en-US" w:eastAsia="en-US" w:bidi="ar-SA"/>
      </w:rPr>
    </w:lvl>
    <w:lvl w:ilvl="4" w:tplc="E6BE8574">
      <w:start w:val="1"/>
      <w:numFmt w:val="bullet"/>
      <w:lvlText w:val="•"/>
      <w:lvlJc w:val="left"/>
      <w:pPr>
        <w:ind w:left="4236" w:hanging="397"/>
      </w:pPr>
      <w:rPr>
        <w:rFonts w:hint="default"/>
        <w:lang w:val="en-US" w:eastAsia="en-US" w:bidi="ar-SA"/>
      </w:rPr>
    </w:lvl>
    <w:lvl w:ilvl="5" w:tplc="4B2AF1E2">
      <w:start w:val="1"/>
      <w:numFmt w:val="bullet"/>
      <w:lvlText w:val="•"/>
      <w:lvlJc w:val="left"/>
      <w:pPr>
        <w:ind w:left="5160" w:hanging="397"/>
      </w:pPr>
      <w:rPr>
        <w:rFonts w:hint="default"/>
        <w:lang w:val="en-US" w:eastAsia="en-US" w:bidi="ar-SA"/>
      </w:rPr>
    </w:lvl>
    <w:lvl w:ilvl="6" w:tplc="30EC4A74">
      <w:start w:val="1"/>
      <w:numFmt w:val="bullet"/>
      <w:lvlText w:val="•"/>
      <w:lvlJc w:val="left"/>
      <w:pPr>
        <w:ind w:left="6084" w:hanging="397"/>
      </w:pPr>
      <w:rPr>
        <w:rFonts w:hint="default"/>
        <w:lang w:val="en-US" w:eastAsia="en-US" w:bidi="ar-SA"/>
      </w:rPr>
    </w:lvl>
    <w:lvl w:ilvl="7" w:tplc="9638623A">
      <w:start w:val="1"/>
      <w:numFmt w:val="bullet"/>
      <w:lvlText w:val="•"/>
      <w:lvlJc w:val="left"/>
      <w:pPr>
        <w:ind w:left="7008" w:hanging="397"/>
      </w:pPr>
      <w:rPr>
        <w:rFonts w:hint="default"/>
        <w:lang w:val="en-US" w:eastAsia="en-US" w:bidi="ar-SA"/>
      </w:rPr>
    </w:lvl>
    <w:lvl w:ilvl="8" w:tplc="D0DC32AA">
      <w:start w:val="1"/>
      <w:numFmt w:val="bullet"/>
      <w:lvlText w:val="•"/>
      <w:lvlJc w:val="left"/>
      <w:pPr>
        <w:ind w:left="7933" w:hanging="397"/>
      </w:pPr>
      <w:rPr>
        <w:rFonts w:hint="default"/>
        <w:lang w:val="en-US" w:eastAsia="en-US" w:bidi="ar-SA"/>
      </w:rPr>
    </w:lvl>
  </w:abstractNum>
  <w:abstractNum w:abstractNumId="43" w15:restartNumberingAfterBreak="0">
    <w:nsid w:val="00000038"/>
    <w:multiLevelType w:val="multilevel"/>
    <w:tmpl w:val="E0305728"/>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44" w15:restartNumberingAfterBreak="0">
    <w:nsid w:val="00000039"/>
    <w:multiLevelType w:val="hybridMultilevel"/>
    <w:tmpl w:val="9DC4102A"/>
    <w:lvl w:ilvl="0" w:tplc="6D2E06C2">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B7FCAE1E">
      <w:start w:val="1"/>
      <w:numFmt w:val="bullet"/>
      <w:lvlText w:val="•"/>
      <w:lvlJc w:val="left"/>
      <w:pPr>
        <w:ind w:left="1464" w:hanging="397"/>
      </w:pPr>
      <w:rPr>
        <w:rFonts w:hint="default"/>
        <w:lang w:val="en-US" w:eastAsia="en-US" w:bidi="ar-SA"/>
      </w:rPr>
    </w:lvl>
    <w:lvl w:ilvl="2" w:tplc="57560162">
      <w:start w:val="1"/>
      <w:numFmt w:val="bullet"/>
      <w:lvlText w:val="•"/>
      <w:lvlJc w:val="left"/>
      <w:pPr>
        <w:ind w:left="2388" w:hanging="397"/>
      </w:pPr>
      <w:rPr>
        <w:rFonts w:hint="default"/>
        <w:lang w:val="en-US" w:eastAsia="en-US" w:bidi="ar-SA"/>
      </w:rPr>
    </w:lvl>
    <w:lvl w:ilvl="3" w:tplc="5FAE12FA">
      <w:start w:val="1"/>
      <w:numFmt w:val="bullet"/>
      <w:lvlText w:val="•"/>
      <w:lvlJc w:val="left"/>
      <w:pPr>
        <w:ind w:left="3312" w:hanging="397"/>
      </w:pPr>
      <w:rPr>
        <w:rFonts w:hint="default"/>
        <w:lang w:val="en-US" w:eastAsia="en-US" w:bidi="ar-SA"/>
      </w:rPr>
    </w:lvl>
    <w:lvl w:ilvl="4" w:tplc="7E6205A8">
      <w:start w:val="1"/>
      <w:numFmt w:val="bullet"/>
      <w:lvlText w:val="•"/>
      <w:lvlJc w:val="left"/>
      <w:pPr>
        <w:ind w:left="4236" w:hanging="397"/>
      </w:pPr>
      <w:rPr>
        <w:rFonts w:hint="default"/>
        <w:lang w:val="en-US" w:eastAsia="en-US" w:bidi="ar-SA"/>
      </w:rPr>
    </w:lvl>
    <w:lvl w:ilvl="5" w:tplc="61FA3940">
      <w:start w:val="1"/>
      <w:numFmt w:val="bullet"/>
      <w:lvlText w:val="•"/>
      <w:lvlJc w:val="left"/>
      <w:pPr>
        <w:ind w:left="5160" w:hanging="397"/>
      </w:pPr>
      <w:rPr>
        <w:rFonts w:hint="default"/>
        <w:lang w:val="en-US" w:eastAsia="en-US" w:bidi="ar-SA"/>
      </w:rPr>
    </w:lvl>
    <w:lvl w:ilvl="6" w:tplc="D3E0EA28">
      <w:start w:val="1"/>
      <w:numFmt w:val="bullet"/>
      <w:lvlText w:val="•"/>
      <w:lvlJc w:val="left"/>
      <w:pPr>
        <w:ind w:left="6084" w:hanging="397"/>
      </w:pPr>
      <w:rPr>
        <w:rFonts w:hint="default"/>
        <w:lang w:val="en-US" w:eastAsia="en-US" w:bidi="ar-SA"/>
      </w:rPr>
    </w:lvl>
    <w:lvl w:ilvl="7" w:tplc="C234F6FA">
      <w:start w:val="1"/>
      <w:numFmt w:val="bullet"/>
      <w:lvlText w:val="•"/>
      <w:lvlJc w:val="left"/>
      <w:pPr>
        <w:ind w:left="7008" w:hanging="397"/>
      </w:pPr>
      <w:rPr>
        <w:rFonts w:hint="default"/>
        <w:lang w:val="en-US" w:eastAsia="en-US" w:bidi="ar-SA"/>
      </w:rPr>
    </w:lvl>
    <w:lvl w:ilvl="8" w:tplc="77AEB3EA">
      <w:start w:val="1"/>
      <w:numFmt w:val="bullet"/>
      <w:lvlText w:val="•"/>
      <w:lvlJc w:val="left"/>
      <w:pPr>
        <w:ind w:left="7933" w:hanging="397"/>
      </w:pPr>
      <w:rPr>
        <w:rFonts w:hint="default"/>
        <w:lang w:val="en-US" w:eastAsia="en-US" w:bidi="ar-SA"/>
      </w:rPr>
    </w:lvl>
  </w:abstractNum>
  <w:abstractNum w:abstractNumId="45" w15:restartNumberingAfterBreak="0">
    <w:nsid w:val="0000003B"/>
    <w:multiLevelType w:val="hybridMultilevel"/>
    <w:tmpl w:val="E19A4CD8"/>
    <w:lvl w:ilvl="0" w:tplc="6FD49300">
      <w:start w:val="1"/>
      <w:numFmt w:val="bullet"/>
      <w:pStyle w:val="Dash3"/>
      <w:lvlText w:val="•"/>
      <w:lvlJc w:val="left"/>
      <w:pPr>
        <w:ind w:left="460" w:hanging="360"/>
      </w:pPr>
      <w:rPr>
        <w:rFonts w:ascii="Verdana" w:eastAsia="Verdana" w:hAnsi="Verdana" w:cs="Verdana" w:hint="default"/>
        <w:b w:val="0"/>
        <w:bCs w:val="0"/>
        <w:i w:val="0"/>
        <w:iCs w:val="0"/>
        <w:spacing w:val="0"/>
        <w:w w:val="99"/>
        <w:sz w:val="18"/>
        <w:szCs w:val="18"/>
        <w:lang w:val="en-US" w:eastAsia="en-US" w:bidi="ar-SA"/>
      </w:rPr>
    </w:lvl>
    <w:lvl w:ilvl="1" w:tplc="E460F5D0">
      <w:start w:val="1"/>
      <w:numFmt w:val="bullet"/>
      <w:lvlText w:val="•"/>
      <w:lvlJc w:val="left"/>
      <w:pPr>
        <w:ind w:left="587" w:hanging="360"/>
      </w:pPr>
      <w:rPr>
        <w:rFonts w:hint="default"/>
        <w:lang w:val="en-US" w:eastAsia="en-US" w:bidi="ar-SA"/>
      </w:rPr>
    </w:lvl>
    <w:lvl w:ilvl="2" w:tplc="C4CEA6BC">
      <w:start w:val="1"/>
      <w:numFmt w:val="bullet"/>
      <w:lvlText w:val="•"/>
      <w:lvlJc w:val="left"/>
      <w:pPr>
        <w:ind w:left="714" w:hanging="360"/>
      </w:pPr>
      <w:rPr>
        <w:rFonts w:hint="default"/>
        <w:lang w:val="en-US" w:eastAsia="en-US" w:bidi="ar-SA"/>
      </w:rPr>
    </w:lvl>
    <w:lvl w:ilvl="3" w:tplc="00F2A074">
      <w:start w:val="1"/>
      <w:numFmt w:val="bullet"/>
      <w:pStyle w:val="Dash3"/>
      <w:lvlText w:val="•"/>
      <w:lvlJc w:val="left"/>
      <w:pPr>
        <w:ind w:left="841" w:hanging="360"/>
      </w:pPr>
      <w:rPr>
        <w:rFonts w:hint="default"/>
        <w:lang w:val="en-US" w:eastAsia="en-US" w:bidi="ar-SA"/>
      </w:rPr>
    </w:lvl>
    <w:lvl w:ilvl="4" w:tplc="20AE3EF6">
      <w:start w:val="1"/>
      <w:numFmt w:val="bullet"/>
      <w:lvlText w:val="•"/>
      <w:lvlJc w:val="left"/>
      <w:pPr>
        <w:ind w:left="969" w:hanging="360"/>
      </w:pPr>
      <w:rPr>
        <w:rFonts w:hint="default"/>
        <w:lang w:val="en-US" w:eastAsia="en-US" w:bidi="ar-SA"/>
      </w:rPr>
    </w:lvl>
    <w:lvl w:ilvl="5" w:tplc="E638828E">
      <w:start w:val="1"/>
      <w:numFmt w:val="bullet"/>
      <w:lvlText w:val="•"/>
      <w:lvlJc w:val="left"/>
      <w:pPr>
        <w:ind w:left="1096" w:hanging="360"/>
      </w:pPr>
      <w:rPr>
        <w:rFonts w:hint="default"/>
        <w:lang w:val="en-US" w:eastAsia="en-US" w:bidi="ar-SA"/>
      </w:rPr>
    </w:lvl>
    <w:lvl w:ilvl="6" w:tplc="FD52DF2E">
      <w:start w:val="1"/>
      <w:numFmt w:val="bullet"/>
      <w:lvlText w:val="•"/>
      <w:lvlJc w:val="left"/>
      <w:pPr>
        <w:ind w:left="1223" w:hanging="360"/>
      </w:pPr>
      <w:rPr>
        <w:rFonts w:hint="default"/>
        <w:lang w:val="en-US" w:eastAsia="en-US" w:bidi="ar-SA"/>
      </w:rPr>
    </w:lvl>
    <w:lvl w:ilvl="7" w:tplc="76760BC8">
      <w:start w:val="1"/>
      <w:numFmt w:val="bullet"/>
      <w:lvlText w:val="•"/>
      <w:lvlJc w:val="left"/>
      <w:pPr>
        <w:ind w:left="1351" w:hanging="360"/>
      </w:pPr>
      <w:rPr>
        <w:rFonts w:hint="default"/>
        <w:lang w:val="en-US" w:eastAsia="en-US" w:bidi="ar-SA"/>
      </w:rPr>
    </w:lvl>
    <w:lvl w:ilvl="8" w:tplc="5C4435C8">
      <w:start w:val="1"/>
      <w:numFmt w:val="bullet"/>
      <w:lvlText w:val="•"/>
      <w:lvlJc w:val="left"/>
      <w:pPr>
        <w:ind w:left="1478" w:hanging="360"/>
      </w:pPr>
      <w:rPr>
        <w:rFonts w:hint="default"/>
        <w:lang w:val="en-US" w:eastAsia="en-US" w:bidi="ar-SA"/>
      </w:rPr>
    </w:lvl>
  </w:abstractNum>
  <w:abstractNum w:abstractNumId="46" w15:restartNumberingAfterBreak="0">
    <w:nsid w:val="0000003C"/>
    <w:multiLevelType w:val="hybridMultilevel"/>
    <w:tmpl w:val="26ACE67E"/>
    <w:lvl w:ilvl="0" w:tplc="06CC2CD0">
      <w:start w:val="1"/>
      <w:numFmt w:val="lowerRoman"/>
      <w:pStyle w:val="romannotbold"/>
      <w:lvlText w:val="(%1)"/>
      <w:lvlJc w:val="right"/>
      <w:pPr>
        <w:ind w:left="1170" w:hanging="360"/>
      </w:pPr>
      <w:rPr>
        <w:rFonts w:hint="default"/>
        <w:b w:val="0"/>
        <w:bCs/>
        <w:i w:val="0"/>
        <w:caps w:val="0"/>
        <w:vanish w:val="0"/>
        <w:color w:val="auto"/>
        <w:w w:val="100"/>
        <w:sz w:val="22"/>
        <w:szCs w:val="22"/>
        <w:vertAlign w:val="baseline"/>
        <w14:shadow w14:blurRad="0" w14:dist="0" w14:dir="0" w14:sx="0" w14:sy="0" w14:kx="0" w14:ky="0" w14:algn="none">
          <w14:srgbClr w14:val="000000"/>
        </w14:shadow>
        <w14:textOutline w14:w="0" w14:cap="flat" w14:cmpd="sng" w14:algn="ctr">
          <w14:noFill/>
          <w14:prstDash w14:val="solid"/>
          <w14:bevel/>
        </w14:textOutline>
      </w:rPr>
    </w:lvl>
    <w:lvl w:ilvl="1" w:tplc="34090019">
      <w:start w:val="1"/>
      <w:numFmt w:val="lowerLetter"/>
      <w:lvlText w:val="%2."/>
      <w:lvlJc w:val="left"/>
      <w:pPr>
        <w:ind w:left="1890" w:hanging="360"/>
      </w:pPr>
    </w:lvl>
    <w:lvl w:ilvl="2" w:tplc="3409001B" w:tentative="1">
      <w:start w:val="1"/>
      <w:numFmt w:val="lowerRoman"/>
      <w:lvlText w:val="%3."/>
      <w:lvlJc w:val="right"/>
      <w:pPr>
        <w:ind w:left="2610" w:hanging="180"/>
      </w:pPr>
    </w:lvl>
    <w:lvl w:ilvl="3" w:tplc="F8EAD160">
      <w:start w:val="1"/>
      <w:numFmt w:val="decimal"/>
      <w:pStyle w:val="romannotbold"/>
      <w:lvlText w:val="%4."/>
      <w:lvlJc w:val="left"/>
      <w:pPr>
        <w:ind w:left="3330" w:hanging="360"/>
      </w:pPr>
    </w:lvl>
    <w:lvl w:ilvl="4" w:tplc="34090019" w:tentative="1">
      <w:start w:val="1"/>
      <w:numFmt w:val="lowerLetter"/>
      <w:lvlText w:val="%5."/>
      <w:lvlJc w:val="left"/>
      <w:pPr>
        <w:ind w:left="4050" w:hanging="360"/>
      </w:pPr>
    </w:lvl>
    <w:lvl w:ilvl="5" w:tplc="3409001B" w:tentative="1">
      <w:start w:val="1"/>
      <w:numFmt w:val="lowerRoman"/>
      <w:lvlText w:val="%6."/>
      <w:lvlJc w:val="right"/>
      <w:pPr>
        <w:ind w:left="4770" w:hanging="180"/>
      </w:pPr>
    </w:lvl>
    <w:lvl w:ilvl="6" w:tplc="3409000F" w:tentative="1">
      <w:start w:val="1"/>
      <w:numFmt w:val="decimal"/>
      <w:lvlText w:val="%7."/>
      <w:lvlJc w:val="left"/>
      <w:pPr>
        <w:ind w:left="5490" w:hanging="360"/>
      </w:pPr>
    </w:lvl>
    <w:lvl w:ilvl="7" w:tplc="34090019" w:tentative="1">
      <w:start w:val="1"/>
      <w:numFmt w:val="lowerLetter"/>
      <w:lvlText w:val="%8."/>
      <w:lvlJc w:val="left"/>
      <w:pPr>
        <w:ind w:left="6210" w:hanging="360"/>
      </w:pPr>
    </w:lvl>
    <w:lvl w:ilvl="8" w:tplc="3409001B" w:tentative="1">
      <w:start w:val="1"/>
      <w:numFmt w:val="lowerRoman"/>
      <w:lvlText w:val="%9."/>
      <w:lvlJc w:val="right"/>
      <w:pPr>
        <w:ind w:left="6930" w:hanging="180"/>
      </w:pPr>
    </w:lvl>
  </w:abstractNum>
  <w:abstractNum w:abstractNumId="47" w15:restartNumberingAfterBreak="0">
    <w:nsid w:val="0000003D"/>
    <w:multiLevelType w:val="hybridMultilevel"/>
    <w:tmpl w:val="64E080CE"/>
    <w:lvl w:ilvl="0" w:tplc="EAC2D296">
      <w:start w:val="1"/>
      <w:numFmt w:val="bullet"/>
      <w:lvlText w:val="•"/>
      <w:lvlJc w:val="left"/>
      <w:pPr>
        <w:ind w:left="464" w:hanging="361"/>
      </w:pPr>
      <w:rPr>
        <w:rFonts w:ascii="Verdana" w:eastAsia="Verdana" w:hAnsi="Verdana" w:cs="Verdana" w:hint="default"/>
        <w:b w:val="0"/>
        <w:bCs w:val="0"/>
        <w:i w:val="0"/>
        <w:iCs w:val="0"/>
        <w:spacing w:val="0"/>
        <w:w w:val="100"/>
        <w:sz w:val="18"/>
        <w:szCs w:val="18"/>
        <w:lang w:val="en-US" w:eastAsia="en-US" w:bidi="ar-SA"/>
      </w:rPr>
    </w:lvl>
    <w:lvl w:ilvl="1" w:tplc="63AC1208">
      <w:start w:val="1"/>
      <w:numFmt w:val="bullet"/>
      <w:lvlText w:val="•"/>
      <w:lvlJc w:val="left"/>
      <w:pPr>
        <w:ind w:left="894" w:hanging="361"/>
      </w:pPr>
      <w:rPr>
        <w:rFonts w:hint="default"/>
        <w:lang w:val="en-US" w:eastAsia="en-US" w:bidi="ar-SA"/>
      </w:rPr>
    </w:lvl>
    <w:lvl w:ilvl="2" w:tplc="2FAEB602">
      <w:start w:val="1"/>
      <w:numFmt w:val="bullet"/>
      <w:lvlText w:val="•"/>
      <w:lvlJc w:val="left"/>
      <w:pPr>
        <w:ind w:left="1329" w:hanging="361"/>
      </w:pPr>
      <w:rPr>
        <w:rFonts w:hint="default"/>
        <w:lang w:val="en-US" w:eastAsia="en-US" w:bidi="ar-SA"/>
      </w:rPr>
    </w:lvl>
    <w:lvl w:ilvl="3" w:tplc="DB8C0DCE">
      <w:start w:val="1"/>
      <w:numFmt w:val="bullet"/>
      <w:lvlText w:val="•"/>
      <w:lvlJc w:val="left"/>
      <w:pPr>
        <w:ind w:left="1763" w:hanging="361"/>
      </w:pPr>
      <w:rPr>
        <w:rFonts w:hint="default"/>
        <w:lang w:val="en-US" w:eastAsia="en-US" w:bidi="ar-SA"/>
      </w:rPr>
    </w:lvl>
    <w:lvl w:ilvl="4" w:tplc="E37C89FA">
      <w:start w:val="1"/>
      <w:numFmt w:val="bullet"/>
      <w:lvlText w:val="•"/>
      <w:lvlJc w:val="left"/>
      <w:pPr>
        <w:ind w:left="2198" w:hanging="361"/>
      </w:pPr>
      <w:rPr>
        <w:rFonts w:hint="default"/>
        <w:lang w:val="en-US" w:eastAsia="en-US" w:bidi="ar-SA"/>
      </w:rPr>
    </w:lvl>
    <w:lvl w:ilvl="5" w:tplc="CE2019F4">
      <w:start w:val="1"/>
      <w:numFmt w:val="bullet"/>
      <w:lvlText w:val="•"/>
      <w:lvlJc w:val="left"/>
      <w:pPr>
        <w:ind w:left="2632" w:hanging="361"/>
      </w:pPr>
      <w:rPr>
        <w:rFonts w:hint="default"/>
        <w:lang w:val="en-US" w:eastAsia="en-US" w:bidi="ar-SA"/>
      </w:rPr>
    </w:lvl>
    <w:lvl w:ilvl="6" w:tplc="22CE8BDA">
      <w:start w:val="1"/>
      <w:numFmt w:val="bullet"/>
      <w:lvlText w:val="•"/>
      <w:lvlJc w:val="left"/>
      <w:pPr>
        <w:ind w:left="3067" w:hanging="361"/>
      </w:pPr>
      <w:rPr>
        <w:rFonts w:hint="default"/>
        <w:lang w:val="en-US" w:eastAsia="en-US" w:bidi="ar-SA"/>
      </w:rPr>
    </w:lvl>
    <w:lvl w:ilvl="7" w:tplc="B1884488">
      <w:start w:val="1"/>
      <w:numFmt w:val="bullet"/>
      <w:lvlText w:val="•"/>
      <w:lvlJc w:val="left"/>
      <w:pPr>
        <w:ind w:left="3501" w:hanging="361"/>
      </w:pPr>
      <w:rPr>
        <w:rFonts w:hint="default"/>
        <w:lang w:val="en-US" w:eastAsia="en-US" w:bidi="ar-SA"/>
      </w:rPr>
    </w:lvl>
    <w:lvl w:ilvl="8" w:tplc="9C526278">
      <w:start w:val="1"/>
      <w:numFmt w:val="bullet"/>
      <w:lvlText w:val="•"/>
      <w:lvlJc w:val="left"/>
      <w:pPr>
        <w:ind w:left="3936" w:hanging="361"/>
      </w:pPr>
      <w:rPr>
        <w:rFonts w:hint="default"/>
        <w:lang w:val="en-US" w:eastAsia="en-US" w:bidi="ar-SA"/>
      </w:rPr>
    </w:lvl>
  </w:abstractNum>
  <w:abstractNum w:abstractNumId="48" w15:restartNumberingAfterBreak="0">
    <w:nsid w:val="0000003E"/>
    <w:multiLevelType w:val="hybridMultilevel"/>
    <w:tmpl w:val="5A0AC7C2"/>
    <w:lvl w:ilvl="0" w:tplc="E4123FE4">
      <w:start w:val="1"/>
      <w:numFmt w:val="bullet"/>
      <w:pStyle w:val="ADBbullets"/>
      <w:lvlText w:val=""/>
      <w:lvlJc w:val="left"/>
      <w:pPr>
        <w:ind w:left="720" w:hanging="360"/>
      </w:pPr>
      <w:rPr>
        <w:rFonts w:ascii="Symbol" w:hAnsi="Symbol" w:hint="default"/>
      </w:rPr>
    </w:lvl>
    <w:lvl w:ilvl="1" w:tplc="E812BCD4">
      <w:start w:val="1"/>
      <w:numFmt w:val="bullet"/>
      <w:lvlText w:val="-"/>
      <w:lvlJc w:val="left"/>
      <w:pPr>
        <w:ind w:left="1440" w:hanging="360"/>
      </w:pPr>
      <w:rPr>
        <w:rFonts w:ascii="Arial" w:eastAsia="SimSun" w:hAnsi="Arial" w:cs="Aria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0000003F"/>
    <w:multiLevelType w:val="multilevel"/>
    <w:tmpl w:val="4DBA7220"/>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50" w15:restartNumberingAfterBreak="0">
    <w:nsid w:val="00000040"/>
    <w:multiLevelType w:val="hybridMultilevel"/>
    <w:tmpl w:val="AE800F0C"/>
    <w:lvl w:ilvl="0" w:tplc="90429DD8">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ECEA89F8">
      <w:start w:val="1"/>
      <w:numFmt w:val="bullet"/>
      <w:lvlText w:val="•"/>
      <w:lvlJc w:val="left"/>
      <w:pPr>
        <w:ind w:left="1464" w:hanging="397"/>
      </w:pPr>
      <w:rPr>
        <w:rFonts w:hint="default"/>
        <w:lang w:val="en-US" w:eastAsia="en-US" w:bidi="ar-SA"/>
      </w:rPr>
    </w:lvl>
    <w:lvl w:ilvl="2" w:tplc="67FCB966">
      <w:start w:val="1"/>
      <w:numFmt w:val="bullet"/>
      <w:lvlText w:val="•"/>
      <w:lvlJc w:val="left"/>
      <w:pPr>
        <w:ind w:left="2388" w:hanging="397"/>
      </w:pPr>
      <w:rPr>
        <w:rFonts w:hint="default"/>
        <w:lang w:val="en-US" w:eastAsia="en-US" w:bidi="ar-SA"/>
      </w:rPr>
    </w:lvl>
    <w:lvl w:ilvl="3" w:tplc="0E181430">
      <w:start w:val="1"/>
      <w:numFmt w:val="bullet"/>
      <w:lvlText w:val="•"/>
      <w:lvlJc w:val="left"/>
      <w:pPr>
        <w:ind w:left="3312" w:hanging="397"/>
      </w:pPr>
      <w:rPr>
        <w:rFonts w:hint="default"/>
        <w:lang w:val="en-US" w:eastAsia="en-US" w:bidi="ar-SA"/>
      </w:rPr>
    </w:lvl>
    <w:lvl w:ilvl="4" w:tplc="DC925D4C">
      <w:start w:val="1"/>
      <w:numFmt w:val="bullet"/>
      <w:lvlText w:val="•"/>
      <w:lvlJc w:val="left"/>
      <w:pPr>
        <w:ind w:left="4236" w:hanging="397"/>
      </w:pPr>
      <w:rPr>
        <w:rFonts w:hint="default"/>
        <w:lang w:val="en-US" w:eastAsia="en-US" w:bidi="ar-SA"/>
      </w:rPr>
    </w:lvl>
    <w:lvl w:ilvl="5" w:tplc="9B548D10">
      <w:start w:val="1"/>
      <w:numFmt w:val="bullet"/>
      <w:lvlText w:val="•"/>
      <w:lvlJc w:val="left"/>
      <w:pPr>
        <w:ind w:left="5160" w:hanging="397"/>
      </w:pPr>
      <w:rPr>
        <w:rFonts w:hint="default"/>
        <w:lang w:val="en-US" w:eastAsia="en-US" w:bidi="ar-SA"/>
      </w:rPr>
    </w:lvl>
    <w:lvl w:ilvl="6" w:tplc="1032BBFA">
      <w:start w:val="1"/>
      <w:numFmt w:val="bullet"/>
      <w:lvlText w:val="•"/>
      <w:lvlJc w:val="left"/>
      <w:pPr>
        <w:ind w:left="6084" w:hanging="397"/>
      </w:pPr>
      <w:rPr>
        <w:rFonts w:hint="default"/>
        <w:lang w:val="en-US" w:eastAsia="en-US" w:bidi="ar-SA"/>
      </w:rPr>
    </w:lvl>
    <w:lvl w:ilvl="7" w:tplc="FC5AC4BC">
      <w:start w:val="1"/>
      <w:numFmt w:val="bullet"/>
      <w:lvlText w:val="•"/>
      <w:lvlJc w:val="left"/>
      <w:pPr>
        <w:ind w:left="7008" w:hanging="397"/>
      </w:pPr>
      <w:rPr>
        <w:rFonts w:hint="default"/>
        <w:lang w:val="en-US" w:eastAsia="en-US" w:bidi="ar-SA"/>
      </w:rPr>
    </w:lvl>
    <w:lvl w:ilvl="8" w:tplc="EDD22BBE">
      <w:start w:val="1"/>
      <w:numFmt w:val="bullet"/>
      <w:lvlText w:val="•"/>
      <w:lvlJc w:val="left"/>
      <w:pPr>
        <w:ind w:left="7933" w:hanging="397"/>
      </w:pPr>
      <w:rPr>
        <w:rFonts w:hint="default"/>
        <w:lang w:val="en-US" w:eastAsia="en-US" w:bidi="ar-SA"/>
      </w:rPr>
    </w:lvl>
  </w:abstractNum>
  <w:abstractNum w:abstractNumId="51" w15:restartNumberingAfterBreak="0">
    <w:nsid w:val="00000041"/>
    <w:multiLevelType w:val="hybridMultilevel"/>
    <w:tmpl w:val="F6BABF6E"/>
    <w:lvl w:ilvl="0" w:tplc="5B5E9A70">
      <w:start w:val="12"/>
      <w:numFmt w:val="bullet"/>
      <w:lvlText w:val="-"/>
      <w:lvlJc w:val="left"/>
      <w:pPr>
        <w:ind w:left="1170" w:hanging="360"/>
      </w:pPr>
      <w:rPr>
        <w:rFonts w:ascii="Arial" w:eastAsia="SimSun" w:hAnsi="Arial" w:cs="Arial" w:hint="default"/>
      </w:rPr>
    </w:lvl>
    <w:lvl w:ilvl="1" w:tplc="59D829F4">
      <w:start w:val="12"/>
      <w:numFmt w:val="bullet"/>
      <w:pStyle w:val="DashedItems"/>
      <w:lvlText w:val="-"/>
      <w:lvlJc w:val="left"/>
      <w:pPr>
        <w:ind w:left="1890" w:hanging="360"/>
      </w:pPr>
      <w:rPr>
        <w:rFonts w:ascii="Arial" w:eastAsia="SimSun" w:hAnsi="Arial" w:cs="Arial" w:hint="default"/>
      </w:rPr>
    </w:lvl>
    <w:lvl w:ilvl="2" w:tplc="34090005" w:tentative="1">
      <w:start w:val="1"/>
      <w:numFmt w:val="bullet"/>
      <w:lvlText w:val=""/>
      <w:lvlJc w:val="left"/>
      <w:pPr>
        <w:ind w:left="2610" w:hanging="360"/>
      </w:pPr>
      <w:rPr>
        <w:rFonts w:ascii="Wingdings" w:hAnsi="Wingdings" w:hint="default"/>
      </w:rPr>
    </w:lvl>
    <w:lvl w:ilvl="3" w:tplc="34090001" w:tentative="1">
      <w:start w:val="1"/>
      <w:numFmt w:val="bullet"/>
      <w:lvlText w:val=""/>
      <w:lvlJc w:val="left"/>
      <w:pPr>
        <w:ind w:left="3330" w:hanging="360"/>
      </w:pPr>
      <w:rPr>
        <w:rFonts w:ascii="Symbol" w:hAnsi="Symbol" w:hint="default"/>
      </w:rPr>
    </w:lvl>
    <w:lvl w:ilvl="4" w:tplc="34090003" w:tentative="1">
      <w:start w:val="1"/>
      <w:numFmt w:val="bullet"/>
      <w:lvlText w:val="o"/>
      <w:lvlJc w:val="left"/>
      <w:pPr>
        <w:ind w:left="4050" w:hanging="360"/>
      </w:pPr>
      <w:rPr>
        <w:rFonts w:ascii="Courier New" w:hAnsi="Courier New" w:cs="Courier New" w:hint="default"/>
      </w:rPr>
    </w:lvl>
    <w:lvl w:ilvl="5" w:tplc="34090005" w:tentative="1">
      <w:start w:val="1"/>
      <w:numFmt w:val="bullet"/>
      <w:lvlText w:val=""/>
      <w:lvlJc w:val="left"/>
      <w:pPr>
        <w:ind w:left="4770" w:hanging="360"/>
      </w:pPr>
      <w:rPr>
        <w:rFonts w:ascii="Wingdings" w:hAnsi="Wingdings" w:hint="default"/>
      </w:rPr>
    </w:lvl>
    <w:lvl w:ilvl="6" w:tplc="34090001" w:tentative="1">
      <w:start w:val="1"/>
      <w:numFmt w:val="bullet"/>
      <w:lvlText w:val=""/>
      <w:lvlJc w:val="left"/>
      <w:pPr>
        <w:ind w:left="5490" w:hanging="360"/>
      </w:pPr>
      <w:rPr>
        <w:rFonts w:ascii="Symbol" w:hAnsi="Symbol" w:hint="default"/>
      </w:rPr>
    </w:lvl>
    <w:lvl w:ilvl="7" w:tplc="34090003" w:tentative="1">
      <w:start w:val="1"/>
      <w:numFmt w:val="bullet"/>
      <w:lvlText w:val="o"/>
      <w:lvlJc w:val="left"/>
      <w:pPr>
        <w:ind w:left="6210" w:hanging="360"/>
      </w:pPr>
      <w:rPr>
        <w:rFonts w:ascii="Courier New" w:hAnsi="Courier New" w:cs="Courier New" w:hint="default"/>
      </w:rPr>
    </w:lvl>
    <w:lvl w:ilvl="8" w:tplc="34090005" w:tentative="1">
      <w:start w:val="1"/>
      <w:numFmt w:val="bullet"/>
      <w:lvlText w:val=""/>
      <w:lvlJc w:val="left"/>
      <w:pPr>
        <w:ind w:left="6930" w:hanging="360"/>
      </w:pPr>
      <w:rPr>
        <w:rFonts w:ascii="Wingdings" w:hAnsi="Wingdings" w:hint="default"/>
      </w:rPr>
    </w:lvl>
  </w:abstractNum>
  <w:abstractNum w:abstractNumId="52" w15:restartNumberingAfterBreak="0">
    <w:nsid w:val="00000042"/>
    <w:multiLevelType w:val="hybridMultilevel"/>
    <w:tmpl w:val="C5888956"/>
    <w:lvl w:ilvl="0" w:tplc="105A9FB6">
      <w:start w:val="1"/>
      <w:numFmt w:val="bullet"/>
      <w:pStyle w:val="Bullet"/>
      <w:lvlText w:val=""/>
      <w:lvlJc w:val="left"/>
      <w:pPr>
        <w:ind w:left="780" w:hanging="360"/>
      </w:pPr>
      <w:rPr>
        <w:rFonts w:ascii="Symbol" w:hAnsi="Symbol" w:hint="default"/>
      </w:rPr>
    </w:lvl>
    <w:lvl w:ilvl="1" w:tplc="34090003">
      <w:start w:val="1"/>
      <w:numFmt w:val="bullet"/>
      <w:lvlText w:val="o"/>
      <w:lvlJc w:val="left"/>
      <w:pPr>
        <w:ind w:left="1500" w:hanging="360"/>
      </w:pPr>
      <w:rPr>
        <w:rFonts w:ascii="Courier New" w:hAnsi="Courier New" w:cs="Courier New" w:hint="default"/>
      </w:rPr>
    </w:lvl>
    <w:lvl w:ilvl="2" w:tplc="34090005">
      <w:start w:val="1"/>
      <w:numFmt w:val="bullet"/>
      <w:lvlText w:val=""/>
      <w:lvlJc w:val="left"/>
      <w:pPr>
        <w:ind w:left="2220" w:hanging="360"/>
      </w:pPr>
      <w:rPr>
        <w:rFonts w:ascii="Wingdings" w:hAnsi="Wingdings" w:hint="default"/>
      </w:rPr>
    </w:lvl>
    <w:lvl w:ilvl="3" w:tplc="34090001">
      <w:start w:val="1"/>
      <w:numFmt w:val="bullet"/>
      <w:lvlText w:val=""/>
      <w:lvlJc w:val="left"/>
      <w:pPr>
        <w:ind w:left="2940" w:hanging="360"/>
      </w:pPr>
      <w:rPr>
        <w:rFonts w:ascii="Symbol" w:hAnsi="Symbol" w:hint="default"/>
      </w:rPr>
    </w:lvl>
    <w:lvl w:ilvl="4" w:tplc="34090003">
      <w:start w:val="1"/>
      <w:numFmt w:val="bullet"/>
      <w:lvlText w:val="o"/>
      <w:lvlJc w:val="left"/>
      <w:pPr>
        <w:ind w:left="3660" w:hanging="360"/>
      </w:pPr>
      <w:rPr>
        <w:rFonts w:ascii="Courier New" w:hAnsi="Courier New" w:cs="Courier New" w:hint="default"/>
      </w:rPr>
    </w:lvl>
    <w:lvl w:ilvl="5" w:tplc="34090005">
      <w:start w:val="1"/>
      <w:numFmt w:val="bullet"/>
      <w:lvlText w:val=""/>
      <w:lvlJc w:val="left"/>
      <w:pPr>
        <w:ind w:left="4380" w:hanging="360"/>
      </w:pPr>
      <w:rPr>
        <w:rFonts w:ascii="Wingdings" w:hAnsi="Wingdings" w:hint="default"/>
      </w:rPr>
    </w:lvl>
    <w:lvl w:ilvl="6" w:tplc="34090001">
      <w:start w:val="1"/>
      <w:numFmt w:val="bullet"/>
      <w:lvlText w:val=""/>
      <w:lvlJc w:val="left"/>
      <w:pPr>
        <w:ind w:left="5100" w:hanging="360"/>
      </w:pPr>
      <w:rPr>
        <w:rFonts w:ascii="Symbol" w:hAnsi="Symbol" w:hint="default"/>
      </w:rPr>
    </w:lvl>
    <w:lvl w:ilvl="7" w:tplc="34090003">
      <w:start w:val="1"/>
      <w:numFmt w:val="bullet"/>
      <w:lvlText w:val="o"/>
      <w:lvlJc w:val="left"/>
      <w:pPr>
        <w:ind w:left="5820" w:hanging="360"/>
      </w:pPr>
      <w:rPr>
        <w:rFonts w:ascii="Courier New" w:hAnsi="Courier New" w:cs="Courier New" w:hint="default"/>
      </w:rPr>
    </w:lvl>
    <w:lvl w:ilvl="8" w:tplc="34090005">
      <w:start w:val="1"/>
      <w:numFmt w:val="bullet"/>
      <w:lvlText w:val=""/>
      <w:lvlJc w:val="left"/>
      <w:pPr>
        <w:ind w:left="6540" w:hanging="360"/>
      </w:pPr>
      <w:rPr>
        <w:rFonts w:ascii="Wingdings" w:hAnsi="Wingdings" w:hint="default"/>
      </w:rPr>
    </w:lvl>
  </w:abstractNum>
  <w:abstractNum w:abstractNumId="53" w15:restartNumberingAfterBreak="0">
    <w:nsid w:val="00000043"/>
    <w:multiLevelType w:val="multilevel"/>
    <w:tmpl w:val="7C184A8C"/>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54" w15:restartNumberingAfterBreak="0">
    <w:nsid w:val="00000044"/>
    <w:multiLevelType w:val="multilevel"/>
    <w:tmpl w:val="7D28E50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5" w15:restartNumberingAfterBreak="0">
    <w:nsid w:val="00000045"/>
    <w:multiLevelType w:val="hybridMultilevel"/>
    <w:tmpl w:val="519E752C"/>
    <w:lvl w:ilvl="0" w:tplc="7408F364">
      <w:start w:val="1"/>
      <w:numFmt w:val="decimal"/>
      <w:pStyle w:val="ADBNum"/>
      <w:lvlText w:val="%1."/>
      <w:lvlJc w:val="left"/>
      <w:pPr>
        <w:ind w:left="720" w:hanging="360"/>
      </w:pPr>
      <w:rPr>
        <w:b w:val="0"/>
        <w:bCs w:val="0"/>
        <w:lang w:val="en-US"/>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00000047"/>
    <w:multiLevelType w:val="multilevel"/>
    <w:tmpl w:val="94DAEA5C"/>
    <w:lvl w:ilvl="0">
      <w:start w:val="1"/>
      <w:numFmt w:val="upperLetter"/>
      <w:lvlText w:val="%1."/>
      <w:lvlJc w:val="left"/>
      <w:pPr>
        <w:tabs>
          <w:tab w:val="left" w:pos="504"/>
        </w:tabs>
        <w:ind w:left="504" w:hanging="504"/>
      </w:pPr>
      <w:rPr>
        <w:rFonts w:hint="default"/>
      </w:rPr>
    </w:lvl>
    <w:lvl w:ilvl="1">
      <w:start w:val="16"/>
      <w:numFmt w:val="decimal"/>
      <w:pStyle w:val="Level3Body"/>
      <w:lvlText w:val="%2."/>
      <w:lvlJc w:val="left"/>
      <w:pPr>
        <w:tabs>
          <w:tab w:val="left" w:pos="504"/>
        </w:tabs>
        <w:ind w:left="504" w:hanging="504"/>
      </w:pPr>
    </w:lvl>
    <w:lvl w:ilvl="2">
      <w:start w:val="1"/>
      <w:numFmt w:val="decimal"/>
      <w:lvlText w:val="%3."/>
      <w:lvlJc w:val="left"/>
      <w:pPr>
        <w:tabs>
          <w:tab w:val="left" w:pos="0"/>
        </w:tabs>
        <w:ind w:left="2160" w:hanging="720"/>
      </w:pPr>
    </w:lvl>
    <w:lvl w:ilvl="3">
      <w:start w:val="1"/>
      <w:numFmt w:val="decimal"/>
      <w:lvlText w:val="%4."/>
      <w:lvlJc w:val="left"/>
      <w:pPr>
        <w:tabs>
          <w:tab w:val="left" w:pos="0"/>
        </w:tabs>
        <w:ind w:left="2880" w:hanging="720"/>
      </w:pPr>
    </w:lvl>
    <w:lvl w:ilvl="4">
      <w:start w:val="1"/>
      <w:numFmt w:val="decimal"/>
      <w:lvlText w:val="%5."/>
      <w:lvlJc w:val="left"/>
      <w:pPr>
        <w:tabs>
          <w:tab w:val="left" w:pos="0"/>
        </w:tabs>
        <w:ind w:left="3600" w:hanging="720"/>
      </w:pPr>
    </w:lvl>
    <w:lvl w:ilvl="5">
      <w:start w:val="1"/>
      <w:numFmt w:val="decimal"/>
      <w:lvlText w:val="%6."/>
      <w:lvlJc w:val="left"/>
      <w:pPr>
        <w:tabs>
          <w:tab w:val="left" w:pos="0"/>
        </w:tabs>
        <w:ind w:left="4320" w:hanging="720"/>
      </w:pPr>
    </w:lvl>
    <w:lvl w:ilvl="6">
      <w:start w:val="1"/>
      <w:numFmt w:val="decimal"/>
      <w:lvlText w:val="%7."/>
      <w:lvlJc w:val="left"/>
      <w:pPr>
        <w:tabs>
          <w:tab w:val="left" w:pos="0"/>
        </w:tabs>
        <w:ind w:left="5040" w:hanging="720"/>
      </w:pPr>
    </w:lvl>
    <w:lvl w:ilvl="7">
      <w:start w:val="1"/>
      <w:numFmt w:val="decimal"/>
      <w:lvlText w:val="%8."/>
      <w:lvlJc w:val="left"/>
      <w:pPr>
        <w:tabs>
          <w:tab w:val="left" w:pos="0"/>
        </w:tabs>
        <w:ind w:left="5760" w:hanging="720"/>
      </w:pPr>
    </w:lvl>
    <w:lvl w:ilvl="8">
      <w:start w:val="1"/>
      <w:numFmt w:val="lowerRoman"/>
      <w:lvlText w:val="%9"/>
      <w:lvlJc w:val="left"/>
      <w:pPr>
        <w:tabs>
          <w:tab w:val="left" w:pos="0"/>
        </w:tabs>
        <w:ind w:left="6480" w:hanging="720"/>
      </w:pPr>
    </w:lvl>
  </w:abstractNum>
  <w:abstractNum w:abstractNumId="57" w15:restartNumberingAfterBreak="0">
    <w:nsid w:val="00000048"/>
    <w:multiLevelType w:val="multilevel"/>
    <w:tmpl w:val="865615BA"/>
    <w:lvl w:ilvl="0">
      <w:start w:val="1"/>
      <w:numFmt w:val="decimal"/>
      <w:pStyle w:val="numbereditemsinpar"/>
      <w:lvlText w:val="%1."/>
      <w:lvlJc w:val="left"/>
      <w:pPr>
        <w:ind w:left="360" w:hanging="360"/>
      </w:pPr>
      <w:rPr>
        <w:b w:val="0"/>
      </w:rPr>
    </w:lvl>
    <w:lvl w:ilvl="1">
      <w:start w:val="1"/>
      <w:numFmt w:val="lowerLetter"/>
      <w:lvlText w:val="%2."/>
      <w:lvlJc w:val="left"/>
      <w:pPr>
        <w:ind w:left="720" w:hanging="360"/>
      </w:pPr>
    </w:lvl>
    <w:lvl w:ilvl="2">
      <w:start w:val="1"/>
      <w:numFmt w:val="bullet"/>
      <w:lvlText w:val="●"/>
      <w:lvlJc w:val="left"/>
      <w:pPr>
        <w:ind w:left="5220" w:hanging="360"/>
      </w:pPr>
      <w:rPr>
        <w:rFonts w:ascii="Noto Sans Symbols" w:eastAsia="Noto Sans Symbols" w:hAnsi="Noto Sans Symbols" w:cs="Noto Sans Symbols"/>
      </w:rPr>
    </w:lvl>
    <w:lvl w:ilvl="3">
      <w:start w:val="1"/>
      <w:numFmt w:val="decimal"/>
      <w:lvlText w:val="%4."/>
      <w:lvlJc w:val="left"/>
      <w:pPr>
        <w:ind w:left="5760" w:hanging="360"/>
      </w:pPr>
    </w:lvl>
    <w:lvl w:ilvl="4">
      <w:start w:val="1"/>
      <w:numFmt w:val="lowerLetter"/>
      <w:lvlText w:val="%5."/>
      <w:lvlJc w:val="left"/>
      <w:pPr>
        <w:ind w:left="6480" w:hanging="360"/>
      </w:pPr>
    </w:lvl>
    <w:lvl w:ilvl="5">
      <w:start w:val="1"/>
      <w:numFmt w:val="lowerRoman"/>
      <w:lvlText w:val="%6."/>
      <w:lvlJc w:val="right"/>
      <w:pPr>
        <w:ind w:left="7200" w:hanging="180"/>
      </w:pPr>
    </w:lvl>
    <w:lvl w:ilvl="6">
      <w:start w:val="1"/>
      <w:numFmt w:val="decimal"/>
      <w:lvlText w:val="%7."/>
      <w:lvlJc w:val="left"/>
      <w:pPr>
        <w:ind w:left="7920" w:hanging="360"/>
      </w:pPr>
    </w:lvl>
    <w:lvl w:ilvl="7">
      <w:start w:val="1"/>
      <w:numFmt w:val="lowerLetter"/>
      <w:lvlText w:val="%8."/>
      <w:lvlJc w:val="left"/>
      <w:pPr>
        <w:ind w:left="8640" w:hanging="360"/>
      </w:pPr>
    </w:lvl>
    <w:lvl w:ilvl="8">
      <w:start w:val="1"/>
      <w:numFmt w:val="lowerRoman"/>
      <w:lvlText w:val="%9."/>
      <w:lvlJc w:val="right"/>
      <w:pPr>
        <w:ind w:left="9360" w:hanging="180"/>
      </w:pPr>
    </w:lvl>
  </w:abstractNum>
  <w:abstractNum w:abstractNumId="58" w15:restartNumberingAfterBreak="0">
    <w:nsid w:val="00000049"/>
    <w:multiLevelType w:val="hybridMultilevel"/>
    <w:tmpl w:val="7E9E08CC"/>
    <w:lvl w:ilvl="0" w:tplc="B76C5426">
      <w:start w:val="1"/>
      <w:numFmt w:val="bullet"/>
      <w:lvlText w:val=""/>
      <w:lvlJc w:val="left"/>
      <w:pPr>
        <w:ind w:left="1020" w:hanging="360"/>
      </w:pPr>
      <w:rPr>
        <w:rFonts w:ascii="Symbol" w:hAnsi="Symbol"/>
      </w:rPr>
    </w:lvl>
    <w:lvl w:ilvl="1" w:tplc="CEC63D12">
      <w:start w:val="1"/>
      <w:numFmt w:val="bullet"/>
      <w:lvlText w:val=""/>
      <w:lvlJc w:val="left"/>
      <w:pPr>
        <w:ind w:left="1020" w:hanging="360"/>
      </w:pPr>
      <w:rPr>
        <w:rFonts w:ascii="Symbol" w:hAnsi="Symbol"/>
      </w:rPr>
    </w:lvl>
    <w:lvl w:ilvl="2" w:tplc="26B083E2">
      <w:start w:val="1"/>
      <w:numFmt w:val="bullet"/>
      <w:lvlText w:val=""/>
      <w:lvlJc w:val="left"/>
      <w:pPr>
        <w:ind w:left="1020" w:hanging="360"/>
      </w:pPr>
      <w:rPr>
        <w:rFonts w:ascii="Symbol" w:hAnsi="Symbol"/>
      </w:rPr>
    </w:lvl>
    <w:lvl w:ilvl="3" w:tplc="F35006D8">
      <w:start w:val="1"/>
      <w:numFmt w:val="bullet"/>
      <w:lvlText w:val=""/>
      <w:lvlJc w:val="left"/>
      <w:pPr>
        <w:ind w:left="1020" w:hanging="360"/>
      </w:pPr>
      <w:rPr>
        <w:rFonts w:ascii="Symbol" w:hAnsi="Symbol"/>
      </w:rPr>
    </w:lvl>
    <w:lvl w:ilvl="4" w:tplc="CD0838B4">
      <w:start w:val="1"/>
      <w:numFmt w:val="bullet"/>
      <w:lvlText w:val=""/>
      <w:lvlJc w:val="left"/>
      <w:pPr>
        <w:ind w:left="1020" w:hanging="360"/>
      </w:pPr>
      <w:rPr>
        <w:rFonts w:ascii="Symbol" w:hAnsi="Symbol"/>
      </w:rPr>
    </w:lvl>
    <w:lvl w:ilvl="5" w:tplc="C53AFCCE">
      <w:start w:val="1"/>
      <w:numFmt w:val="bullet"/>
      <w:lvlText w:val=""/>
      <w:lvlJc w:val="left"/>
      <w:pPr>
        <w:ind w:left="1020" w:hanging="360"/>
      </w:pPr>
      <w:rPr>
        <w:rFonts w:ascii="Symbol" w:hAnsi="Symbol"/>
      </w:rPr>
    </w:lvl>
    <w:lvl w:ilvl="6" w:tplc="2C1CA822">
      <w:start w:val="1"/>
      <w:numFmt w:val="bullet"/>
      <w:lvlText w:val=""/>
      <w:lvlJc w:val="left"/>
      <w:pPr>
        <w:ind w:left="1020" w:hanging="360"/>
      </w:pPr>
      <w:rPr>
        <w:rFonts w:ascii="Symbol" w:hAnsi="Symbol"/>
      </w:rPr>
    </w:lvl>
    <w:lvl w:ilvl="7" w:tplc="9FCA9BE6">
      <w:start w:val="1"/>
      <w:numFmt w:val="bullet"/>
      <w:lvlText w:val=""/>
      <w:lvlJc w:val="left"/>
      <w:pPr>
        <w:ind w:left="1020" w:hanging="360"/>
      </w:pPr>
      <w:rPr>
        <w:rFonts w:ascii="Symbol" w:hAnsi="Symbol"/>
      </w:rPr>
    </w:lvl>
    <w:lvl w:ilvl="8" w:tplc="6D4C9A7E">
      <w:start w:val="1"/>
      <w:numFmt w:val="bullet"/>
      <w:lvlText w:val=""/>
      <w:lvlJc w:val="left"/>
      <w:pPr>
        <w:ind w:left="1020" w:hanging="360"/>
      </w:pPr>
      <w:rPr>
        <w:rFonts w:ascii="Symbol" w:hAnsi="Symbol"/>
      </w:rPr>
    </w:lvl>
  </w:abstractNum>
  <w:abstractNum w:abstractNumId="59" w15:restartNumberingAfterBreak="0">
    <w:nsid w:val="0000004A"/>
    <w:multiLevelType w:val="hybridMultilevel"/>
    <w:tmpl w:val="EDE86D82"/>
    <w:lvl w:ilvl="0" w:tplc="88BAE756">
      <w:start w:val="1"/>
      <w:numFmt w:val="decimal"/>
      <w:pStyle w:val="Numbereditems"/>
      <w:lvlText w:val="%1."/>
      <w:lvlJc w:val="left"/>
      <w:pPr>
        <w:ind w:left="720" w:hanging="360"/>
      </w:pPr>
      <w:rPr>
        <w:rFonts w:hint="default"/>
      </w:rPr>
    </w:lvl>
    <w:lvl w:ilvl="1" w:tplc="04090019" w:tentative="1">
      <w:start w:val="1"/>
      <w:numFmt w:val="lowerLetter"/>
      <w:pStyle w:val="Numbereditems"/>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pStyle w:val="Numbereditems"/>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0000004C"/>
    <w:multiLevelType w:val="hybridMultilevel"/>
    <w:tmpl w:val="24DA1B62"/>
    <w:lvl w:ilvl="0" w:tplc="C1161A62">
      <w:start w:val="1"/>
      <w:numFmt w:val="bullet"/>
      <w:pStyle w:val="DashinTable"/>
      <w:lvlText w:val="-"/>
      <w:lvlJc w:val="left"/>
      <w:pPr>
        <w:ind w:left="470" w:hanging="360"/>
      </w:pPr>
      <w:rPr>
        <w:rFonts w:ascii="Times New Roman" w:eastAsia="Calibri" w:hAnsi="Times New Roman" w:cs="Times New Roman"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BD3C1B4C">
      <w:start w:val="1"/>
      <w:numFmt w:val="bullet"/>
      <w:pStyle w:val="DashinTable"/>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61" w15:restartNumberingAfterBreak="0">
    <w:nsid w:val="0000004E"/>
    <w:multiLevelType w:val="hybridMultilevel"/>
    <w:tmpl w:val="6252665E"/>
    <w:lvl w:ilvl="0" w:tplc="8B6063E4">
      <w:start w:val="1"/>
      <w:numFmt w:val="bullet"/>
      <w:lvlText w:val=""/>
      <w:lvlJc w:val="left"/>
      <w:pPr>
        <w:ind w:left="1020" w:hanging="360"/>
      </w:pPr>
      <w:rPr>
        <w:rFonts w:ascii="Symbol" w:hAnsi="Symbol"/>
      </w:rPr>
    </w:lvl>
    <w:lvl w:ilvl="1" w:tplc="8F483616">
      <w:start w:val="1"/>
      <w:numFmt w:val="bullet"/>
      <w:lvlText w:val=""/>
      <w:lvlJc w:val="left"/>
      <w:pPr>
        <w:ind w:left="1020" w:hanging="360"/>
      </w:pPr>
      <w:rPr>
        <w:rFonts w:ascii="Symbol" w:hAnsi="Symbol"/>
      </w:rPr>
    </w:lvl>
    <w:lvl w:ilvl="2" w:tplc="713A5D8E">
      <w:start w:val="1"/>
      <w:numFmt w:val="bullet"/>
      <w:lvlText w:val=""/>
      <w:lvlJc w:val="left"/>
      <w:pPr>
        <w:ind w:left="1020" w:hanging="360"/>
      </w:pPr>
      <w:rPr>
        <w:rFonts w:ascii="Symbol" w:hAnsi="Symbol"/>
      </w:rPr>
    </w:lvl>
    <w:lvl w:ilvl="3" w:tplc="9F5ACF5A">
      <w:start w:val="1"/>
      <w:numFmt w:val="bullet"/>
      <w:lvlText w:val=""/>
      <w:lvlJc w:val="left"/>
      <w:pPr>
        <w:ind w:left="1020" w:hanging="360"/>
      </w:pPr>
      <w:rPr>
        <w:rFonts w:ascii="Symbol" w:hAnsi="Symbol"/>
      </w:rPr>
    </w:lvl>
    <w:lvl w:ilvl="4" w:tplc="51626E30">
      <w:start w:val="1"/>
      <w:numFmt w:val="bullet"/>
      <w:lvlText w:val=""/>
      <w:lvlJc w:val="left"/>
      <w:pPr>
        <w:ind w:left="1020" w:hanging="360"/>
      </w:pPr>
      <w:rPr>
        <w:rFonts w:ascii="Symbol" w:hAnsi="Symbol"/>
      </w:rPr>
    </w:lvl>
    <w:lvl w:ilvl="5" w:tplc="B8AC4884">
      <w:start w:val="1"/>
      <w:numFmt w:val="bullet"/>
      <w:lvlText w:val=""/>
      <w:lvlJc w:val="left"/>
      <w:pPr>
        <w:ind w:left="1020" w:hanging="360"/>
      </w:pPr>
      <w:rPr>
        <w:rFonts w:ascii="Symbol" w:hAnsi="Symbol"/>
      </w:rPr>
    </w:lvl>
    <w:lvl w:ilvl="6" w:tplc="6AAE06BC">
      <w:start w:val="1"/>
      <w:numFmt w:val="bullet"/>
      <w:lvlText w:val=""/>
      <w:lvlJc w:val="left"/>
      <w:pPr>
        <w:ind w:left="1020" w:hanging="360"/>
      </w:pPr>
      <w:rPr>
        <w:rFonts w:ascii="Symbol" w:hAnsi="Symbol"/>
      </w:rPr>
    </w:lvl>
    <w:lvl w:ilvl="7" w:tplc="B762C59C">
      <w:start w:val="1"/>
      <w:numFmt w:val="bullet"/>
      <w:lvlText w:val=""/>
      <w:lvlJc w:val="left"/>
      <w:pPr>
        <w:ind w:left="1020" w:hanging="360"/>
      </w:pPr>
      <w:rPr>
        <w:rFonts w:ascii="Symbol" w:hAnsi="Symbol"/>
      </w:rPr>
    </w:lvl>
    <w:lvl w:ilvl="8" w:tplc="AE1E2EE8">
      <w:start w:val="1"/>
      <w:numFmt w:val="bullet"/>
      <w:lvlText w:val=""/>
      <w:lvlJc w:val="left"/>
      <w:pPr>
        <w:ind w:left="1020" w:hanging="360"/>
      </w:pPr>
      <w:rPr>
        <w:rFonts w:ascii="Symbol" w:hAnsi="Symbol"/>
      </w:rPr>
    </w:lvl>
  </w:abstractNum>
  <w:abstractNum w:abstractNumId="62" w15:restartNumberingAfterBreak="0">
    <w:nsid w:val="00000051"/>
    <w:multiLevelType w:val="hybridMultilevel"/>
    <w:tmpl w:val="66009942"/>
    <w:lvl w:ilvl="0" w:tplc="EC6C6D1E">
      <w:start w:val="1"/>
      <w:numFmt w:val="bullet"/>
      <w:pStyle w:val="DiaList12"/>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0000054"/>
    <w:multiLevelType w:val="hybridMultilevel"/>
    <w:tmpl w:val="F48AF15A"/>
    <w:lvl w:ilvl="0" w:tplc="D0D27DC0">
      <w:start w:val="1"/>
      <w:numFmt w:val="lowerRoman"/>
      <w:lvlText w:val="(%1)"/>
      <w:lvlJc w:val="left"/>
      <w:pPr>
        <w:ind w:left="720" w:hanging="360"/>
      </w:pPr>
      <w:rPr>
        <w:rFonts w:hint="default"/>
      </w:rPr>
    </w:lvl>
    <w:lvl w:ilvl="1" w:tplc="34090017">
      <w:start w:val="1"/>
      <w:numFmt w:val="lowerLetter"/>
      <w:lvlText w:val="%2)"/>
      <w:lvlJc w:val="left"/>
      <w:pPr>
        <w:ind w:left="1440" w:hanging="360"/>
      </w:pPr>
    </w:lvl>
    <w:lvl w:ilvl="2" w:tplc="D27A2250">
      <w:start w:val="1"/>
      <w:numFmt w:val="upperLetter"/>
      <w:pStyle w:val="ALetteritems"/>
      <w:lvlText w:val="%3."/>
      <w:lvlJc w:val="left"/>
      <w:pPr>
        <w:ind w:left="2340" w:hanging="360"/>
      </w:pPr>
      <w:rPr>
        <w:rFonts w:hint="default"/>
      </w:r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4" w15:restartNumberingAfterBreak="0">
    <w:nsid w:val="00000056"/>
    <w:multiLevelType w:val="hybridMultilevel"/>
    <w:tmpl w:val="3EF0105C"/>
    <w:lvl w:ilvl="0" w:tplc="0C14C87A">
      <w:start w:val="1"/>
      <w:numFmt w:val="bullet"/>
      <w:pStyle w:val="New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779E4DB4">
      <w:start w:val="1"/>
      <w:numFmt w:val="bullet"/>
      <w:lvlText w:val="•"/>
      <w:lvlJc w:val="left"/>
      <w:pPr>
        <w:ind w:left="877" w:hanging="360"/>
      </w:pPr>
      <w:rPr>
        <w:rFonts w:hint="default"/>
        <w:lang w:val="en-US" w:eastAsia="en-US" w:bidi="ar-SA"/>
      </w:rPr>
    </w:lvl>
    <w:lvl w:ilvl="2" w:tplc="6E0A121E">
      <w:start w:val="1"/>
      <w:numFmt w:val="bullet"/>
      <w:lvlText w:val="•"/>
      <w:lvlJc w:val="left"/>
      <w:pPr>
        <w:ind w:left="1294" w:hanging="360"/>
      </w:pPr>
      <w:rPr>
        <w:rFonts w:hint="default"/>
        <w:lang w:val="en-US" w:eastAsia="en-US" w:bidi="ar-SA"/>
      </w:rPr>
    </w:lvl>
    <w:lvl w:ilvl="3" w:tplc="821290C2">
      <w:start w:val="1"/>
      <w:numFmt w:val="bullet"/>
      <w:lvlText w:val="•"/>
      <w:lvlJc w:val="left"/>
      <w:pPr>
        <w:ind w:left="1711" w:hanging="360"/>
      </w:pPr>
      <w:rPr>
        <w:rFonts w:hint="default"/>
        <w:lang w:val="en-US" w:eastAsia="en-US" w:bidi="ar-SA"/>
      </w:rPr>
    </w:lvl>
    <w:lvl w:ilvl="4" w:tplc="C5E8D36C">
      <w:start w:val="1"/>
      <w:numFmt w:val="bullet"/>
      <w:lvlText w:val="•"/>
      <w:lvlJc w:val="left"/>
      <w:pPr>
        <w:ind w:left="2128" w:hanging="360"/>
      </w:pPr>
      <w:rPr>
        <w:rFonts w:hint="default"/>
        <w:lang w:val="en-US" w:eastAsia="en-US" w:bidi="ar-SA"/>
      </w:rPr>
    </w:lvl>
    <w:lvl w:ilvl="5" w:tplc="8A545828">
      <w:start w:val="1"/>
      <w:numFmt w:val="bullet"/>
      <w:lvlText w:val="•"/>
      <w:lvlJc w:val="left"/>
      <w:pPr>
        <w:ind w:left="2545" w:hanging="360"/>
      </w:pPr>
      <w:rPr>
        <w:rFonts w:hint="default"/>
        <w:lang w:val="en-US" w:eastAsia="en-US" w:bidi="ar-SA"/>
      </w:rPr>
    </w:lvl>
    <w:lvl w:ilvl="6" w:tplc="65304818">
      <w:start w:val="1"/>
      <w:numFmt w:val="bullet"/>
      <w:lvlText w:val="•"/>
      <w:lvlJc w:val="left"/>
      <w:pPr>
        <w:ind w:left="2962" w:hanging="360"/>
      </w:pPr>
      <w:rPr>
        <w:rFonts w:hint="default"/>
        <w:lang w:val="en-US" w:eastAsia="en-US" w:bidi="ar-SA"/>
      </w:rPr>
    </w:lvl>
    <w:lvl w:ilvl="7" w:tplc="186C2E7A">
      <w:start w:val="1"/>
      <w:numFmt w:val="bullet"/>
      <w:lvlText w:val="•"/>
      <w:lvlJc w:val="left"/>
      <w:pPr>
        <w:ind w:left="3379" w:hanging="360"/>
      </w:pPr>
      <w:rPr>
        <w:rFonts w:hint="default"/>
        <w:lang w:val="en-US" w:eastAsia="en-US" w:bidi="ar-SA"/>
      </w:rPr>
    </w:lvl>
    <w:lvl w:ilvl="8" w:tplc="755A5F68">
      <w:start w:val="1"/>
      <w:numFmt w:val="bullet"/>
      <w:lvlText w:val="•"/>
      <w:lvlJc w:val="left"/>
      <w:pPr>
        <w:ind w:left="3796" w:hanging="360"/>
      </w:pPr>
      <w:rPr>
        <w:rFonts w:hint="default"/>
        <w:lang w:val="en-US" w:eastAsia="en-US" w:bidi="ar-SA"/>
      </w:rPr>
    </w:lvl>
  </w:abstractNum>
  <w:abstractNum w:abstractNumId="65" w15:restartNumberingAfterBreak="0">
    <w:nsid w:val="00000057"/>
    <w:multiLevelType w:val="multilevel"/>
    <w:tmpl w:val="0518C138"/>
    <w:lvl w:ilvl="0">
      <w:start w:val="1"/>
      <w:numFmt w:val="decimal"/>
      <w:pStyle w:val="Appnumbereditems"/>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15:restartNumberingAfterBreak="0">
    <w:nsid w:val="00000058"/>
    <w:multiLevelType w:val="hybridMultilevel"/>
    <w:tmpl w:val="E982CB2A"/>
    <w:lvl w:ilvl="0" w:tplc="8EA6ECFE">
      <w:start w:val="1"/>
      <w:numFmt w:val="bullet"/>
      <w:lvlText w:val="•"/>
      <w:lvlJc w:val="left"/>
      <w:pPr>
        <w:ind w:left="462" w:hanging="360"/>
      </w:pPr>
      <w:rPr>
        <w:rFonts w:ascii="Verdana" w:eastAsia="Verdana" w:hAnsi="Verdana" w:cs="Verdana" w:hint="default"/>
        <w:b w:val="0"/>
        <w:bCs w:val="0"/>
        <w:i w:val="0"/>
        <w:iCs w:val="0"/>
        <w:spacing w:val="0"/>
        <w:w w:val="100"/>
        <w:sz w:val="18"/>
        <w:szCs w:val="18"/>
        <w:lang w:val="en-US" w:eastAsia="en-US" w:bidi="ar-SA"/>
      </w:rPr>
    </w:lvl>
    <w:lvl w:ilvl="1" w:tplc="859E9306">
      <w:start w:val="1"/>
      <w:numFmt w:val="bullet"/>
      <w:lvlText w:val="•"/>
      <w:lvlJc w:val="left"/>
      <w:pPr>
        <w:ind w:left="999" w:hanging="360"/>
      </w:pPr>
      <w:rPr>
        <w:rFonts w:hint="default"/>
        <w:lang w:val="en-US" w:eastAsia="en-US" w:bidi="ar-SA"/>
      </w:rPr>
    </w:lvl>
    <w:lvl w:ilvl="2" w:tplc="CF569F8C">
      <w:start w:val="1"/>
      <w:numFmt w:val="bullet"/>
      <w:lvlText w:val="•"/>
      <w:lvlJc w:val="left"/>
      <w:pPr>
        <w:ind w:left="1539" w:hanging="360"/>
      </w:pPr>
      <w:rPr>
        <w:rFonts w:hint="default"/>
        <w:lang w:val="en-US" w:eastAsia="en-US" w:bidi="ar-SA"/>
      </w:rPr>
    </w:lvl>
    <w:lvl w:ilvl="3" w:tplc="31760898">
      <w:start w:val="1"/>
      <w:numFmt w:val="bullet"/>
      <w:lvlText w:val="•"/>
      <w:lvlJc w:val="left"/>
      <w:pPr>
        <w:ind w:left="2078" w:hanging="360"/>
      </w:pPr>
      <w:rPr>
        <w:rFonts w:hint="default"/>
        <w:lang w:val="en-US" w:eastAsia="en-US" w:bidi="ar-SA"/>
      </w:rPr>
    </w:lvl>
    <w:lvl w:ilvl="4" w:tplc="3258B9CE">
      <w:start w:val="1"/>
      <w:numFmt w:val="bullet"/>
      <w:lvlText w:val="•"/>
      <w:lvlJc w:val="left"/>
      <w:pPr>
        <w:ind w:left="2618" w:hanging="360"/>
      </w:pPr>
      <w:rPr>
        <w:rFonts w:hint="default"/>
        <w:lang w:val="en-US" w:eastAsia="en-US" w:bidi="ar-SA"/>
      </w:rPr>
    </w:lvl>
    <w:lvl w:ilvl="5" w:tplc="A6D85618">
      <w:start w:val="1"/>
      <w:numFmt w:val="bullet"/>
      <w:lvlText w:val="•"/>
      <w:lvlJc w:val="left"/>
      <w:pPr>
        <w:ind w:left="3157" w:hanging="360"/>
      </w:pPr>
      <w:rPr>
        <w:rFonts w:hint="default"/>
        <w:lang w:val="en-US" w:eastAsia="en-US" w:bidi="ar-SA"/>
      </w:rPr>
    </w:lvl>
    <w:lvl w:ilvl="6" w:tplc="27E275C4">
      <w:start w:val="1"/>
      <w:numFmt w:val="bullet"/>
      <w:lvlText w:val="•"/>
      <w:lvlJc w:val="left"/>
      <w:pPr>
        <w:ind w:left="3697" w:hanging="360"/>
      </w:pPr>
      <w:rPr>
        <w:rFonts w:hint="default"/>
        <w:lang w:val="en-US" w:eastAsia="en-US" w:bidi="ar-SA"/>
      </w:rPr>
    </w:lvl>
    <w:lvl w:ilvl="7" w:tplc="6F7EB7FC">
      <w:start w:val="1"/>
      <w:numFmt w:val="bullet"/>
      <w:lvlText w:val="•"/>
      <w:lvlJc w:val="left"/>
      <w:pPr>
        <w:ind w:left="4236" w:hanging="360"/>
      </w:pPr>
      <w:rPr>
        <w:rFonts w:hint="default"/>
        <w:lang w:val="en-US" w:eastAsia="en-US" w:bidi="ar-SA"/>
      </w:rPr>
    </w:lvl>
    <w:lvl w:ilvl="8" w:tplc="D7A8E2C4">
      <w:start w:val="1"/>
      <w:numFmt w:val="bullet"/>
      <w:lvlText w:val="•"/>
      <w:lvlJc w:val="left"/>
      <w:pPr>
        <w:ind w:left="4776" w:hanging="360"/>
      </w:pPr>
      <w:rPr>
        <w:rFonts w:hint="default"/>
        <w:lang w:val="en-US" w:eastAsia="en-US" w:bidi="ar-SA"/>
      </w:rPr>
    </w:lvl>
  </w:abstractNum>
  <w:abstractNum w:abstractNumId="67" w15:restartNumberingAfterBreak="0">
    <w:nsid w:val="00000059"/>
    <w:multiLevelType w:val="hybridMultilevel"/>
    <w:tmpl w:val="B5C0F900"/>
    <w:lvl w:ilvl="0" w:tplc="3F144FAE">
      <w:start w:val="1"/>
      <w:numFmt w:val="bullet"/>
      <w:lvlText w:val=""/>
      <w:lvlJc w:val="left"/>
      <w:pPr>
        <w:ind w:left="1020" w:hanging="360"/>
      </w:pPr>
      <w:rPr>
        <w:rFonts w:ascii="Symbol" w:hAnsi="Symbol"/>
      </w:rPr>
    </w:lvl>
    <w:lvl w:ilvl="1" w:tplc="5F64F5A6">
      <w:start w:val="1"/>
      <w:numFmt w:val="bullet"/>
      <w:lvlText w:val=""/>
      <w:lvlJc w:val="left"/>
      <w:pPr>
        <w:ind w:left="1020" w:hanging="360"/>
      </w:pPr>
      <w:rPr>
        <w:rFonts w:ascii="Symbol" w:hAnsi="Symbol"/>
      </w:rPr>
    </w:lvl>
    <w:lvl w:ilvl="2" w:tplc="750A8934">
      <w:start w:val="1"/>
      <w:numFmt w:val="bullet"/>
      <w:lvlText w:val=""/>
      <w:lvlJc w:val="left"/>
      <w:pPr>
        <w:ind w:left="1020" w:hanging="360"/>
      </w:pPr>
      <w:rPr>
        <w:rFonts w:ascii="Symbol" w:hAnsi="Symbol"/>
      </w:rPr>
    </w:lvl>
    <w:lvl w:ilvl="3" w:tplc="F26469B8">
      <w:start w:val="1"/>
      <w:numFmt w:val="bullet"/>
      <w:lvlText w:val=""/>
      <w:lvlJc w:val="left"/>
      <w:pPr>
        <w:ind w:left="1020" w:hanging="360"/>
      </w:pPr>
      <w:rPr>
        <w:rFonts w:ascii="Symbol" w:hAnsi="Symbol"/>
      </w:rPr>
    </w:lvl>
    <w:lvl w:ilvl="4" w:tplc="212C1320">
      <w:start w:val="1"/>
      <w:numFmt w:val="bullet"/>
      <w:lvlText w:val=""/>
      <w:lvlJc w:val="left"/>
      <w:pPr>
        <w:ind w:left="1020" w:hanging="360"/>
      </w:pPr>
      <w:rPr>
        <w:rFonts w:ascii="Symbol" w:hAnsi="Symbol"/>
      </w:rPr>
    </w:lvl>
    <w:lvl w:ilvl="5" w:tplc="2D14B85C">
      <w:start w:val="1"/>
      <w:numFmt w:val="bullet"/>
      <w:lvlText w:val=""/>
      <w:lvlJc w:val="left"/>
      <w:pPr>
        <w:ind w:left="1020" w:hanging="360"/>
      </w:pPr>
      <w:rPr>
        <w:rFonts w:ascii="Symbol" w:hAnsi="Symbol"/>
      </w:rPr>
    </w:lvl>
    <w:lvl w:ilvl="6" w:tplc="1F44C86C">
      <w:start w:val="1"/>
      <w:numFmt w:val="bullet"/>
      <w:lvlText w:val=""/>
      <w:lvlJc w:val="left"/>
      <w:pPr>
        <w:ind w:left="1020" w:hanging="360"/>
      </w:pPr>
      <w:rPr>
        <w:rFonts w:ascii="Symbol" w:hAnsi="Symbol"/>
      </w:rPr>
    </w:lvl>
    <w:lvl w:ilvl="7" w:tplc="4F3E4CE8">
      <w:start w:val="1"/>
      <w:numFmt w:val="bullet"/>
      <w:lvlText w:val=""/>
      <w:lvlJc w:val="left"/>
      <w:pPr>
        <w:ind w:left="1020" w:hanging="360"/>
      </w:pPr>
      <w:rPr>
        <w:rFonts w:ascii="Symbol" w:hAnsi="Symbol"/>
      </w:rPr>
    </w:lvl>
    <w:lvl w:ilvl="8" w:tplc="E6BEB892">
      <w:start w:val="1"/>
      <w:numFmt w:val="bullet"/>
      <w:lvlText w:val=""/>
      <w:lvlJc w:val="left"/>
      <w:pPr>
        <w:ind w:left="1020" w:hanging="360"/>
      </w:pPr>
      <w:rPr>
        <w:rFonts w:ascii="Symbol" w:hAnsi="Symbol"/>
      </w:rPr>
    </w:lvl>
  </w:abstractNum>
  <w:abstractNum w:abstractNumId="68" w15:restartNumberingAfterBreak="0">
    <w:nsid w:val="0000005A"/>
    <w:multiLevelType w:val="multilevel"/>
    <w:tmpl w:val="8D4E8D6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0000005D"/>
    <w:multiLevelType w:val="multilevel"/>
    <w:tmpl w:val="37A29A34"/>
    <w:lvl w:ilvl="0">
      <w:start w:val="1"/>
      <w:numFmt w:val="decimal"/>
      <w:pStyle w:val="FirstLevelbullet"/>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70" w15:restartNumberingAfterBreak="0">
    <w:nsid w:val="0000005E"/>
    <w:multiLevelType w:val="multilevel"/>
    <w:tmpl w:val="E188D0D2"/>
    <w:lvl w:ilvl="0">
      <w:start w:val="1"/>
      <w:numFmt w:val="decimal"/>
      <w:lvlText w:val="%1"/>
      <w:lvlJc w:val="left"/>
      <w:pPr>
        <w:ind w:left="432" w:hanging="432"/>
      </w:pPr>
    </w:lvl>
    <w:lvl w:ilvl="1">
      <w:start w:val="1"/>
      <w:numFmt w:val="decimal"/>
      <w:pStyle w:val="20"/>
      <w:lvlText w:val="%1.%2"/>
      <w:lvlJc w:val="left"/>
      <w:pPr>
        <w:ind w:left="576" w:hanging="576"/>
      </w:pPr>
    </w:lvl>
    <w:lvl w:ilvl="2">
      <w:start w:val="1"/>
      <w:numFmt w:val="decimal"/>
      <w:pStyle w:val="31"/>
      <w:lvlText w:val="%1.%2.%3"/>
      <w:lvlJc w:val="left"/>
      <w:pPr>
        <w:ind w:left="1800" w:hanging="720"/>
      </w:pPr>
      <w:rPr>
        <w:b/>
        <w:bCs w:val="0"/>
        <w:i w:val="0"/>
        <w:iCs w:val="0"/>
        <w:caps w:val="0"/>
        <w:smallCaps w:val="0"/>
        <w:outline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flat"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rPr>
    </w:lvl>
    <w:lvl w:ilvl="3">
      <w:start w:val="1"/>
      <w:numFmt w:val="decimal"/>
      <w:pStyle w:val="41"/>
      <w:lvlText w:val="%1.%2.%3.%4"/>
      <w:lvlJc w:val="left"/>
      <w:pPr>
        <w:ind w:left="864" w:hanging="864"/>
      </w:pPr>
      <w:rPr>
        <w:sz w:val="24"/>
        <w:szCs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0000005F"/>
    <w:multiLevelType w:val="hybridMultilevel"/>
    <w:tmpl w:val="F0C6888E"/>
    <w:lvl w:ilvl="0" w:tplc="1F905FCE">
      <w:start w:val="1"/>
      <w:numFmt w:val="bullet"/>
      <w:pStyle w:val="MARKER1"/>
      <w:lvlText w:val=""/>
      <w:lvlJc w:val="left"/>
      <w:pPr>
        <w:ind w:left="833" w:hanging="360"/>
      </w:pPr>
      <w:rPr>
        <w:rFonts w:ascii="Symbol" w:hAnsi="Symbol" w:hint="default"/>
      </w:rPr>
    </w:lvl>
    <w:lvl w:ilvl="1" w:tplc="04190003">
      <w:start w:val="1"/>
      <w:numFmt w:val="bullet"/>
      <w:lvlText w:val="o"/>
      <w:lvlJc w:val="left"/>
      <w:pPr>
        <w:ind w:left="1553" w:hanging="360"/>
      </w:pPr>
      <w:rPr>
        <w:rFonts w:ascii="Courier New" w:hAnsi="Courier New" w:cs="Courier New" w:hint="default"/>
      </w:rPr>
    </w:lvl>
    <w:lvl w:ilvl="2" w:tplc="04190005">
      <w:start w:val="1"/>
      <w:numFmt w:val="bullet"/>
      <w:lvlText w:val=""/>
      <w:lvlJc w:val="left"/>
      <w:pPr>
        <w:ind w:left="2273" w:hanging="360"/>
      </w:pPr>
      <w:rPr>
        <w:rFonts w:ascii="Wingdings" w:hAnsi="Wingdings" w:hint="default"/>
      </w:rPr>
    </w:lvl>
    <w:lvl w:ilvl="3" w:tplc="04190001">
      <w:start w:val="1"/>
      <w:numFmt w:val="bullet"/>
      <w:lvlText w:val=""/>
      <w:lvlJc w:val="left"/>
      <w:pPr>
        <w:ind w:left="2993" w:hanging="360"/>
      </w:pPr>
      <w:rPr>
        <w:rFonts w:ascii="Symbol" w:hAnsi="Symbol" w:hint="default"/>
      </w:rPr>
    </w:lvl>
    <w:lvl w:ilvl="4" w:tplc="04190003">
      <w:start w:val="1"/>
      <w:numFmt w:val="bullet"/>
      <w:lvlText w:val="o"/>
      <w:lvlJc w:val="left"/>
      <w:pPr>
        <w:ind w:left="3713" w:hanging="360"/>
      </w:pPr>
      <w:rPr>
        <w:rFonts w:ascii="Courier New" w:hAnsi="Courier New" w:cs="Courier New" w:hint="default"/>
      </w:rPr>
    </w:lvl>
    <w:lvl w:ilvl="5" w:tplc="04190005">
      <w:start w:val="1"/>
      <w:numFmt w:val="bullet"/>
      <w:lvlText w:val=""/>
      <w:lvlJc w:val="left"/>
      <w:pPr>
        <w:ind w:left="4433" w:hanging="360"/>
      </w:pPr>
      <w:rPr>
        <w:rFonts w:ascii="Wingdings" w:hAnsi="Wingdings" w:hint="default"/>
      </w:rPr>
    </w:lvl>
    <w:lvl w:ilvl="6" w:tplc="04190001">
      <w:start w:val="1"/>
      <w:numFmt w:val="bullet"/>
      <w:lvlText w:val=""/>
      <w:lvlJc w:val="left"/>
      <w:pPr>
        <w:ind w:left="5153" w:hanging="360"/>
      </w:pPr>
      <w:rPr>
        <w:rFonts w:ascii="Symbol" w:hAnsi="Symbol" w:hint="default"/>
      </w:rPr>
    </w:lvl>
    <w:lvl w:ilvl="7" w:tplc="04190003">
      <w:start w:val="1"/>
      <w:numFmt w:val="bullet"/>
      <w:lvlText w:val="o"/>
      <w:lvlJc w:val="left"/>
      <w:pPr>
        <w:ind w:left="5873" w:hanging="360"/>
      </w:pPr>
      <w:rPr>
        <w:rFonts w:ascii="Courier New" w:hAnsi="Courier New" w:cs="Courier New" w:hint="default"/>
      </w:rPr>
    </w:lvl>
    <w:lvl w:ilvl="8" w:tplc="04190005">
      <w:start w:val="1"/>
      <w:numFmt w:val="bullet"/>
      <w:lvlText w:val=""/>
      <w:lvlJc w:val="left"/>
      <w:pPr>
        <w:ind w:left="6593" w:hanging="360"/>
      </w:pPr>
      <w:rPr>
        <w:rFonts w:ascii="Wingdings" w:hAnsi="Wingdings" w:hint="default"/>
      </w:rPr>
    </w:lvl>
  </w:abstractNum>
  <w:abstractNum w:abstractNumId="72" w15:restartNumberingAfterBreak="0">
    <w:nsid w:val="00000060"/>
    <w:multiLevelType w:val="hybridMultilevel"/>
    <w:tmpl w:val="D5E40F54"/>
    <w:lvl w:ilvl="0" w:tplc="FFFFFFFF">
      <w:start w:val="1"/>
      <w:numFmt w:val="bullet"/>
      <w:pStyle w:val="BulletTable"/>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57548F6A">
      <w:start w:val="1"/>
      <w:numFmt w:val="bullet"/>
      <w:pStyle w:val="BulletTable"/>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73" w15:restartNumberingAfterBreak="0">
    <w:nsid w:val="00000061"/>
    <w:multiLevelType w:val="multilevel"/>
    <w:tmpl w:val="67384A36"/>
    <w:lvl w:ilvl="0">
      <w:start w:val="1"/>
      <w:numFmt w:val="decimal"/>
      <w:lvlText w:val="%1."/>
      <w:lvlJc w:val="left"/>
      <w:pPr>
        <w:ind w:left="1150" w:hanging="721"/>
        <w:jc w:val="right"/>
      </w:pPr>
      <w:rPr>
        <w:rFonts w:ascii="Verdana" w:eastAsia="Verdana" w:hAnsi="Verdana" w:cs="Verdana" w:hint="default"/>
        <w:b w:val="0"/>
        <w:bCs w:val="0"/>
        <w:i w:val="0"/>
        <w:iCs w:val="0"/>
        <w:color w:val="008218"/>
        <w:spacing w:val="0"/>
        <w:w w:val="100"/>
        <w:sz w:val="28"/>
        <w:szCs w:val="28"/>
        <w:lang w:val="en-US" w:eastAsia="en-US" w:bidi="ar-SA"/>
      </w:rPr>
    </w:lvl>
    <w:lvl w:ilvl="1">
      <w:start w:val="1"/>
      <w:numFmt w:val="decimal"/>
      <w:lvlText w:val="%1.%2"/>
      <w:lvlJc w:val="left"/>
      <w:pPr>
        <w:ind w:left="1054" w:hanging="625"/>
        <w:jc w:val="right"/>
      </w:pPr>
      <w:rPr>
        <w:lang w:val="en-US" w:eastAsia="en-US" w:bidi="ar-SA"/>
      </w:rPr>
    </w:lvl>
    <w:lvl w:ilvl="2">
      <w:start w:val="1"/>
      <w:numFmt w:val="decimal"/>
      <w:lvlText w:val="%1.%2.%3"/>
      <w:lvlJc w:val="left"/>
      <w:pPr>
        <w:ind w:left="882" w:hanging="738"/>
      </w:pPr>
      <w:rPr>
        <w:rFonts w:ascii="Verdana" w:eastAsia="Verdana" w:hAnsi="Verdana" w:cs="Verdana" w:hint="default"/>
        <w:b w:val="0"/>
        <w:bCs w:val="0"/>
        <w:i w:val="0"/>
        <w:iCs w:val="0"/>
        <w:color w:val="008218"/>
        <w:spacing w:val="0"/>
        <w:w w:val="100"/>
        <w:sz w:val="22"/>
        <w:szCs w:val="22"/>
        <w:lang w:val="en-US" w:eastAsia="en-US" w:bidi="ar-SA"/>
      </w:rPr>
    </w:lvl>
    <w:lvl w:ilvl="3">
      <w:start w:val="1"/>
      <w:numFmt w:val="decimal"/>
      <w:pStyle w:val="1111Heading"/>
      <w:lvlText w:val="%1.%2.%3.%4"/>
      <w:lvlJc w:val="left"/>
      <w:pPr>
        <w:ind w:left="969" w:hanging="966"/>
      </w:pPr>
      <w:rPr>
        <w:rFonts w:ascii="Arial" w:eastAsia="Verdana" w:hAnsi="Arial" w:cs="Arial" w:hint="default"/>
        <w:b w:val="0"/>
        <w:bCs w:val="0"/>
        <w:i w:val="0"/>
        <w:iCs w:val="0"/>
        <w:color w:val="auto"/>
        <w:spacing w:val="0"/>
        <w:w w:val="99"/>
        <w:sz w:val="24"/>
        <w:szCs w:val="24"/>
        <w:lang w:val="en-US" w:eastAsia="en-US" w:bidi="ar-SA"/>
      </w:rPr>
    </w:lvl>
    <w:lvl w:ilvl="4">
      <w:start w:val="1"/>
      <w:numFmt w:val="bullet"/>
      <w:lvlText w:val="•"/>
      <w:lvlJc w:val="left"/>
      <w:pPr>
        <w:ind w:left="540" w:hanging="397"/>
      </w:pPr>
      <w:rPr>
        <w:rFonts w:ascii="Verdana" w:eastAsia="Verdana" w:hAnsi="Verdana" w:cs="Verdana" w:hint="default"/>
        <w:spacing w:val="0"/>
        <w:w w:val="99"/>
        <w:lang w:val="en-US" w:eastAsia="en-US" w:bidi="ar-SA"/>
      </w:rPr>
    </w:lvl>
    <w:lvl w:ilvl="5">
      <w:start w:val="1"/>
      <w:numFmt w:val="bullet"/>
      <w:lvlText w:val="–"/>
      <w:lvlJc w:val="left"/>
      <w:pPr>
        <w:ind w:left="1336" w:hanging="397"/>
      </w:pPr>
      <w:rPr>
        <w:rFonts w:ascii="Verdana" w:eastAsia="Verdana" w:hAnsi="Verdana" w:cs="Verdana" w:hint="default"/>
        <w:b w:val="0"/>
        <w:bCs w:val="0"/>
        <w:i w:val="0"/>
        <w:iCs w:val="0"/>
        <w:spacing w:val="0"/>
        <w:w w:val="99"/>
        <w:sz w:val="20"/>
        <w:szCs w:val="20"/>
        <w:lang w:val="en-US" w:eastAsia="en-US" w:bidi="ar-SA"/>
      </w:rPr>
    </w:lvl>
    <w:lvl w:ilvl="6">
      <w:start w:val="1"/>
      <w:numFmt w:val="bullet"/>
      <w:lvlText w:val="•"/>
      <w:lvlJc w:val="left"/>
      <w:pPr>
        <w:ind w:left="880" w:hanging="397"/>
      </w:pPr>
      <w:rPr>
        <w:rFonts w:hint="default"/>
        <w:lang w:val="en-US" w:eastAsia="en-US" w:bidi="ar-SA"/>
      </w:rPr>
    </w:lvl>
    <w:lvl w:ilvl="7">
      <w:start w:val="1"/>
      <w:numFmt w:val="bullet"/>
      <w:lvlText w:val="•"/>
      <w:lvlJc w:val="left"/>
      <w:pPr>
        <w:ind w:left="960" w:hanging="397"/>
      </w:pPr>
      <w:rPr>
        <w:rFonts w:hint="default"/>
        <w:lang w:val="en-US" w:eastAsia="en-US" w:bidi="ar-SA"/>
      </w:rPr>
    </w:lvl>
    <w:lvl w:ilvl="8">
      <w:start w:val="1"/>
      <w:numFmt w:val="bullet"/>
      <w:lvlText w:val="•"/>
      <w:lvlJc w:val="left"/>
      <w:pPr>
        <w:ind w:left="1020" w:hanging="397"/>
      </w:pPr>
      <w:rPr>
        <w:rFonts w:hint="default"/>
        <w:lang w:val="en-US" w:eastAsia="en-US" w:bidi="ar-SA"/>
      </w:rPr>
    </w:lvl>
  </w:abstractNum>
  <w:abstractNum w:abstractNumId="74" w15:restartNumberingAfterBreak="0">
    <w:nsid w:val="00000062"/>
    <w:multiLevelType w:val="hybridMultilevel"/>
    <w:tmpl w:val="FC5A8D8A"/>
    <w:lvl w:ilvl="0" w:tplc="2C981EBC">
      <w:start w:val="1"/>
      <w:numFmt w:val="bullet"/>
      <w:pStyle w:val="Bullet12"/>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72B860D6">
      <w:start w:val="1"/>
      <w:numFmt w:val="bullet"/>
      <w:pStyle w:val="Bullet12"/>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75" w15:restartNumberingAfterBreak="0">
    <w:nsid w:val="00000065"/>
    <w:multiLevelType w:val="hybridMultilevel"/>
    <w:tmpl w:val="E312C686"/>
    <w:lvl w:ilvl="0" w:tplc="89085838">
      <w:start w:val="1"/>
      <w:numFmt w:val="decimal"/>
      <w:pStyle w:val="NumberedlistinPar"/>
      <w:lvlText w:val="%1."/>
      <w:lvlJc w:val="left"/>
      <w:pPr>
        <w:ind w:left="3960" w:hanging="360"/>
      </w:pPr>
      <w:rPr>
        <w:rFonts w:ascii="Arial" w:hAnsi="Arial" w:cs="Calibri" w:hint="default"/>
        <w:b w:val="0"/>
        <w:bCs/>
        <w:i w:val="0"/>
        <w:color w:val="auto"/>
        <w:w w:val="100"/>
        <w:sz w:val="24"/>
        <w:szCs w:val="22"/>
      </w:rPr>
    </w:lvl>
    <w:lvl w:ilvl="1" w:tplc="34090019" w:tentative="1">
      <w:start w:val="1"/>
      <w:numFmt w:val="lowerLetter"/>
      <w:lvlText w:val="%2."/>
      <w:lvlJc w:val="left"/>
      <w:pPr>
        <w:ind w:left="4680" w:hanging="360"/>
      </w:pPr>
    </w:lvl>
    <w:lvl w:ilvl="2" w:tplc="3409001B" w:tentative="1">
      <w:start w:val="1"/>
      <w:numFmt w:val="lowerRoman"/>
      <w:lvlText w:val="%3."/>
      <w:lvlJc w:val="right"/>
      <w:pPr>
        <w:ind w:left="5400" w:hanging="180"/>
      </w:pPr>
    </w:lvl>
    <w:lvl w:ilvl="3" w:tplc="3409000F" w:tentative="1">
      <w:start w:val="1"/>
      <w:numFmt w:val="decimal"/>
      <w:lvlText w:val="%4."/>
      <w:lvlJc w:val="left"/>
      <w:pPr>
        <w:ind w:left="6120" w:hanging="360"/>
      </w:pPr>
    </w:lvl>
    <w:lvl w:ilvl="4" w:tplc="34090019" w:tentative="1">
      <w:start w:val="1"/>
      <w:numFmt w:val="lowerLetter"/>
      <w:lvlText w:val="%5."/>
      <w:lvlJc w:val="left"/>
      <w:pPr>
        <w:ind w:left="6840" w:hanging="360"/>
      </w:pPr>
    </w:lvl>
    <w:lvl w:ilvl="5" w:tplc="3409001B" w:tentative="1">
      <w:start w:val="1"/>
      <w:numFmt w:val="lowerRoman"/>
      <w:lvlText w:val="%6."/>
      <w:lvlJc w:val="right"/>
      <w:pPr>
        <w:ind w:left="7560" w:hanging="180"/>
      </w:pPr>
    </w:lvl>
    <w:lvl w:ilvl="6" w:tplc="3409000F" w:tentative="1">
      <w:start w:val="1"/>
      <w:numFmt w:val="decimal"/>
      <w:lvlText w:val="%7."/>
      <w:lvlJc w:val="left"/>
      <w:pPr>
        <w:ind w:left="8280" w:hanging="360"/>
      </w:pPr>
    </w:lvl>
    <w:lvl w:ilvl="7" w:tplc="34090019" w:tentative="1">
      <w:start w:val="1"/>
      <w:numFmt w:val="lowerLetter"/>
      <w:lvlText w:val="%8."/>
      <w:lvlJc w:val="left"/>
      <w:pPr>
        <w:ind w:left="9000" w:hanging="360"/>
      </w:pPr>
    </w:lvl>
    <w:lvl w:ilvl="8" w:tplc="3409001B" w:tentative="1">
      <w:start w:val="1"/>
      <w:numFmt w:val="lowerRoman"/>
      <w:lvlText w:val="%9."/>
      <w:lvlJc w:val="right"/>
      <w:pPr>
        <w:ind w:left="9720" w:hanging="180"/>
      </w:pPr>
    </w:lvl>
  </w:abstractNum>
  <w:abstractNum w:abstractNumId="76" w15:restartNumberingAfterBreak="0">
    <w:nsid w:val="00000066"/>
    <w:multiLevelType w:val="hybridMultilevel"/>
    <w:tmpl w:val="C03678C2"/>
    <w:lvl w:ilvl="0" w:tplc="ABD0C138">
      <w:start w:val="7"/>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307C5458">
      <w:start w:val="1"/>
      <w:numFmt w:val="bullet"/>
      <w:pStyle w:val="DashBullet"/>
      <w:lvlText w:val="-"/>
      <w:lvlJc w:val="left"/>
      <w:pPr>
        <w:ind w:left="3240" w:hanging="360"/>
      </w:pPr>
      <w:rPr>
        <w:rFonts w:ascii="Arial" w:hAnsi="Aria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00000067"/>
    <w:multiLevelType w:val="hybridMultilevel"/>
    <w:tmpl w:val="59BE34F4"/>
    <w:lvl w:ilvl="0" w:tplc="ED266294">
      <w:start w:val="1"/>
      <w:numFmt w:val="bullet"/>
      <w:pStyle w:val="Dash2Table"/>
      <w:lvlText w:val="•"/>
      <w:lvlJc w:val="left"/>
      <w:pPr>
        <w:ind w:left="460" w:hanging="360"/>
      </w:pPr>
      <w:rPr>
        <w:rFonts w:ascii="Verdana" w:eastAsia="Verdana" w:hAnsi="Verdana" w:cs="Verdana" w:hint="default"/>
        <w:b w:val="0"/>
        <w:bCs w:val="0"/>
        <w:i w:val="0"/>
        <w:iCs w:val="0"/>
        <w:spacing w:val="0"/>
        <w:w w:val="100"/>
        <w:sz w:val="18"/>
        <w:szCs w:val="18"/>
        <w:lang w:val="en-US" w:eastAsia="en-US" w:bidi="ar-SA"/>
      </w:rPr>
    </w:lvl>
    <w:lvl w:ilvl="1" w:tplc="5A583F82">
      <w:start w:val="1"/>
      <w:numFmt w:val="bullet"/>
      <w:lvlText w:val="•"/>
      <w:lvlJc w:val="left"/>
      <w:pPr>
        <w:ind w:left="966" w:hanging="360"/>
      </w:pPr>
      <w:rPr>
        <w:rFonts w:hint="default"/>
        <w:lang w:val="en-US" w:eastAsia="en-US" w:bidi="ar-SA"/>
      </w:rPr>
    </w:lvl>
    <w:lvl w:ilvl="2" w:tplc="C3D2C638">
      <w:start w:val="1"/>
      <w:numFmt w:val="bullet"/>
      <w:lvlText w:val="•"/>
      <w:lvlJc w:val="left"/>
      <w:pPr>
        <w:ind w:left="1473" w:hanging="360"/>
      </w:pPr>
      <w:rPr>
        <w:rFonts w:hint="default"/>
        <w:lang w:val="en-US" w:eastAsia="en-US" w:bidi="ar-SA"/>
      </w:rPr>
    </w:lvl>
    <w:lvl w:ilvl="3" w:tplc="DB3641BC">
      <w:start w:val="1"/>
      <w:numFmt w:val="bullet"/>
      <w:lvlText w:val="•"/>
      <w:lvlJc w:val="left"/>
      <w:pPr>
        <w:ind w:left="1979" w:hanging="360"/>
      </w:pPr>
      <w:rPr>
        <w:rFonts w:hint="default"/>
        <w:lang w:val="en-US" w:eastAsia="en-US" w:bidi="ar-SA"/>
      </w:rPr>
    </w:lvl>
    <w:lvl w:ilvl="4" w:tplc="575025B8">
      <w:start w:val="1"/>
      <w:numFmt w:val="bullet"/>
      <w:lvlText w:val="•"/>
      <w:lvlJc w:val="left"/>
      <w:pPr>
        <w:ind w:left="2486" w:hanging="360"/>
      </w:pPr>
      <w:rPr>
        <w:rFonts w:hint="default"/>
        <w:lang w:val="en-US" w:eastAsia="en-US" w:bidi="ar-SA"/>
      </w:rPr>
    </w:lvl>
    <w:lvl w:ilvl="5" w:tplc="61AEB572">
      <w:start w:val="1"/>
      <w:numFmt w:val="bullet"/>
      <w:lvlText w:val="•"/>
      <w:lvlJc w:val="left"/>
      <w:pPr>
        <w:ind w:left="2992" w:hanging="360"/>
      </w:pPr>
      <w:rPr>
        <w:rFonts w:hint="default"/>
        <w:lang w:val="en-US" w:eastAsia="en-US" w:bidi="ar-SA"/>
      </w:rPr>
    </w:lvl>
    <w:lvl w:ilvl="6" w:tplc="772C61FA">
      <w:start w:val="1"/>
      <w:numFmt w:val="bullet"/>
      <w:lvlText w:val="•"/>
      <w:lvlJc w:val="left"/>
      <w:pPr>
        <w:ind w:left="3499" w:hanging="360"/>
      </w:pPr>
      <w:rPr>
        <w:rFonts w:hint="default"/>
        <w:lang w:val="en-US" w:eastAsia="en-US" w:bidi="ar-SA"/>
      </w:rPr>
    </w:lvl>
    <w:lvl w:ilvl="7" w:tplc="4F944314">
      <w:start w:val="1"/>
      <w:numFmt w:val="bullet"/>
      <w:lvlText w:val="•"/>
      <w:lvlJc w:val="left"/>
      <w:pPr>
        <w:ind w:left="4005" w:hanging="360"/>
      </w:pPr>
      <w:rPr>
        <w:rFonts w:hint="default"/>
        <w:lang w:val="en-US" w:eastAsia="en-US" w:bidi="ar-SA"/>
      </w:rPr>
    </w:lvl>
    <w:lvl w:ilvl="8" w:tplc="C36223B6">
      <w:start w:val="1"/>
      <w:numFmt w:val="bullet"/>
      <w:lvlText w:val="•"/>
      <w:lvlJc w:val="left"/>
      <w:pPr>
        <w:ind w:left="4512" w:hanging="360"/>
      </w:pPr>
      <w:rPr>
        <w:rFonts w:hint="default"/>
        <w:lang w:val="en-US" w:eastAsia="en-US" w:bidi="ar-SA"/>
      </w:rPr>
    </w:lvl>
  </w:abstractNum>
  <w:abstractNum w:abstractNumId="78" w15:restartNumberingAfterBreak="0">
    <w:nsid w:val="00000068"/>
    <w:multiLevelType w:val="hybridMultilevel"/>
    <w:tmpl w:val="C97C2AAE"/>
    <w:lvl w:ilvl="0" w:tplc="F8520A28">
      <w:start w:val="1"/>
      <w:numFmt w:val="lowerLetter"/>
      <w:lvlText w:val="%1."/>
      <w:lvlJc w:val="left"/>
      <w:pPr>
        <w:ind w:left="1440" w:hanging="360"/>
      </w:pPr>
      <w:rPr>
        <w:rFonts w:hint="default"/>
      </w:rPr>
    </w:lvl>
    <w:lvl w:ilvl="1" w:tplc="34090019">
      <w:start w:val="1"/>
      <w:numFmt w:val="lowerLetter"/>
      <w:lvlText w:val="%2."/>
      <w:lvlJc w:val="left"/>
      <w:pPr>
        <w:ind w:left="1440" w:hanging="360"/>
      </w:pPr>
    </w:lvl>
    <w:lvl w:ilvl="2" w:tplc="99D88AB2">
      <w:start w:val="1"/>
      <w:numFmt w:val="lowerRoman"/>
      <w:pStyle w:val="Letteredsmall"/>
      <w:lvlText w:val="%3."/>
      <w:lvlJc w:val="right"/>
      <w:pPr>
        <w:ind w:left="2160" w:hanging="180"/>
      </w:pPr>
    </w:lvl>
    <w:lvl w:ilvl="3" w:tplc="3409000F">
      <w:start w:val="1"/>
      <w:numFmt w:val="decimal"/>
      <w:lvlText w:val="%4."/>
      <w:lvlJc w:val="left"/>
      <w:pPr>
        <w:ind w:left="2880" w:hanging="360"/>
      </w:pPr>
    </w:lvl>
    <w:lvl w:ilvl="4" w:tplc="EC12F560">
      <w:start w:val="7"/>
      <w:numFmt w:val="decimal"/>
      <w:lvlText w:val="%5"/>
      <w:lvlJc w:val="left"/>
      <w:pPr>
        <w:ind w:left="3600" w:hanging="360"/>
      </w:pPr>
      <w:rPr>
        <w:rFonts w:hint="default"/>
        <w:b/>
      </w:rPr>
    </w:lvl>
    <w:lvl w:ilvl="5" w:tplc="D05ABD9C">
      <w:start w:val="1"/>
      <w:numFmt w:val="lowerLetter"/>
      <w:lvlText w:val="%6)"/>
      <w:lvlJc w:val="left"/>
      <w:pPr>
        <w:ind w:left="4500" w:hanging="360"/>
      </w:pPr>
      <w:rPr>
        <w:rFonts w:hint="default"/>
        <w:b w:val="0"/>
      </w:r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9" w15:restartNumberingAfterBreak="0">
    <w:nsid w:val="00000069"/>
    <w:multiLevelType w:val="hybridMultilevel"/>
    <w:tmpl w:val="B930E1D4"/>
    <w:lvl w:ilvl="0" w:tplc="11CAC4B8">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837A68FE">
      <w:start w:val="1"/>
      <w:numFmt w:val="bullet"/>
      <w:lvlText w:val="•"/>
      <w:lvlJc w:val="left"/>
      <w:pPr>
        <w:ind w:left="1464" w:hanging="397"/>
      </w:pPr>
      <w:rPr>
        <w:rFonts w:hint="default"/>
        <w:lang w:val="en-US" w:eastAsia="en-US" w:bidi="ar-SA"/>
      </w:rPr>
    </w:lvl>
    <w:lvl w:ilvl="2" w:tplc="58AC3EF8">
      <w:start w:val="1"/>
      <w:numFmt w:val="bullet"/>
      <w:lvlText w:val="•"/>
      <w:lvlJc w:val="left"/>
      <w:pPr>
        <w:ind w:left="2388" w:hanging="397"/>
      </w:pPr>
      <w:rPr>
        <w:rFonts w:hint="default"/>
        <w:lang w:val="en-US" w:eastAsia="en-US" w:bidi="ar-SA"/>
      </w:rPr>
    </w:lvl>
    <w:lvl w:ilvl="3" w:tplc="00FAD7CC">
      <w:start w:val="1"/>
      <w:numFmt w:val="bullet"/>
      <w:lvlText w:val="•"/>
      <w:lvlJc w:val="left"/>
      <w:pPr>
        <w:ind w:left="3312" w:hanging="397"/>
      </w:pPr>
      <w:rPr>
        <w:rFonts w:hint="default"/>
        <w:lang w:val="en-US" w:eastAsia="en-US" w:bidi="ar-SA"/>
      </w:rPr>
    </w:lvl>
    <w:lvl w:ilvl="4" w:tplc="47D059BA">
      <w:start w:val="1"/>
      <w:numFmt w:val="bullet"/>
      <w:lvlText w:val="•"/>
      <w:lvlJc w:val="left"/>
      <w:pPr>
        <w:ind w:left="4236" w:hanging="397"/>
      </w:pPr>
      <w:rPr>
        <w:rFonts w:hint="default"/>
        <w:lang w:val="en-US" w:eastAsia="en-US" w:bidi="ar-SA"/>
      </w:rPr>
    </w:lvl>
    <w:lvl w:ilvl="5" w:tplc="C12AF4BE">
      <w:start w:val="1"/>
      <w:numFmt w:val="bullet"/>
      <w:lvlText w:val="•"/>
      <w:lvlJc w:val="left"/>
      <w:pPr>
        <w:ind w:left="5160" w:hanging="397"/>
      </w:pPr>
      <w:rPr>
        <w:rFonts w:hint="default"/>
        <w:lang w:val="en-US" w:eastAsia="en-US" w:bidi="ar-SA"/>
      </w:rPr>
    </w:lvl>
    <w:lvl w:ilvl="6" w:tplc="DD3E10A2">
      <w:start w:val="1"/>
      <w:numFmt w:val="bullet"/>
      <w:lvlText w:val="•"/>
      <w:lvlJc w:val="left"/>
      <w:pPr>
        <w:ind w:left="6084" w:hanging="397"/>
      </w:pPr>
      <w:rPr>
        <w:rFonts w:hint="default"/>
        <w:lang w:val="en-US" w:eastAsia="en-US" w:bidi="ar-SA"/>
      </w:rPr>
    </w:lvl>
    <w:lvl w:ilvl="7" w:tplc="74CAD100">
      <w:start w:val="1"/>
      <w:numFmt w:val="bullet"/>
      <w:lvlText w:val="•"/>
      <w:lvlJc w:val="left"/>
      <w:pPr>
        <w:ind w:left="7008" w:hanging="397"/>
      </w:pPr>
      <w:rPr>
        <w:rFonts w:hint="default"/>
        <w:lang w:val="en-US" w:eastAsia="en-US" w:bidi="ar-SA"/>
      </w:rPr>
    </w:lvl>
    <w:lvl w:ilvl="8" w:tplc="A1967CEE">
      <w:start w:val="1"/>
      <w:numFmt w:val="bullet"/>
      <w:lvlText w:val="•"/>
      <w:lvlJc w:val="left"/>
      <w:pPr>
        <w:ind w:left="7933" w:hanging="397"/>
      </w:pPr>
      <w:rPr>
        <w:rFonts w:hint="default"/>
        <w:lang w:val="en-US" w:eastAsia="en-US" w:bidi="ar-SA"/>
      </w:rPr>
    </w:lvl>
  </w:abstractNum>
  <w:abstractNum w:abstractNumId="80" w15:restartNumberingAfterBreak="0">
    <w:nsid w:val="0000006A"/>
    <w:multiLevelType w:val="hybridMultilevel"/>
    <w:tmpl w:val="E11EF8CE"/>
    <w:lvl w:ilvl="0" w:tplc="7554A8D0">
      <w:start w:val="1"/>
      <w:numFmt w:val="lowerRoman"/>
      <w:pStyle w:val="NumberList14ptspace"/>
      <w:lvlText w:val="(%1)"/>
      <w:lvlJc w:val="left"/>
      <w:pPr>
        <w:ind w:left="117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0FC00F3"/>
    <w:multiLevelType w:val="multilevel"/>
    <w:tmpl w:val="18667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0169468B"/>
    <w:multiLevelType w:val="multilevel"/>
    <w:tmpl w:val="14BCD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02663D92"/>
    <w:multiLevelType w:val="multilevel"/>
    <w:tmpl w:val="A9188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027152BA"/>
    <w:multiLevelType w:val="hybridMultilevel"/>
    <w:tmpl w:val="EBF47D42"/>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85" w15:restartNumberingAfterBreak="0">
    <w:nsid w:val="03CA1CEF"/>
    <w:multiLevelType w:val="multilevel"/>
    <w:tmpl w:val="81005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04293618"/>
    <w:multiLevelType w:val="hybridMultilevel"/>
    <w:tmpl w:val="FA78759A"/>
    <w:lvl w:ilvl="0" w:tplc="8E94571C">
      <w:start w:val="1"/>
      <w:numFmt w:val="bullet"/>
      <w:lvlText w:val="-"/>
      <w:lvlJc w:val="left"/>
      <w:pPr>
        <w:ind w:left="720" w:hanging="360"/>
      </w:pPr>
      <w:rPr>
        <w:rFonts w:ascii="Arial" w:hAnsi="Arial" w:hint="default"/>
      </w:rPr>
    </w:lvl>
    <w:lvl w:ilvl="1" w:tplc="34090003">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87" w15:restartNumberingAfterBreak="0">
    <w:nsid w:val="043048B1"/>
    <w:multiLevelType w:val="multilevel"/>
    <w:tmpl w:val="A176AB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04880ECD"/>
    <w:multiLevelType w:val="multilevel"/>
    <w:tmpl w:val="0BF4E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04D64681"/>
    <w:multiLevelType w:val="multilevel"/>
    <w:tmpl w:val="EF785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05DA3AE6"/>
    <w:multiLevelType w:val="multilevel"/>
    <w:tmpl w:val="79E0F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06302028"/>
    <w:multiLevelType w:val="multilevel"/>
    <w:tmpl w:val="B83EC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06645BDA"/>
    <w:multiLevelType w:val="hybridMultilevel"/>
    <w:tmpl w:val="E30856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15:restartNumberingAfterBreak="0">
    <w:nsid w:val="072B2A8D"/>
    <w:multiLevelType w:val="multilevel"/>
    <w:tmpl w:val="2D14A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07532A53"/>
    <w:multiLevelType w:val="hybridMultilevel"/>
    <w:tmpl w:val="EB5A8A9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07B316B5"/>
    <w:multiLevelType w:val="multilevel"/>
    <w:tmpl w:val="A56E0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07B9784E"/>
    <w:multiLevelType w:val="hybridMultilevel"/>
    <w:tmpl w:val="212AA484"/>
    <w:lvl w:ilvl="0" w:tplc="34090001">
      <w:start w:val="1"/>
      <w:numFmt w:val="bullet"/>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97" w15:restartNumberingAfterBreak="0">
    <w:nsid w:val="09EE29BB"/>
    <w:multiLevelType w:val="multilevel"/>
    <w:tmpl w:val="588EC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0A6C1490"/>
    <w:multiLevelType w:val="multilevel"/>
    <w:tmpl w:val="0F28C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0C40334C"/>
    <w:multiLevelType w:val="multilevel"/>
    <w:tmpl w:val="4FC238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0C804E09"/>
    <w:multiLevelType w:val="multilevel"/>
    <w:tmpl w:val="F6329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0CF255D8"/>
    <w:multiLevelType w:val="multilevel"/>
    <w:tmpl w:val="11649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0D6B69F8"/>
    <w:multiLevelType w:val="multilevel"/>
    <w:tmpl w:val="2780A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0DF6572A"/>
    <w:multiLevelType w:val="multilevel"/>
    <w:tmpl w:val="7E785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0E155FD2"/>
    <w:multiLevelType w:val="hybridMultilevel"/>
    <w:tmpl w:val="DF0E9E8A"/>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05" w15:restartNumberingAfterBreak="0">
    <w:nsid w:val="0EB14549"/>
    <w:multiLevelType w:val="multilevel"/>
    <w:tmpl w:val="7F7EA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0EB204E2"/>
    <w:multiLevelType w:val="multilevel"/>
    <w:tmpl w:val="0262E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0F393552"/>
    <w:multiLevelType w:val="multilevel"/>
    <w:tmpl w:val="72AEE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0FF56D6C"/>
    <w:multiLevelType w:val="multilevel"/>
    <w:tmpl w:val="097C1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10257BA1"/>
    <w:multiLevelType w:val="hybridMultilevel"/>
    <w:tmpl w:val="3B1AA7FE"/>
    <w:lvl w:ilvl="0" w:tplc="3409000B">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10" w15:restartNumberingAfterBreak="0">
    <w:nsid w:val="114C4C11"/>
    <w:multiLevelType w:val="multilevel"/>
    <w:tmpl w:val="C9A41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11BE4877"/>
    <w:multiLevelType w:val="multilevel"/>
    <w:tmpl w:val="696A6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1208763A"/>
    <w:multiLevelType w:val="multilevel"/>
    <w:tmpl w:val="B0402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122B3AA4"/>
    <w:multiLevelType w:val="multilevel"/>
    <w:tmpl w:val="DD06B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13444258"/>
    <w:multiLevelType w:val="multilevel"/>
    <w:tmpl w:val="E9146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15CB4024"/>
    <w:multiLevelType w:val="multilevel"/>
    <w:tmpl w:val="DC6A8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171656E5"/>
    <w:multiLevelType w:val="singleLevel"/>
    <w:tmpl w:val="244E2078"/>
    <w:lvl w:ilvl="0">
      <w:start w:val="1"/>
      <w:numFmt w:val="decimal"/>
      <w:pStyle w:val="50"/>
      <w:lvlText w:val="%1."/>
      <w:lvlJc w:val="left"/>
      <w:pPr>
        <w:tabs>
          <w:tab w:val="left" w:pos="1800"/>
        </w:tabs>
        <w:ind w:left="1800" w:hanging="360"/>
      </w:pPr>
    </w:lvl>
  </w:abstractNum>
  <w:abstractNum w:abstractNumId="117" w15:restartNumberingAfterBreak="0">
    <w:nsid w:val="178324DC"/>
    <w:multiLevelType w:val="multilevel"/>
    <w:tmpl w:val="66FA1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1A206704"/>
    <w:multiLevelType w:val="hybridMultilevel"/>
    <w:tmpl w:val="BB18126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9" w15:restartNumberingAfterBreak="0">
    <w:nsid w:val="1AE337D9"/>
    <w:multiLevelType w:val="multilevel"/>
    <w:tmpl w:val="93209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1B610F87"/>
    <w:multiLevelType w:val="multilevel"/>
    <w:tmpl w:val="B2202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1DD239A6"/>
    <w:multiLevelType w:val="multilevel"/>
    <w:tmpl w:val="CBA62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203F4727"/>
    <w:multiLevelType w:val="multilevel"/>
    <w:tmpl w:val="DDEAF2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0D365C5"/>
    <w:multiLevelType w:val="multilevel"/>
    <w:tmpl w:val="19229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22A96334"/>
    <w:multiLevelType w:val="multilevel"/>
    <w:tmpl w:val="3A066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243E21BD"/>
    <w:multiLevelType w:val="multilevel"/>
    <w:tmpl w:val="042C5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246913E8"/>
    <w:multiLevelType w:val="hybridMultilevel"/>
    <w:tmpl w:val="D85A9A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46F6479"/>
    <w:multiLevelType w:val="multilevel"/>
    <w:tmpl w:val="A8343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24701F86"/>
    <w:multiLevelType w:val="multilevel"/>
    <w:tmpl w:val="22B86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77607B9"/>
    <w:multiLevelType w:val="hybridMultilevel"/>
    <w:tmpl w:val="F562382E"/>
    <w:lvl w:ilvl="0" w:tplc="0409000F">
      <w:start w:val="1"/>
      <w:numFmt w:val="decimal"/>
      <w:lvlText w:val="%1."/>
      <w:lvlJc w:val="left"/>
      <w:pPr>
        <w:ind w:left="865" w:hanging="360"/>
      </w:pPr>
    </w:lvl>
    <w:lvl w:ilvl="1" w:tplc="04090019" w:tentative="1">
      <w:start w:val="1"/>
      <w:numFmt w:val="lowerLetter"/>
      <w:lvlText w:val="%2."/>
      <w:lvlJc w:val="left"/>
      <w:pPr>
        <w:ind w:left="1585" w:hanging="360"/>
      </w:pPr>
    </w:lvl>
    <w:lvl w:ilvl="2" w:tplc="0409001B" w:tentative="1">
      <w:start w:val="1"/>
      <w:numFmt w:val="lowerRoman"/>
      <w:lvlText w:val="%3."/>
      <w:lvlJc w:val="right"/>
      <w:pPr>
        <w:ind w:left="2305" w:hanging="180"/>
      </w:pPr>
    </w:lvl>
    <w:lvl w:ilvl="3" w:tplc="0409000F" w:tentative="1">
      <w:start w:val="1"/>
      <w:numFmt w:val="decimal"/>
      <w:lvlText w:val="%4."/>
      <w:lvlJc w:val="left"/>
      <w:pPr>
        <w:ind w:left="3025" w:hanging="360"/>
      </w:pPr>
    </w:lvl>
    <w:lvl w:ilvl="4" w:tplc="04090019" w:tentative="1">
      <w:start w:val="1"/>
      <w:numFmt w:val="lowerLetter"/>
      <w:lvlText w:val="%5."/>
      <w:lvlJc w:val="left"/>
      <w:pPr>
        <w:ind w:left="3745" w:hanging="360"/>
      </w:pPr>
    </w:lvl>
    <w:lvl w:ilvl="5" w:tplc="0409001B" w:tentative="1">
      <w:start w:val="1"/>
      <w:numFmt w:val="lowerRoman"/>
      <w:lvlText w:val="%6."/>
      <w:lvlJc w:val="right"/>
      <w:pPr>
        <w:ind w:left="4465" w:hanging="180"/>
      </w:pPr>
    </w:lvl>
    <w:lvl w:ilvl="6" w:tplc="0409000F" w:tentative="1">
      <w:start w:val="1"/>
      <w:numFmt w:val="decimal"/>
      <w:lvlText w:val="%7."/>
      <w:lvlJc w:val="left"/>
      <w:pPr>
        <w:ind w:left="5185" w:hanging="360"/>
      </w:pPr>
    </w:lvl>
    <w:lvl w:ilvl="7" w:tplc="04090019" w:tentative="1">
      <w:start w:val="1"/>
      <w:numFmt w:val="lowerLetter"/>
      <w:lvlText w:val="%8."/>
      <w:lvlJc w:val="left"/>
      <w:pPr>
        <w:ind w:left="5905" w:hanging="360"/>
      </w:pPr>
    </w:lvl>
    <w:lvl w:ilvl="8" w:tplc="0409001B" w:tentative="1">
      <w:start w:val="1"/>
      <w:numFmt w:val="lowerRoman"/>
      <w:lvlText w:val="%9."/>
      <w:lvlJc w:val="right"/>
      <w:pPr>
        <w:ind w:left="6625" w:hanging="180"/>
      </w:pPr>
    </w:lvl>
  </w:abstractNum>
  <w:abstractNum w:abstractNumId="130" w15:restartNumberingAfterBreak="0">
    <w:nsid w:val="27B3364D"/>
    <w:multiLevelType w:val="multilevel"/>
    <w:tmpl w:val="D42C5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28A17586"/>
    <w:multiLevelType w:val="hybridMultilevel"/>
    <w:tmpl w:val="C2C0C954"/>
    <w:lvl w:ilvl="0" w:tplc="0409000B">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32" w15:restartNumberingAfterBreak="0">
    <w:nsid w:val="28FC7D37"/>
    <w:multiLevelType w:val="multilevel"/>
    <w:tmpl w:val="F0160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2B9E0AB4"/>
    <w:multiLevelType w:val="multilevel"/>
    <w:tmpl w:val="A558A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2BA64AC4"/>
    <w:multiLevelType w:val="multilevel"/>
    <w:tmpl w:val="05E2F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2C18424E"/>
    <w:multiLevelType w:val="multilevel"/>
    <w:tmpl w:val="C9F0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2CFE418F"/>
    <w:multiLevelType w:val="multilevel"/>
    <w:tmpl w:val="ADB21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2D6D72FB"/>
    <w:multiLevelType w:val="multilevel"/>
    <w:tmpl w:val="A5985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2E4840AE"/>
    <w:multiLevelType w:val="hybridMultilevel"/>
    <w:tmpl w:val="4A70F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2F6F5FF4"/>
    <w:multiLevelType w:val="multilevel"/>
    <w:tmpl w:val="DA4AE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21167B5"/>
    <w:multiLevelType w:val="multilevel"/>
    <w:tmpl w:val="9072F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25532C6"/>
    <w:multiLevelType w:val="hybridMultilevel"/>
    <w:tmpl w:val="8F1A671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2" w15:restartNumberingAfterBreak="0">
    <w:nsid w:val="325A58BA"/>
    <w:multiLevelType w:val="multilevel"/>
    <w:tmpl w:val="3E523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289005F"/>
    <w:multiLevelType w:val="multilevel"/>
    <w:tmpl w:val="C0DA1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336C776C"/>
    <w:multiLevelType w:val="multilevel"/>
    <w:tmpl w:val="68ACE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4C65C7A"/>
    <w:multiLevelType w:val="multilevel"/>
    <w:tmpl w:val="2152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4FA09F5"/>
    <w:multiLevelType w:val="multilevel"/>
    <w:tmpl w:val="5CFCB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5B10B6D"/>
    <w:multiLevelType w:val="hybridMultilevel"/>
    <w:tmpl w:val="8C44A18E"/>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48" w15:restartNumberingAfterBreak="0">
    <w:nsid w:val="361172D9"/>
    <w:multiLevelType w:val="multilevel"/>
    <w:tmpl w:val="8B1AC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62A2C94"/>
    <w:multiLevelType w:val="multilevel"/>
    <w:tmpl w:val="B76E7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8A97B75"/>
    <w:multiLevelType w:val="multilevel"/>
    <w:tmpl w:val="F7980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8C10CFA"/>
    <w:multiLevelType w:val="multilevel"/>
    <w:tmpl w:val="02466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A1F6AEB"/>
    <w:multiLevelType w:val="multilevel"/>
    <w:tmpl w:val="F0E07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B58591C"/>
    <w:multiLevelType w:val="multilevel"/>
    <w:tmpl w:val="ABFA0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B7E035A"/>
    <w:multiLevelType w:val="multilevel"/>
    <w:tmpl w:val="94806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3C4908B0"/>
    <w:multiLevelType w:val="multilevel"/>
    <w:tmpl w:val="F7AE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CE97607"/>
    <w:multiLevelType w:val="multilevel"/>
    <w:tmpl w:val="DA929F32"/>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DAB1332"/>
    <w:multiLevelType w:val="multilevel"/>
    <w:tmpl w:val="3A600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E143435"/>
    <w:multiLevelType w:val="multilevel"/>
    <w:tmpl w:val="3A5657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EA8770E"/>
    <w:multiLevelType w:val="multilevel"/>
    <w:tmpl w:val="4AB45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F1011E9"/>
    <w:multiLevelType w:val="hybridMultilevel"/>
    <w:tmpl w:val="7F9039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F445AC5"/>
    <w:multiLevelType w:val="hybridMultilevel"/>
    <w:tmpl w:val="0314681A"/>
    <w:lvl w:ilvl="0" w:tplc="8E94571C">
      <w:start w:val="1"/>
      <w:numFmt w:val="bullet"/>
      <w:lvlText w:val="-"/>
      <w:lvlJc w:val="left"/>
      <w:pPr>
        <w:ind w:left="1800" w:hanging="360"/>
      </w:pPr>
      <w:rPr>
        <w:rFonts w:ascii="Arial" w:hAnsi="Arial" w:hint="default"/>
      </w:rPr>
    </w:lvl>
    <w:lvl w:ilvl="1" w:tplc="34090003" w:tentative="1">
      <w:start w:val="1"/>
      <w:numFmt w:val="bullet"/>
      <w:lvlText w:val="o"/>
      <w:lvlJc w:val="left"/>
      <w:pPr>
        <w:ind w:left="2520" w:hanging="360"/>
      </w:pPr>
      <w:rPr>
        <w:rFonts w:ascii="Courier New" w:hAnsi="Courier New" w:cs="Courier New" w:hint="default"/>
      </w:rPr>
    </w:lvl>
    <w:lvl w:ilvl="2" w:tplc="34090005" w:tentative="1">
      <w:start w:val="1"/>
      <w:numFmt w:val="bullet"/>
      <w:lvlText w:val=""/>
      <w:lvlJc w:val="left"/>
      <w:pPr>
        <w:ind w:left="3240" w:hanging="360"/>
      </w:pPr>
      <w:rPr>
        <w:rFonts w:ascii="Wingdings" w:hAnsi="Wingdings" w:hint="default"/>
      </w:rPr>
    </w:lvl>
    <w:lvl w:ilvl="3" w:tplc="34090001" w:tentative="1">
      <w:start w:val="1"/>
      <w:numFmt w:val="bullet"/>
      <w:lvlText w:val=""/>
      <w:lvlJc w:val="left"/>
      <w:pPr>
        <w:ind w:left="3960" w:hanging="360"/>
      </w:pPr>
      <w:rPr>
        <w:rFonts w:ascii="Symbol" w:hAnsi="Symbol" w:hint="default"/>
      </w:rPr>
    </w:lvl>
    <w:lvl w:ilvl="4" w:tplc="34090003" w:tentative="1">
      <w:start w:val="1"/>
      <w:numFmt w:val="bullet"/>
      <w:lvlText w:val="o"/>
      <w:lvlJc w:val="left"/>
      <w:pPr>
        <w:ind w:left="4680" w:hanging="360"/>
      </w:pPr>
      <w:rPr>
        <w:rFonts w:ascii="Courier New" w:hAnsi="Courier New" w:cs="Courier New" w:hint="default"/>
      </w:rPr>
    </w:lvl>
    <w:lvl w:ilvl="5" w:tplc="34090005" w:tentative="1">
      <w:start w:val="1"/>
      <w:numFmt w:val="bullet"/>
      <w:lvlText w:val=""/>
      <w:lvlJc w:val="left"/>
      <w:pPr>
        <w:ind w:left="5400" w:hanging="360"/>
      </w:pPr>
      <w:rPr>
        <w:rFonts w:ascii="Wingdings" w:hAnsi="Wingdings" w:hint="default"/>
      </w:rPr>
    </w:lvl>
    <w:lvl w:ilvl="6" w:tplc="34090001" w:tentative="1">
      <w:start w:val="1"/>
      <w:numFmt w:val="bullet"/>
      <w:lvlText w:val=""/>
      <w:lvlJc w:val="left"/>
      <w:pPr>
        <w:ind w:left="6120" w:hanging="360"/>
      </w:pPr>
      <w:rPr>
        <w:rFonts w:ascii="Symbol" w:hAnsi="Symbol" w:hint="default"/>
      </w:rPr>
    </w:lvl>
    <w:lvl w:ilvl="7" w:tplc="34090003" w:tentative="1">
      <w:start w:val="1"/>
      <w:numFmt w:val="bullet"/>
      <w:lvlText w:val="o"/>
      <w:lvlJc w:val="left"/>
      <w:pPr>
        <w:ind w:left="6840" w:hanging="360"/>
      </w:pPr>
      <w:rPr>
        <w:rFonts w:ascii="Courier New" w:hAnsi="Courier New" w:cs="Courier New" w:hint="default"/>
      </w:rPr>
    </w:lvl>
    <w:lvl w:ilvl="8" w:tplc="34090005" w:tentative="1">
      <w:start w:val="1"/>
      <w:numFmt w:val="bullet"/>
      <w:lvlText w:val=""/>
      <w:lvlJc w:val="left"/>
      <w:pPr>
        <w:ind w:left="7560" w:hanging="360"/>
      </w:pPr>
      <w:rPr>
        <w:rFonts w:ascii="Wingdings" w:hAnsi="Wingdings" w:hint="default"/>
      </w:rPr>
    </w:lvl>
  </w:abstractNum>
  <w:abstractNum w:abstractNumId="162" w15:restartNumberingAfterBreak="0">
    <w:nsid w:val="417D0E16"/>
    <w:multiLevelType w:val="multilevel"/>
    <w:tmpl w:val="37787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41A47E53"/>
    <w:multiLevelType w:val="multilevel"/>
    <w:tmpl w:val="06A8C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2917767"/>
    <w:multiLevelType w:val="hybridMultilevel"/>
    <w:tmpl w:val="DA06BE94"/>
    <w:lvl w:ilvl="0" w:tplc="93C8E17C">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65" w15:restartNumberingAfterBreak="0">
    <w:nsid w:val="43DC03FA"/>
    <w:multiLevelType w:val="multilevel"/>
    <w:tmpl w:val="7DB61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442B6676"/>
    <w:multiLevelType w:val="multilevel"/>
    <w:tmpl w:val="04163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447F0CB3"/>
    <w:multiLevelType w:val="multilevel"/>
    <w:tmpl w:val="E842D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450F0941"/>
    <w:multiLevelType w:val="multilevel"/>
    <w:tmpl w:val="67AC9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5B90CCC"/>
    <w:multiLevelType w:val="multilevel"/>
    <w:tmpl w:val="393C0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45C014D0"/>
    <w:multiLevelType w:val="multilevel"/>
    <w:tmpl w:val="69C4F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48EE0B8E"/>
    <w:multiLevelType w:val="multilevel"/>
    <w:tmpl w:val="DCC2B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49EA6A3F"/>
    <w:multiLevelType w:val="hybridMultilevel"/>
    <w:tmpl w:val="678A8F9E"/>
    <w:lvl w:ilvl="0" w:tplc="8E94571C">
      <w:start w:val="1"/>
      <w:numFmt w:val="bullet"/>
      <w:lvlText w:val="-"/>
      <w:lvlJc w:val="left"/>
      <w:pPr>
        <w:ind w:left="1262" w:hanging="360"/>
      </w:pPr>
      <w:rPr>
        <w:rFonts w:ascii="Arial" w:hAnsi="Arial" w:hint="default"/>
      </w:rPr>
    </w:lvl>
    <w:lvl w:ilvl="1" w:tplc="34090003" w:tentative="1">
      <w:start w:val="1"/>
      <w:numFmt w:val="bullet"/>
      <w:lvlText w:val="o"/>
      <w:lvlJc w:val="left"/>
      <w:pPr>
        <w:ind w:left="1982" w:hanging="360"/>
      </w:pPr>
      <w:rPr>
        <w:rFonts w:ascii="Courier New" w:hAnsi="Courier New" w:cs="Courier New" w:hint="default"/>
      </w:rPr>
    </w:lvl>
    <w:lvl w:ilvl="2" w:tplc="34090005" w:tentative="1">
      <w:start w:val="1"/>
      <w:numFmt w:val="bullet"/>
      <w:lvlText w:val=""/>
      <w:lvlJc w:val="left"/>
      <w:pPr>
        <w:ind w:left="2702" w:hanging="360"/>
      </w:pPr>
      <w:rPr>
        <w:rFonts w:ascii="Wingdings" w:hAnsi="Wingdings" w:hint="default"/>
      </w:rPr>
    </w:lvl>
    <w:lvl w:ilvl="3" w:tplc="34090001" w:tentative="1">
      <w:start w:val="1"/>
      <w:numFmt w:val="bullet"/>
      <w:lvlText w:val=""/>
      <w:lvlJc w:val="left"/>
      <w:pPr>
        <w:ind w:left="3422" w:hanging="360"/>
      </w:pPr>
      <w:rPr>
        <w:rFonts w:ascii="Symbol" w:hAnsi="Symbol" w:hint="default"/>
      </w:rPr>
    </w:lvl>
    <w:lvl w:ilvl="4" w:tplc="34090003" w:tentative="1">
      <w:start w:val="1"/>
      <w:numFmt w:val="bullet"/>
      <w:lvlText w:val="o"/>
      <w:lvlJc w:val="left"/>
      <w:pPr>
        <w:ind w:left="4142" w:hanging="360"/>
      </w:pPr>
      <w:rPr>
        <w:rFonts w:ascii="Courier New" w:hAnsi="Courier New" w:cs="Courier New" w:hint="default"/>
      </w:rPr>
    </w:lvl>
    <w:lvl w:ilvl="5" w:tplc="34090005" w:tentative="1">
      <w:start w:val="1"/>
      <w:numFmt w:val="bullet"/>
      <w:lvlText w:val=""/>
      <w:lvlJc w:val="left"/>
      <w:pPr>
        <w:ind w:left="4862" w:hanging="360"/>
      </w:pPr>
      <w:rPr>
        <w:rFonts w:ascii="Wingdings" w:hAnsi="Wingdings" w:hint="default"/>
      </w:rPr>
    </w:lvl>
    <w:lvl w:ilvl="6" w:tplc="34090001" w:tentative="1">
      <w:start w:val="1"/>
      <w:numFmt w:val="bullet"/>
      <w:lvlText w:val=""/>
      <w:lvlJc w:val="left"/>
      <w:pPr>
        <w:ind w:left="5582" w:hanging="360"/>
      </w:pPr>
      <w:rPr>
        <w:rFonts w:ascii="Symbol" w:hAnsi="Symbol" w:hint="default"/>
      </w:rPr>
    </w:lvl>
    <w:lvl w:ilvl="7" w:tplc="34090003" w:tentative="1">
      <w:start w:val="1"/>
      <w:numFmt w:val="bullet"/>
      <w:lvlText w:val="o"/>
      <w:lvlJc w:val="left"/>
      <w:pPr>
        <w:ind w:left="6302" w:hanging="360"/>
      </w:pPr>
      <w:rPr>
        <w:rFonts w:ascii="Courier New" w:hAnsi="Courier New" w:cs="Courier New" w:hint="default"/>
      </w:rPr>
    </w:lvl>
    <w:lvl w:ilvl="8" w:tplc="34090005" w:tentative="1">
      <w:start w:val="1"/>
      <w:numFmt w:val="bullet"/>
      <w:lvlText w:val=""/>
      <w:lvlJc w:val="left"/>
      <w:pPr>
        <w:ind w:left="7022" w:hanging="360"/>
      </w:pPr>
      <w:rPr>
        <w:rFonts w:ascii="Wingdings" w:hAnsi="Wingdings" w:hint="default"/>
      </w:rPr>
    </w:lvl>
  </w:abstractNum>
  <w:abstractNum w:abstractNumId="173" w15:restartNumberingAfterBreak="0">
    <w:nsid w:val="4A4E4ABD"/>
    <w:multiLevelType w:val="multilevel"/>
    <w:tmpl w:val="E5BE2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ADE6F47"/>
    <w:multiLevelType w:val="multilevel"/>
    <w:tmpl w:val="7B0E5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4B827A9B"/>
    <w:multiLevelType w:val="multilevel"/>
    <w:tmpl w:val="AC26B286"/>
    <w:lvl w:ilvl="0">
      <w:start w:val="1"/>
      <w:numFmt w:val="bullet"/>
      <w:lvlText w:val="●"/>
      <w:lvlJc w:val="left"/>
      <w:pPr>
        <w:ind w:left="720" w:hanging="360"/>
      </w:pPr>
      <w:rPr>
        <w:u w:val="none"/>
      </w:rPr>
    </w:lvl>
    <w:lvl w:ilvl="1">
      <w:start w:val="1"/>
      <w:numFmt w:val="bullet"/>
      <w:lvlText w:val="-"/>
      <w:lvlJc w:val="left"/>
      <w:pPr>
        <w:ind w:left="1440" w:hanging="360"/>
      </w:pPr>
      <w:rPr>
        <w:rFonts w:ascii="Arial" w:hAnsi="Arial"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4BEA1C4C"/>
    <w:multiLevelType w:val="multilevel"/>
    <w:tmpl w:val="A7445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4E8B5DE0"/>
    <w:multiLevelType w:val="multilevel"/>
    <w:tmpl w:val="390E4F5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4EEB43A0"/>
    <w:multiLevelType w:val="multilevel"/>
    <w:tmpl w:val="186AF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50157E7D"/>
    <w:multiLevelType w:val="multilevel"/>
    <w:tmpl w:val="8FDA3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115596B"/>
    <w:multiLevelType w:val="multilevel"/>
    <w:tmpl w:val="5AAE3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5313477A"/>
    <w:multiLevelType w:val="multilevel"/>
    <w:tmpl w:val="8B72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53CC1135"/>
    <w:multiLevelType w:val="multilevel"/>
    <w:tmpl w:val="92684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4882D08"/>
    <w:multiLevelType w:val="multilevel"/>
    <w:tmpl w:val="8DD8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48A6D32"/>
    <w:multiLevelType w:val="multilevel"/>
    <w:tmpl w:val="DDC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57A93163"/>
    <w:multiLevelType w:val="multilevel"/>
    <w:tmpl w:val="BB542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5845193E"/>
    <w:multiLevelType w:val="multilevel"/>
    <w:tmpl w:val="34E0F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5853281C"/>
    <w:multiLevelType w:val="multilevel"/>
    <w:tmpl w:val="D14CF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5872440E"/>
    <w:multiLevelType w:val="multilevel"/>
    <w:tmpl w:val="2D2EB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5A2A4EBF"/>
    <w:multiLevelType w:val="multilevel"/>
    <w:tmpl w:val="6D34E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5AD61014"/>
    <w:multiLevelType w:val="multilevel"/>
    <w:tmpl w:val="21401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BBF717F"/>
    <w:multiLevelType w:val="multilevel"/>
    <w:tmpl w:val="B3520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5BC02300"/>
    <w:multiLevelType w:val="multilevel"/>
    <w:tmpl w:val="D38A02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EA3501A"/>
    <w:multiLevelType w:val="multilevel"/>
    <w:tmpl w:val="8B7CA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5F032E6C"/>
    <w:multiLevelType w:val="hybridMultilevel"/>
    <w:tmpl w:val="F28A60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5" w15:restartNumberingAfterBreak="0">
    <w:nsid w:val="5F377A0C"/>
    <w:multiLevelType w:val="multilevel"/>
    <w:tmpl w:val="E7A8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61361B7E"/>
    <w:multiLevelType w:val="multilevel"/>
    <w:tmpl w:val="B5727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61985FA0"/>
    <w:multiLevelType w:val="multilevel"/>
    <w:tmpl w:val="771AB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61A00E9C"/>
    <w:multiLevelType w:val="multilevel"/>
    <w:tmpl w:val="51386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61E12F35"/>
    <w:multiLevelType w:val="multilevel"/>
    <w:tmpl w:val="7E68C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62936E4B"/>
    <w:multiLevelType w:val="multilevel"/>
    <w:tmpl w:val="283E5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630C0EE6"/>
    <w:multiLevelType w:val="multilevel"/>
    <w:tmpl w:val="5BC61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63CD7752"/>
    <w:multiLevelType w:val="multilevel"/>
    <w:tmpl w:val="99DCF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64543CFD"/>
    <w:multiLevelType w:val="multilevel"/>
    <w:tmpl w:val="1228E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651E0F98"/>
    <w:multiLevelType w:val="multilevel"/>
    <w:tmpl w:val="CCC64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65EB2F79"/>
    <w:multiLevelType w:val="hybridMultilevel"/>
    <w:tmpl w:val="9B604546"/>
    <w:lvl w:ilvl="0" w:tplc="E15AE076">
      <w:start w:val="1"/>
      <w:numFmt w:val="upperLetter"/>
      <w:lvlText w:val="%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66713D91"/>
    <w:multiLevelType w:val="multilevel"/>
    <w:tmpl w:val="4CE0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6AB7E47"/>
    <w:multiLevelType w:val="multilevel"/>
    <w:tmpl w:val="72548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678E0F70"/>
    <w:multiLevelType w:val="multilevel"/>
    <w:tmpl w:val="006CA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7AC6DB7"/>
    <w:multiLevelType w:val="multilevel"/>
    <w:tmpl w:val="CE565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6ABD3358"/>
    <w:multiLevelType w:val="multilevel"/>
    <w:tmpl w:val="05AA8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6B0E54AB"/>
    <w:multiLevelType w:val="multilevel"/>
    <w:tmpl w:val="BAA86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6B172844"/>
    <w:multiLevelType w:val="multilevel"/>
    <w:tmpl w:val="F62A3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6B881B1A"/>
    <w:multiLevelType w:val="multilevel"/>
    <w:tmpl w:val="D862E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6BA84A80"/>
    <w:multiLevelType w:val="multilevel"/>
    <w:tmpl w:val="BCA0E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6BFD1A3D"/>
    <w:multiLevelType w:val="multilevel"/>
    <w:tmpl w:val="8FFAE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6CA30196"/>
    <w:multiLevelType w:val="multilevel"/>
    <w:tmpl w:val="EA8A6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6CB40B40"/>
    <w:multiLevelType w:val="multilevel"/>
    <w:tmpl w:val="B57E2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6CC471B3"/>
    <w:multiLevelType w:val="multilevel"/>
    <w:tmpl w:val="4218E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D022EFE"/>
    <w:multiLevelType w:val="multilevel"/>
    <w:tmpl w:val="26B09C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6D1801BA"/>
    <w:multiLevelType w:val="multilevel"/>
    <w:tmpl w:val="D2BCE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D5E0159"/>
    <w:multiLevelType w:val="multilevel"/>
    <w:tmpl w:val="BF281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6F4E4329"/>
    <w:multiLevelType w:val="multilevel"/>
    <w:tmpl w:val="95CAF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6F752A83"/>
    <w:multiLevelType w:val="multilevel"/>
    <w:tmpl w:val="1D8E4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F9C0CBB"/>
    <w:multiLevelType w:val="multilevel"/>
    <w:tmpl w:val="167AC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6FA54A3D"/>
    <w:multiLevelType w:val="multilevel"/>
    <w:tmpl w:val="8AEAB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6FA8407F"/>
    <w:multiLevelType w:val="multilevel"/>
    <w:tmpl w:val="F7F05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71703513"/>
    <w:multiLevelType w:val="multilevel"/>
    <w:tmpl w:val="92EE4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727A7EB3"/>
    <w:multiLevelType w:val="multilevel"/>
    <w:tmpl w:val="EB6A0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727C4168"/>
    <w:multiLevelType w:val="multilevel"/>
    <w:tmpl w:val="D7209FE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73B11CB3"/>
    <w:multiLevelType w:val="multilevel"/>
    <w:tmpl w:val="48C65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75B43915"/>
    <w:multiLevelType w:val="multilevel"/>
    <w:tmpl w:val="48E4B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77734B55"/>
    <w:multiLevelType w:val="multilevel"/>
    <w:tmpl w:val="83527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8A46CC1"/>
    <w:multiLevelType w:val="multilevel"/>
    <w:tmpl w:val="12AA5F9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79352B46"/>
    <w:multiLevelType w:val="multilevel"/>
    <w:tmpl w:val="B6824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A8D52E9"/>
    <w:multiLevelType w:val="multilevel"/>
    <w:tmpl w:val="D6169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7AEE55A7"/>
    <w:multiLevelType w:val="hybridMultilevel"/>
    <w:tmpl w:val="5A143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7B036288"/>
    <w:multiLevelType w:val="multilevel"/>
    <w:tmpl w:val="8AB6F67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15:restartNumberingAfterBreak="0">
    <w:nsid w:val="7C201F32"/>
    <w:multiLevelType w:val="multilevel"/>
    <w:tmpl w:val="DE46A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7C9525F4"/>
    <w:multiLevelType w:val="multilevel"/>
    <w:tmpl w:val="7BD89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7D061A76"/>
    <w:multiLevelType w:val="hybridMultilevel"/>
    <w:tmpl w:val="D0B692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D8F17E8"/>
    <w:multiLevelType w:val="multilevel"/>
    <w:tmpl w:val="CE8C695A"/>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7F8E3ED8"/>
    <w:multiLevelType w:val="multilevel"/>
    <w:tmpl w:val="4300D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7FAC3370"/>
    <w:multiLevelType w:val="multilevel"/>
    <w:tmpl w:val="108AE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62883718">
    <w:abstractNumId w:val="70"/>
  </w:num>
  <w:num w:numId="2" w16cid:durableId="886183884">
    <w:abstractNumId w:val="42"/>
  </w:num>
  <w:num w:numId="3" w16cid:durableId="383797587">
    <w:abstractNumId w:val="16"/>
  </w:num>
  <w:num w:numId="4" w16cid:durableId="417561935">
    <w:abstractNumId w:val="76"/>
  </w:num>
  <w:num w:numId="5" w16cid:durableId="1560509308">
    <w:abstractNumId w:val="60"/>
  </w:num>
  <w:num w:numId="6" w16cid:durableId="10424536">
    <w:abstractNumId w:val="74"/>
  </w:num>
  <w:num w:numId="7" w16cid:durableId="823283002">
    <w:abstractNumId w:val="80"/>
  </w:num>
  <w:num w:numId="8" w16cid:durableId="1487866468">
    <w:abstractNumId w:val="13"/>
  </w:num>
  <w:num w:numId="9" w16cid:durableId="2140756769">
    <w:abstractNumId w:val="7"/>
  </w:num>
  <w:num w:numId="10" w16cid:durableId="1981963044">
    <w:abstractNumId w:val="6"/>
  </w:num>
  <w:num w:numId="11" w16cid:durableId="422530925">
    <w:abstractNumId w:val="5"/>
  </w:num>
  <w:num w:numId="12" w16cid:durableId="1236430342">
    <w:abstractNumId w:val="8"/>
  </w:num>
  <w:num w:numId="13" w16cid:durableId="1995524745">
    <w:abstractNumId w:val="4"/>
  </w:num>
  <w:num w:numId="14" w16cid:durableId="1592813344">
    <w:abstractNumId w:val="3"/>
  </w:num>
  <w:num w:numId="15" w16cid:durableId="1492209519">
    <w:abstractNumId w:val="2"/>
  </w:num>
  <w:num w:numId="16" w16cid:durableId="1477798509">
    <w:abstractNumId w:val="116"/>
  </w:num>
  <w:num w:numId="17" w16cid:durableId="2121290242">
    <w:abstractNumId w:val="27"/>
  </w:num>
  <w:num w:numId="18" w16cid:durableId="769661621">
    <w:abstractNumId w:val="56"/>
  </w:num>
  <w:num w:numId="19" w16cid:durableId="1145732854">
    <w:abstractNumId w:val="20"/>
  </w:num>
  <w:num w:numId="20" w16cid:durableId="1103845229">
    <w:abstractNumId w:val="69"/>
  </w:num>
  <w:num w:numId="21" w16cid:durableId="691154702">
    <w:abstractNumId w:val="33"/>
  </w:num>
  <w:num w:numId="22" w16cid:durableId="293869908">
    <w:abstractNumId w:val="34"/>
  </w:num>
  <w:num w:numId="23" w16cid:durableId="1679887269">
    <w:abstractNumId w:val="12"/>
  </w:num>
  <w:num w:numId="24" w16cid:durableId="1621952281">
    <w:abstractNumId w:val="59"/>
  </w:num>
  <w:num w:numId="25" w16cid:durableId="1682194073">
    <w:abstractNumId w:val="45"/>
  </w:num>
  <w:num w:numId="26" w16cid:durableId="871661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83342044">
    <w:abstractNumId w:val="64"/>
  </w:num>
  <w:num w:numId="28" w16cid:durableId="146898297">
    <w:abstractNumId w:val="21"/>
  </w:num>
  <w:num w:numId="29" w16cid:durableId="1930431894">
    <w:abstractNumId w:val="75"/>
  </w:num>
  <w:num w:numId="30" w16cid:durableId="913931588">
    <w:abstractNumId w:val="10"/>
  </w:num>
  <w:num w:numId="31" w16cid:durableId="2132244982">
    <w:abstractNumId w:val="23"/>
  </w:num>
  <w:num w:numId="32" w16cid:durableId="619336224">
    <w:abstractNumId w:val="36"/>
  </w:num>
  <w:num w:numId="33" w16cid:durableId="1065491215">
    <w:abstractNumId w:val="71"/>
  </w:num>
  <w:num w:numId="34" w16cid:durableId="656689514">
    <w:abstractNumId w:val="15"/>
  </w:num>
  <w:num w:numId="35" w16cid:durableId="1196964827">
    <w:abstractNumId w:val="31"/>
  </w:num>
  <w:num w:numId="36" w16cid:durableId="1363480037">
    <w:abstractNumId w:val="63"/>
  </w:num>
  <w:num w:numId="37" w16cid:durableId="1685858756">
    <w:abstractNumId w:val="51"/>
  </w:num>
  <w:num w:numId="38" w16cid:durableId="1978216580">
    <w:abstractNumId w:val="46"/>
  </w:num>
  <w:num w:numId="39" w16cid:durableId="1422028490">
    <w:abstractNumId w:val="62"/>
  </w:num>
  <w:num w:numId="40" w16cid:durableId="529952589">
    <w:abstractNumId w:val="40"/>
  </w:num>
  <w:num w:numId="41" w16cid:durableId="1756902631">
    <w:abstractNumId w:val="78"/>
  </w:num>
  <w:num w:numId="42" w16cid:durableId="390540553">
    <w:abstractNumId w:val="48"/>
  </w:num>
  <w:num w:numId="43" w16cid:durableId="1326977881">
    <w:abstractNumId w:val="55"/>
  </w:num>
  <w:num w:numId="44" w16cid:durableId="1371035745">
    <w:abstractNumId w:val="29"/>
  </w:num>
  <w:num w:numId="45" w16cid:durableId="870455743">
    <w:abstractNumId w:val="22"/>
  </w:num>
  <w:num w:numId="46" w16cid:durableId="1954052575">
    <w:abstractNumId w:val="52"/>
  </w:num>
  <w:num w:numId="47" w16cid:durableId="825974326">
    <w:abstractNumId w:val="19"/>
  </w:num>
  <w:num w:numId="48" w16cid:durableId="191917347">
    <w:abstractNumId w:val="72"/>
  </w:num>
  <w:num w:numId="49" w16cid:durableId="1995520751">
    <w:abstractNumId w:val="14"/>
  </w:num>
  <w:num w:numId="50" w16cid:durableId="48850102">
    <w:abstractNumId w:val="77"/>
  </w:num>
  <w:num w:numId="51" w16cid:durableId="893854524">
    <w:abstractNumId w:val="25"/>
  </w:num>
  <w:num w:numId="52" w16cid:durableId="1804493357">
    <w:abstractNumId w:val="73"/>
  </w:num>
  <w:num w:numId="53" w16cid:durableId="1378890911">
    <w:abstractNumId w:val="57"/>
  </w:num>
  <w:num w:numId="54" w16cid:durableId="952594625">
    <w:abstractNumId w:val="65"/>
  </w:num>
  <w:num w:numId="55" w16cid:durableId="351226387">
    <w:abstractNumId w:val="61"/>
  </w:num>
  <w:num w:numId="56" w16cid:durableId="1010646454">
    <w:abstractNumId w:val="50"/>
  </w:num>
  <w:num w:numId="57" w16cid:durableId="1939176791">
    <w:abstractNumId w:val="38"/>
  </w:num>
  <w:num w:numId="58" w16cid:durableId="170536307">
    <w:abstractNumId w:val="18"/>
  </w:num>
  <w:num w:numId="59" w16cid:durableId="2035770405">
    <w:abstractNumId w:val="39"/>
  </w:num>
  <w:num w:numId="60" w16cid:durableId="1188056432">
    <w:abstractNumId w:val="32"/>
  </w:num>
  <w:num w:numId="61" w16cid:durableId="1694186468">
    <w:abstractNumId w:val="26"/>
  </w:num>
  <w:num w:numId="62" w16cid:durableId="1747459306">
    <w:abstractNumId w:val="44"/>
  </w:num>
  <w:num w:numId="63" w16cid:durableId="723991179">
    <w:abstractNumId w:val="47"/>
  </w:num>
  <w:num w:numId="64" w16cid:durableId="1605916852">
    <w:abstractNumId w:val="24"/>
  </w:num>
  <w:num w:numId="65" w16cid:durableId="1545866955">
    <w:abstractNumId w:val="66"/>
  </w:num>
  <w:num w:numId="66" w16cid:durableId="1878352848">
    <w:abstractNumId w:val="79"/>
  </w:num>
  <w:num w:numId="67" w16cid:durableId="249437753">
    <w:abstractNumId w:val="25"/>
    <w:lvlOverride w:ilvl="0">
      <w:startOverride w:val="1"/>
    </w:lvlOverride>
  </w:num>
  <w:num w:numId="68" w16cid:durableId="306084853">
    <w:abstractNumId w:val="25"/>
    <w:lvlOverride w:ilvl="0">
      <w:startOverride w:val="1"/>
    </w:lvlOverride>
  </w:num>
  <w:num w:numId="69" w16cid:durableId="1391418245">
    <w:abstractNumId w:val="41"/>
  </w:num>
  <w:num w:numId="70" w16cid:durableId="2087413308">
    <w:abstractNumId w:val="30"/>
  </w:num>
  <w:num w:numId="71" w16cid:durableId="1235117833">
    <w:abstractNumId w:val="37"/>
  </w:num>
  <w:num w:numId="72" w16cid:durableId="1574195603">
    <w:abstractNumId w:val="11"/>
  </w:num>
  <w:num w:numId="73" w16cid:durableId="1310553035">
    <w:abstractNumId w:val="54"/>
  </w:num>
  <w:num w:numId="74" w16cid:durableId="1035695528">
    <w:abstractNumId w:val="68"/>
  </w:num>
  <w:num w:numId="75" w16cid:durableId="6598869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6023601">
    <w:abstractNumId w:val="75"/>
    <w:lvlOverride w:ilvl="0">
      <w:startOverride w:val="1"/>
    </w:lvlOverride>
  </w:num>
  <w:num w:numId="77" w16cid:durableId="1682852593">
    <w:abstractNumId w:val="58"/>
  </w:num>
  <w:num w:numId="78" w16cid:durableId="843278303">
    <w:abstractNumId w:val="67"/>
  </w:num>
  <w:num w:numId="79" w16cid:durableId="981613317">
    <w:abstractNumId w:val="43"/>
  </w:num>
  <w:num w:numId="80" w16cid:durableId="1283926649">
    <w:abstractNumId w:val="17"/>
  </w:num>
  <w:num w:numId="81" w16cid:durableId="1806578164">
    <w:abstractNumId w:val="49"/>
  </w:num>
  <w:num w:numId="82" w16cid:durableId="1970281997">
    <w:abstractNumId w:val="53"/>
  </w:num>
  <w:num w:numId="83" w16cid:durableId="1650937253">
    <w:abstractNumId w:val="35"/>
  </w:num>
  <w:num w:numId="84" w16cid:durableId="1375613496">
    <w:abstractNumId w:val="75"/>
    <w:lvlOverride w:ilvl="0">
      <w:startOverride w:val="1"/>
    </w:lvlOverride>
  </w:num>
  <w:num w:numId="85" w16cid:durableId="583801310">
    <w:abstractNumId w:val="147"/>
  </w:num>
  <w:num w:numId="86" w16cid:durableId="153380713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29067092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26718004">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219904002">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3251939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791021515">
    <w:abstractNumId w:val="84"/>
  </w:num>
  <w:num w:numId="92" w16cid:durableId="332535639">
    <w:abstractNumId w:val="178"/>
  </w:num>
  <w:num w:numId="93" w16cid:durableId="542326756">
    <w:abstractNumId w:val="209"/>
  </w:num>
  <w:num w:numId="94" w16cid:durableId="623468438">
    <w:abstractNumId w:val="218"/>
  </w:num>
  <w:num w:numId="95" w16cid:durableId="280112740">
    <w:abstractNumId w:val="197"/>
  </w:num>
  <w:num w:numId="96" w16cid:durableId="1075324968">
    <w:abstractNumId w:val="160"/>
  </w:num>
  <w:num w:numId="97" w16cid:durableId="1229268009">
    <w:abstractNumId w:val="129"/>
  </w:num>
  <w:num w:numId="98" w16cid:durableId="1022586387">
    <w:abstractNumId w:val="126"/>
  </w:num>
  <w:num w:numId="99" w16cid:durableId="357707648">
    <w:abstractNumId w:val="138"/>
  </w:num>
  <w:num w:numId="100" w16cid:durableId="218443874">
    <w:abstractNumId w:val="157"/>
  </w:num>
  <w:num w:numId="101" w16cid:durableId="1794444321">
    <w:abstractNumId w:val="82"/>
  </w:num>
  <w:num w:numId="102" w16cid:durableId="238909741">
    <w:abstractNumId w:val="163"/>
  </w:num>
  <w:num w:numId="103" w16cid:durableId="171796686">
    <w:abstractNumId w:val="224"/>
  </w:num>
  <w:num w:numId="104" w16cid:durableId="1434013831">
    <w:abstractNumId w:val="111"/>
  </w:num>
  <w:num w:numId="105" w16cid:durableId="581569036">
    <w:abstractNumId w:val="179"/>
  </w:num>
  <w:num w:numId="106" w16cid:durableId="1218080188">
    <w:abstractNumId w:val="87"/>
  </w:num>
  <w:num w:numId="107" w16cid:durableId="1936747072">
    <w:abstractNumId w:val="152"/>
  </w:num>
  <w:num w:numId="108" w16cid:durableId="1060859725">
    <w:abstractNumId w:val="174"/>
  </w:num>
  <w:num w:numId="109" w16cid:durableId="320281958">
    <w:abstractNumId w:val="95"/>
  </w:num>
  <w:num w:numId="110" w16cid:durableId="326174798">
    <w:abstractNumId w:val="91"/>
  </w:num>
  <w:num w:numId="111" w16cid:durableId="232591625">
    <w:abstractNumId w:val="88"/>
  </w:num>
  <w:num w:numId="112" w16cid:durableId="690035078">
    <w:abstractNumId w:val="142"/>
  </w:num>
  <w:num w:numId="113" w16cid:durableId="596593462">
    <w:abstractNumId w:val="243"/>
  </w:num>
  <w:num w:numId="114" w16cid:durableId="1955626709">
    <w:abstractNumId w:val="186"/>
  </w:num>
  <w:num w:numId="115" w16cid:durableId="1413088997">
    <w:abstractNumId w:val="223"/>
  </w:num>
  <w:num w:numId="116" w16cid:durableId="1345326801">
    <w:abstractNumId w:val="103"/>
  </w:num>
  <w:num w:numId="117" w16cid:durableId="998267359">
    <w:abstractNumId w:val="171"/>
  </w:num>
  <w:num w:numId="118" w16cid:durableId="702246312">
    <w:abstractNumId w:val="133"/>
  </w:num>
  <w:num w:numId="119" w16cid:durableId="511342600">
    <w:abstractNumId w:val="193"/>
  </w:num>
  <w:num w:numId="120" w16cid:durableId="104690472">
    <w:abstractNumId w:val="211"/>
  </w:num>
  <w:num w:numId="121" w16cid:durableId="1790321054">
    <w:abstractNumId w:val="93"/>
  </w:num>
  <w:num w:numId="122" w16cid:durableId="686054412">
    <w:abstractNumId w:val="232"/>
  </w:num>
  <w:num w:numId="123" w16cid:durableId="214005062">
    <w:abstractNumId w:val="122"/>
  </w:num>
  <w:num w:numId="124" w16cid:durableId="1445882159">
    <w:abstractNumId w:val="107"/>
  </w:num>
  <w:num w:numId="125" w16cid:durableId="484861174">
    <w:abstractNumId w:val="155"/>
  </w:num>
  <w:num w:numId="126" w16cid:durableId="31269634">
    <w:abstractNumId w:val="222"/>
  </w:num>
  <w:num w:numId="127" w16cid:durableId="770516889">
    <w:abstractNumId w:val="235"/>
  </w:num>
  <w:num w:numId="128" w16cid:durableId="2129817787">
    <w:abstractNumId w:val="183"/>
  </w:num>
  <w:num w:numId="129" w16cid:durableId="1997567553">
    <w:abstractNumId w:val="108"/>
  </w:num>
  <w:num w:numId="130" w16cid:durableId="785933259">
    <w:abstractNumId w:val="114"/>
  </w:num>
  <w:num w:numId="131" w16cid:durableId="1800952801">
    <w:abstractNumId w:val="195"/>
  </w:num>
  <w:num w:numId="132" w16cid:durableId="1872450199">
    <w:abstractNumId w:val="115"/>
  </w:num>
  <w:num w:numId="133" w16cid:durableId="904686537">
    <w:abstractNumId w:val="162"/>
  </w:num>
  <w:num w:numId="134" w16cid:durableId="219437810">
    <w:abstractNumId w:val="134"/>
  </w:num>
  <w:num w:numId="135" w16cid:durableId="1343897921">
    <w:abstractNumId w:val="226"/>
  </w:num>
  <w:num w:numId="136" w16cid:durableId="821040431">
    <w:abstractNumId w:val="190"/>
  </w:num>
  <w:num w:numId="137" w16cid:durableId="1984462547">
    <w:abstractNumId w:val="90"/>
  </w:num>
  <w:num w:numId="138" w16cid:durableId="1200707109">
    <w:abstractNumId w:val="173"/>
  </w:num>
  <w:num w:numId="139" w16cid:durableId="1438912981">
    <w:abstractNumId w:val="168"/>
  </w:num>
  <w:num w:numId="140" w16cid:durableId="1572157333">
    <w:abstractNumId w:val="198"/>
  </w:num>
  <w:num w:numId="141" w16cid:durableId="177618310">
    <w:abstractNumId w:val="215"/>
  </w:num>
  <w:num w:numId="142" w16cid:durableId="734818853">
    <w:abstractNumId w:val="151"/>
  </w:num>
  <w:num w:numId="143" w16cid:durableId="2123726262">
    <w:abstractNumId w:val="208"/>
  </w:num>
  <w:num w:numId="144" w16cid:durableId="2029329275">
    <w:abstractNumId w:val="187"/>
  </w:num>
  <w:num w:numId="145" w16cid:durableId="2032878133">
    <w:abstractNumId w:val="102"/>
  </w:num>
  <w:num w:numId="146" w16cid:durableId="287198720">
    <w:abstractNumId w:val="154"/>
  </w:num>
  <w:num w:numId="147" w16cid:durableId="750463737">
    <w:abstractNumId w:val="159"/>
  </w:num>
  <w:num w:numId="148" w16cid:durableId="512574847">
    <w:abstractNumId w:val="124"/>
  </w:num>
  <w:num w:numId="149" w16cid:durableId="195510348">
    <w:abstractNumId w:val="113"/>
  </w:num>
  <w:num w:numId="150" w16cid:durableId="63573946">
    <w:abstractNumId w:val="89"/>
  </w:num>
  <w:num w:numId="151" w16cid:durableId="1212185721">
    <w:abstractNumId w:val="199"/>
  </w:num>
  <w:num w:numId="152" w16cid:durableId="1615820627">
    <w:abstractNumId w:val="169"/>
  </w:num>
  <w:num w:numId="153" w16cid:durableId="771050872">
    <w:abstractNumId w:val="153"/>
  </w:num>
  <w:num w:numId="154" w16cid:durableId="1835759436">
    <w:abstractNumId w:val="121"/>
  </w:num>
  <w:num w:numId="155" w16cid:durableId="1327169880">
    <w:abstractNumId w:val="200"/>
  </w:num>
  <w:num w:numId="156" w16cid:durableId="1919905735">
    <w:abstractNumId w:val="214"/>
  </w:num>
  <w:num w:numId="157" w16cid:durableId="1947806672">
    <w:abstractNumId w:val="98"/>
  </w:num>
  <w:num w:numId="158" w16cid:durableId="1375547069">
    <w:abstractNumId w:val="191"/>
  </w:num>
  <w:num w:numId="159" w16cid:durableId="1788506254">
    <w:abstractNumId w:val="119"/>
  </w:num>
  <w:num w:numId="160" w16cid:durableId="2116123987">
    <w:abstractNumId w:val="230"/>
  </w:num>
  <w:num w:numId="161" w16cid:durableId="1789205765">
    <w:abstractNumId w:val="220"/>
  </w:num>
  <w:num w:numId="162" w16cid:durableId="1338387932">
    <w:abstractNumId w:val="212"/>
  </w:num>
  <w:num w:numId="163" w16cid:durableId="713578021">
    <w:abstractNumId w:val="85"/>
  </w:num>
  <w:num w:numId="164" w16cid:durableId="789670154">
    <w:abstractNumId w:val="202"/>
  </w:num>
  <w:num w:numId="165" w16cid:durableId="2008285540">
    <w:abstractNumId w:val="165"/>
  </w:num>
  <w:num w:numId="166" w16cid:durableId="1746105119">
    <w:abstractNumId w:val="136"/>
  </w:num>
  <w:num w:numId="167" w16cid:durableId="1025909467">
    <w:abstractNumId w:val="242"/>
  </w:num>
  <w:num w:numId="168" w16cid:durableId="1120683817">
    <w:abstractNumId w:val="204"/>
  </w:num>
  <w:num w:numId="169" w16cid:durableId="136845752">
    <w:abstractNumId w:val="140"/>
  </w:num>
  <w:num w:numId="170" w16cid:durableId="1067075727">
    <w:abstractNumId w:val="127"/>
  </w:num>
  <w:num w:numId="171" w16cid:durableId="2002654839">
    <w:abstractNumId w:val="181"/>
  </w:num>
  <w:num w:numId="172" w16cid:durableId="832330054">
    <w:abstractNumId w:val="132"/>
  </w:num>
  <w:num w:numId="173" w16cid:durableId="1488941854">
    <w:abstractNumId w:val="188"/>
  </w:num>
  <w:num w:numId="174" w16cid:durableId="1960798906">
    <w:abstractNumId w:val="145"/>
  </w:num>
  <w:num w:numId="175" w16cid:durableId="179856470">
    <w:abstractNumId w:val="205"/>
  </w:num>
  <w:num w:numId="176" w16cid:durableId="1626346677">
    <w:abstractNumId w:val="217"/>
  </w:num>
  <w:num w:numId="177" w16cid:durableId="1861817324">
    <w:abstractNumId w:val="70"/>
    <w:lvlOverride w:ilvl="0">
      <w:startOverride w:val="8"/>
    </w:lvlOverride>
    <w:lvlOverride w:ilvl="1">
      <w:startOverride w:val="3"/>
    </w:lvlOverride>
    <w:lvlOverride w:ilvl="2">
      <w:startOverride w:val="10"/>
    </w:lvlOverride>
    <w:lvlOverride w:ilvl="3">
      <w:startOverride w:val="2"/>
    </w:lvlOverride>
  </w:num>
  <w:num w:numId="178" w16cid:durableId="806628736">
    <w:abstractNumId w:val="192"/>
  </w:num>
  <w:num w:numId="179" w16cid:durableId="1167015179">
    <w:abstractNumId w:val="227"/>
  </w:num>
  <w:num w:numId="180" w16cid:durableId="1570846728">
    <w:abstractNumId w:val="176"/>
  </w:num>
  <w:num w:numId="181" w16cid:durableId="376854654">
    <w:abstractNumId w:val="158"/>
  </w:num>
  <w:num w:numId="182" w16cid:durableId="205873886">
    <w:abstractNumId w:val="97"/>
  </w:num>
  <w:num w:numId="183" w16cid:durableId="1224369853">
    <w:abstractNumId w:val="139"/>
  </w:num>
  <w:num w:numId="184" w16cid:durableId="1974360384">
    <w:abstractNumId w:val="206"/>
  </w:num>
  <w:num w:numId="185" w16cid:durableId="290403189">
    <w:abstractNumId w:val="135"/>
  </w:num>
  <w:num w:numId="186" w16cid:durableId="1087655861">
    <w:abstractNumId w:val="213"/>
  </w:num>
  <w:num w:numId="187" w16cid:durableId="37509654">
    <w:abstractNumId w:val="128"/>
  </w:num>
  <w:num w:numId="188" w16cid:durableId="1837302839">
    <w:abstractNumId w:val="100"/>
  </w:num>
  <w:num w:numId="189" w16cid:durableId="22898907">
    <w:abstractNumId w:val="166"/>
  </w:num>
  <w:num w:numId="190" w16cid:durableId="977614704">
    <w:abstractNumId w:val="182"/>
  </w:num>
  <w:num w:numId="191" w16cid:durableId="532230381">
    <w:abstractNumId w:val="228"/>
  </w:num>
  <w:num w:numId="192" w16cid:durableId="318581281">
    <w:abstractNumId w:val="170"/>
  </w:num>
  <w:num w:numId="193" w16cid:durableId="287781326">
    <w:abstractNumId w:val="156"/>
  </w:num>
  <w:num w:numId="194" w16cid:durableId="1200315594">
    <w:abstractNumId w:val="203"/>
  </w:num>
  <w:num w:numId="195" w16cid:durableId="176701007">
    <w:abstractNumId w:val="143"/>
  </w:num>
  <w:num w:numId="196" w16cid:durableId="1054541182">
    <w:abstractNumId w:val="110"/>
  </w:num>
  <w:num w:numId="197" w16cid:durableId="956566980">
    <w:abstractNumId w:val="94"/>
  </w:num>
  <w:num w:numId="198" w16cid:durableId="1109348394">
    <w:abstractNumId w:val="123"/>
  </w:num>
  <w:num w:numId="199" w16cid:durableId="1544176745">
    <w:abstractNumId w:val="137"/>
  </w:num>
  <w:num w:numId="200" w16cid:durableId="1798177433">
    <w:abstractNumId w:val="201"/>
  </w:num>
  <w:num w:numId="201" w16cid:durableId="1491947006">
    <w:abstractNumId w:val="125"/>
  </w:num>
  <w:num w:numId="202" w16cid:durableId="817651218">
    <w:abstractNumId w:val="112"/>
  </w:num>
  <w:num w:numId="203" w16cid:durableId="2085835769">
    <w:abstractNumId w:val="239"/>
  </w:num>
  <w:num w:numId="204" w16cid:durableId="856191747">
    <w:abstractNumId w:val="101"/>
  </w:num>
  <w:num w:numId="205" w16cid:durableId="2104060988">
    <w:abstractNumId w:val="185"/>
  </w:num>
  <w:num w:numId="206" w16cid:durableId="508762720">
    <w:abstractNumId w:val="106"/>
  </w:num>
  <w:num w:numId="207" w16cid:durableId="2037657232">
    <w:abstractNumId w:val="105"/>
  </w:num>
  <w:num w:numId="208" w16cid:durableId="1062633019">
    <w:abstractNumId w:val="196"/>
  </w:num>
  <w:num w:numId="209" w16cid:durableId="1832745287">
    <w:abstractNumId w:val="117"/>
  </w:num>
  <w:num w:numId="210" w16cid:durableId="1829858955">
    <w:abstractNumId w:val="83"/>
  </w:num>
  <w:num w:numId="211" w16cid:durableId="706105339">
    <w:abstractNumId w:val="207"/>
  </w:num>
  <w:num w:numId="212" w16cid:durableId="958949004">
    <w:abstractNumId w:val="184"/>
  </w:num>
  <w:num w:numId="213" w16cid:durableId="816146927">
    <w:abstractNumId w:val="219"/>
  </w:num>
  <w:num w:numId="214" w16cid:durableId="1569536989">
    <w:abstractNumId w:val="144"/>
  </w:num>
  <w:num w:numId="215" w16cid:durableId="1324746249">
    <w:abstractNumId w:val="234"/>
  </w:num>
  <w:num w:numId="216" w16cid:durableId="1568301942">
    <w:abstractNumId w:val="148"/>
  </w:num>
  <w:num w:numId="217" w16cid:durableId="148711980">
    <w:abstractNumId w:val="130"/>
  </w:num>
  <w:num w:numId="218" w16cid:durableId="1943145228">
    <w:abstractNumId w:val="216"/>
  </w:num>
  <w:num w:numId="219" w16cid:durableId="1574074660">
    <w:abstractNumId w:val="238"/>
  </w:num>
  <w:num w:numId="220" w16cid:durableId="360277924">
    <w:abstractNumId w:val="177"/>
  </w:num>
  <w:num w:numId="221" w16cid:durableId="1913544963">
    <w:abstractNumId w:val="167"/>
  </w:num>
  <w:num w:numId="222" w16cid:durableId="234365190">
    <w:abstractNumId w:val="161"/>
  </w:num>
  <w:num w:numId="223" w16cid:durableId="762143295">
    <w:abstractNumId w:val="146"/>
  </w:num>
  <w:num w:numId="224" w16cid:durableId="1863203538">
    <w:abstractNumId w:val="104"/>
  </w:num>
  <w:num w:numId="225" w16cid:durableId="1241019131">
    <w:abstractNumId w:val="62"/>
  </w:num>
  <w:num w:numId="226" w16cid:durableId="313416140">
    <w:abstractNumId w:val="198"/>
  </w:num>
  <w:num w:numId="227" w16cid:durableId="1831482170">
    <w:abstractNumId w:val="215"/>
  </w:num>
  <w:num w:numId="228" w16cid:durableId="1747608929">
    <w:abstractNumId w:val="151"/>
  </w:num>
  <w:num w:numId="229" w16cid:durableId="1649281780">
    <w:abstractNumId w:val="172"/>
  </w:num>
  <w:num w:numId="230" w16cid:durableId="646860101">
    <w:abstractNumId w:val="233"/>
  </w:num>
  <w:num w:numId="231" w16cid:durableId="898788273">
    <w:abstractNumId w:val="99"/>
  </w:num>
  <w:num w:numId="232" w16cid:durableId="1079906962">
    <w:abstractNumId w:val="81"/>
  </w:num>
  <w:num w:numId="233" w16cid:durableId="439107510">
    <w:abstractNumId w:val="180"/>
  </w:num>
  <w:num w:numId="234" w16cid:durableId="1094862758">
    <w:abstractNumId w:val="237"/>
  </w:num>
  <w:num w:numId="235" w16cid:durableId="1068847850">
    <w:abstractNumId w:val="229"/>
  </w:num>
  <w:num w:numId="236" w16cid:durableId="1351644723">
    <w:abstractNumId w:val="175"/>
  </w:num>
  <w:num w:numId="237" w16cid:durableId="1993681837">
    <w:abstractNumId w:val="164"/>
  </w:num>
  <w:num w:numId="238" w16cid:durableId="1997223097">
    <w:abstractNumId w:val="210"/>
  </w:num>
  <w:num w:numId="239" w16cid:durableId="1087576686">
    <w:abstractNumId w:val="236"/>
  </w:num>
  <w:num w:numId="240" w16cid:durableId="267205698">
    <w:abstractNumId w:val="149"/>
  </w:num>
  <w:num w:numId="241" w16cid:durableId="1254389311">
    <w:abstractNumId w:val="120"/>
  </w:num>
  <w:num w:numId="242" w16cid:durableId="2112704005">
    <w:abstractNumId w:val="221"/>
  </w:num>
  <w:num w:numId="243" w16cid:durableId="1192960467">
    <w:abstractNumId w:val="231"/>
  </w:num>
  <w:num w:numId="244" w16cid:durableId="703403655">
    <w:abstractNumId w:val="225"/>
  </w:num>
  <w:num w:numId="245" w16cid:durableId="185430128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16cid:durableId="1888443202">
    <w:abstractNumId w:val="131"/>
  </w:num>
  <w:num w:numId="247" w16cid:durableId="1632323662">
    <w:abstractNumId w:val="240"/>
  </w:num>
  <w:num w:numId="248" w16cid:durableId="151653106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952899948">
    <w:abstractNumId w:val="74"/>
  </w:num>
  <w:num w:numId="250" w16cid:durableId="160242657">
    <w:abstractNumId w:val="168"/>
  </w:num>
  <w:num w:numId="251" w16cid:durableId="1342588290">
    <w:abstractNumId w:val="186"/>
  </w:num>
  <w:num w:numId="252" w16cid:durableId="2083216734">
    <w:abstractNumId w:val="70"/>
  </w:num>
  <w:num w:numId="253" w16cid:durableId="979192766">
    <w:abstractNumId w:val="109"/>
  </w:num>
  <w:num w:numId="254" w16cid:durableId="265968551">
    <w:abstractNumId w:val="241"/>
  </w:num>
  <w:num w:numId="255" w16cid:durableId="937057512">
    <w:abstractNumId w:val="86"/>
  </w:num>
  <w:num w:numId="256" w16cid:durableId="110127659">
    <w:abstractNumId w:val="96"/>
  </w:num>
  <w:num w:numId="257" w16cid:durableId="1063213112">
    <w:abstractNumId w:val="150"/>
  </w:num>
  <w:num w:numId="258" w16cid:durableId="555236688">
    <w:abstractNumId w:val="189"/>
  </w:num>
  <w:num w:numId="259" w16cid:durableId="1743022806">
    <w:abstractNumId w:val="70"/>
  </w:num>
  <w:num w:numId="260" w16cid:durableId="396561224">
    <w:abstractNumId w:val="0"/>
    <w:lvlOverride w:ilvl="0">
      <w:startOverride w:val="2"/>
    </w:lvlOverride>
  </w:num>
  <w:num w:numId="261" w16cid:durableId="968243975">
    <w:abstractNumId w:val="1"/>
    <w:lvlOverride w:ilvl="0">
      <w:startOverride w:val="1"/>
    </w:lvlOverride>
  </w:num>
  <w:num w:numId="262" w16cid:durableId="72476436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16cid:durableId="1800880377">
    <w:abstractNumId w:val="62"/>
  </w:num>
  <w:num w:numId="264" w16cid:durableId="2111508154">
    <w:abstractNumId w:val="62"/>
  </w:num>
  <w:num w:numId="265" w16cid:durableId="1940016749">
    <w:abstractNumId w:val="62"/>
  </w:num>
  <w:num w:numId="266" w16cid:durableId="476580506">
    <w:abstractNumId w:val="62"/>
  </w:num>
  <w:numIdMacAtCleanup w:val="2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F8E"/>
    <w:rsid w:val="00000E23"/>
    <w:rsid w:val="00001BBA"/>
    <w:rsid w:val="00001D53"/>
    <w:rsid w:val="00004340"/>
    <w:rsid w:val="0000458D"/>
    <w:rsid w:val="00006272"/>
    <w:rsid w:val="0000778B"/>
    <w:rsid w:val="00007ED4"/>
    <w:rsid w:val="000126FC"/>
    <w:rsid w:val="00013133"/>
    <w:rsid w:val="000148F9"/>
    <w:rsid w:val="00014C9D"/>
    <w:rsid w:val="00016126"/>
    <w:rsid w:val="00016734"/>
    <w:rsid w:val="00016DB3"/>
    <w:rsid w:val="00017633"/>
    <w:rsid w:val="00017A6B"/>
    <w:rsid w:val="00017BF3"/>
    <w:rsid w:val="00020151"/>
    <w:rsid w:val="00020F09"/>
    <w:rsid w:val="00020F9F"/>
    <w:rsid w:val="00025CCF"/>
    <w:rsid w:val="000304D8"/>
    <w:rsid w:val="000313BA"/>
    <w:rsid w:val="000337A3"/>
    <w:rsid w:val="0003404A"/>
    <w:rsid w:val="00034CEA"/>
    <w:rsid w:val="00036119"/>
    <w:rsid w:val="0003654E"/>
    <w:rsid w:val="0003768B"/>
    <w:rsid w:val="00037859"/>
    <w:rsid w:val="00041380"/>
    <w:rsid w:val="00041FB1"/>
    <w:rsid w:val="00044683"/>
    <w:rsid w:val="00047090"/>
    <w:rsid w:val="000471ED"/>
    <w:rsid w:val="0005126C"/>
    <w:rsid w:val="0005187B"/>
    <w:rsid w:val="000540D2"/>
    <w:rsid w:val="00054551"/>
    <w:rsid w:val="00056995"/>
    <w:rsid w:val="00061508"/>
    <w:rsid w:val="00061F53"/>
    <w:rsid w:val="00062C86"/>
    <w:rsid w:val="0006630F"/>
    <w:rsid w:val="00073D4B"/>
    <w:rsid w:val="00077346"/>
    <w:rsid w:val="00081557"/>
    <w:rsid w:val="00081C73"/>
    <w:rsid w:val="0008204C"/>
    <w:rsid w:val="00085672"/>
    <w:rsid w:val="00095DFB"/>
    <w:rsid w:val="00095F17"/>
    <w:rsid w:val="00096BA2"/>
    <w:rsid w:val="000977A6"/>
    <w:rsid w:val="000A1B64"/>
    <w:rsid w:val="000A4D0F"/>
    <w:rsid w:val="000A5768"/>
    <w:rsid w:val="000A5AA5"/>
    <w:rsid w:val="000A5FDD"/>
    <w:rsid w:val="000A7237"/>
    <w:rsid w:val="000B1220"/>
    <w:rsid w:val="000B4F1F"/>
    <w:rsid w:val="000B5F75"/>
    <w:rsid w:val="000B5FE4"/>
    <w:rsid w:val="000C06B0"/>
    <w:rsid w:val="000C070A"/>
    <w:rsid w:val="000C1BD0"/>
    <w:rsid w:val="000C3147"/>
    <w:rsid w:val="000C3DF2"/>
    <w:rsid w:val="000C6280"/>
    <w:rsid w:val="000C7CC2"/>
    <w:rsid w:val="000D0B4D"/>
    <w:rsid w:val="000D0DFA"/>
    <w:rsid w:val="000D1B27"/>
    <w:rsid w:val="000D36A0"/>
    <w:rsid w:val="000D4B36"/>
    <w:rsid w:val="000D648F"/>
    <w:rsid w:val="000D6E64"/>
    <w:rsid w:val="000D7B8B"/>
    <w:rsid w:val="000D7D4B"/>
    <w:rsid w:val="000E123E"/>
    <w:rsid w:val="000E160E"/>
    <w:rsid w:val="000E50DE"/>
    <w:rsid w:val="000E5CD6"/>
    <w:rsid w:val="000E7862"/>
    <w:rsid w:val="000F108F"/>
    <w:rsid w:val="000F264B"/>
    <w:rsid w:val="000F2B88"/>
    <w:rsid w:val="000F38F5"/>
    <w:rsid w:val="000F5471"/>
    <w:rsid w:val="000F5B76"/>
    <w:rsid w:val="000F6D38"/>
    <w:rsid w:val="000F76E9"/>
    <w:rsid w:val="000F7776"/>
    <w:rsid w:val="000F7CBE"/>
    <w:rsid w:val="00100B7C"/>
    <w:rsid w:val="00101E33"/>
    <w:rsid w:val="00106566"/>
    <w:rsid w:val="00110DD6"/>
    <w:rsid w:val="00111EB9"/>
    <w:rsid w:val="00111FED"/>
    <w:rsid w:val="00114DE6"/>
    <w:rsid w:val="0011586A"/>
    <w:rsid w:val="0011695D"/>
    <w:rsid w:val="00116B36"/>
    <w:rsid w:val="00120D9C"/>
    <w:rsid w:val="00122984"/>
    <w:rsid w:val="001245A2"/>
    <w:rsid w:val="00127AC2"/>
    <w:rsid w:val="001307FD"/>
    <w:rsid w:val="00133489"/>
    <w:rsid w:val="00134907"/>
    <w:rsid w:val="00134CAA"/>
    <w:rsid w:val="00136034"/>
    <w:rsid w:val="00136066"/>
    <w:rsid w:val="00136493"/>
    <w:rsid w:val="00140D9D"/>
    <w:rsid w:val="00141E05"/>
    <w:rsid w:val="00142872"/>
    <w:rsid w:val="001432EA"/>
    <w:rsid w:val="00146DA0"/>
    <w:rsid w:val="00150E2B"/>
    <w:rsid w:val="001513BB"/>
    <w:rsid w:val="00151573"/>
    <w:rsid w:val="00151B4F"/>
    <w:rsid w:val="00151D70"/>
    <w:rsid w:val="001525C4"/>
    <w:rsid w:val="00152AF8"/>
    <w:rsid w:val="00154131"/>
    <w:rsid w:val="00154526"/>
    <w:rsid w:val="00157A03"/>
    <w:rsid w:val="0016002B"/>
    <w:rsid w:val="00160801"/>
    <w:rsid w:val="00161DB6"/>
    <w:rsid w:val="0016263C"/>
    <w:rsid w:val="001627BB"/>
    <w:rsid w:val="001631BF"/>
    <w:rsid w:val="00163238"/>
    <w:rsid w:val="001667D6"/>
    <w:rsid w:val="0016682D"/>
    <w:rsid w:val="00166F2B"/>
    <w:rsid w:val="00167391"/>
    <w:rsid w:val="00167398"/>
    <w:rsid w:val="0017099A"/>
    <w:rsid w:val="00170F17"/>
    <w:rsid w:val="001717DB"/>
    <w:rsid w:val="00171BD2"/>
    <w:rsid w:val="0017238B"/>
    <w:rsid w:val="00172E96"/>
    <w:rsid w:val="001744C3"/>
    <w:rsid w:val="00176254"/>
    <w:rsid w:val="00176631"/>
    <w:rsid w:val="00177E5C"/>
    <w:rsid w:val="001811B6"/>
    <w:rsid w:val="00183816"/>
    <w:rsid w:val="00186621"/>
    <w:rsid w:val="001876BE"/>
    <w:rsid w:val="00191D3D"/>
    <w:rsid w:val="00193114"/>
    <w:rsid w:val="00193CAA"/>
    <w:rsid w:val="00196E7C"/>
    <w:rsid w:val="00197AE5"/>
    <w:rsid w:val="001A0D07"/>
    <w:rsid w:val="001A3EDB"/>
    <w:rsid w:val="001A67ED"/>
    <w:rsid w:val="001A7316"/>
    <w:rsid w:val="001A7CF9"/>
    <w:rsid w:val="001B08F6"/>
    <w:rsid w:val="001B2603"/>
    <w:rsid w:val="001B3497"/>
    <w:rsid w:val="001B53D4"/>
    <w:rsid w:val="001C2380"/>
    <w:rsid w:val="001C4BCB"/>
    <w:rsid w:val="001C53D2"/>
    <w:rsid w:val="001C5478"/>
    <w:rsid w:val="001C676C"/>
    <w:rsid w:val="001D01F9"/>
    <w:rsid w:val="001D04D4"/>
    <w:rsid w:val="001D2379"/>
    <w:rsid w:val="001D556D"/>
    <w:rsid w:val="001E575B"/>
    <w:rsid w:val="001E7768"/>
    <w:rsid w:val="001F09B4"/>
    <w:rsid w:val="001F18EA"/>
    <w:rsid w:val="001F1FD1"/>
    <w:rsid w:val="001F3696"/>
    <w:rsid w:val="001F3F2D"/>
    <w:rsid w:val="001F64AD"/>
    <w:rsid w:val="00204A7B"/>
    <w:rsid w:val="00207354"/>
    <w:rsid w:val="002101DF"/>
    <w:rsid w:val="0021258E"/>
    <w:rsid w:val="002155B1"/>
    <w:rsid w:val="00216F79"/>
    <w:rsid w:val="00220216"/>
    <w:rsid w:val="0022071C"/>
    <w:rsid w:val="0022198A"/>
    <w:rsid w:val="00221B34"/>
    <w:rsid w:val="00222406"/>
    <w:rsid w:val="00222613"/>
    <w:rsid w:val="00224654"/>
    <w:rsid w:val="00226F00"/>
    <w:rsid w:val="00233B3F"/>
    <w:rsid w:val="002341E5"/>
    <w:rsid w:val="00235D4A"/>
    <w:rsid w:val="00236F0D"/>
    <w:rsid w:val="00236FCB"/>
    <w:rsid w:val="00241049"/>
    <w:rsid w:val="00241C90"/>
    <w:rsid w:val="00241D2C"/>
    <w:rsid w:val="00243956"/>
    <w:rsid w:val="00247E12"/>
    <w:rsid w:val="0025494F"/>
    <w:rsid w:val="00254AF5"/>
    <w:rsid w:val="002568A5"/>
    <w:rsid w:val="00257EB1"/>
    <w:rsid w:val="002632A5"/>
    <w:rsid w:val="00263649"/>
    <w:rsid w:val="00264F8C"/>
    <w:rsid w:val="00265B65"/>
    <w:rsid w:val="00266879"/>
    <w:rsid w:val="00267C42"/>
    <w:rsid w:val="00275CF4"/>
    <w:rsid w:val="00277864"/>
    <w:rsid w:val="002803B8"/>
    <w:rsid w:val="00280476"/>
    <w:rsid w:val="002823FC"/>
    <w:rsid w:val="0028423B"/>
    <w:rsid w:val="002849AB"/>
    <w:rsid w:val="00287C00"/>
    <w:rsid w:val="00290129"/>
    <w:rsid w:val="00290873"/>
    <w:rsid w:val="00291F89"/>
    <w:rsid w:val="0029271A"/>
    <w:rsid w:val="0029296F"/>
    <w:rsid w:val="00292E37"/>
    <w:rsid w:val="00292FB6"/>
    <w:rsid w:val="0029502B"/>
    <w:rsid w:val="00297D78"/>
    <w:rsid w:val="002A1711"/>
    <w:rsid w:val="002A30CB"/>
    <w:rsid w:val="002A3112"/>
    <w:rsid w:val="002A4754"/>
    <w:rsid w:val="002A47DA"/>
    <w:rsid w:val="002A5B7D"/>
    <w:rsid w:val="002A6DB7"/>
    <w:rsid w:val="002A73C2"/>
    <w:rsid w:val="002A7D60"/>
    <w:rsid w:val="002B0C63"/>
    <w:rsid w:val="002B14AF"/>
    <w:rsid w:val="002B2394"/>
    <w:rsid w:val="002B33A7"/>
    <w:rsid w:val="002B3F36"/>
    <w:rsid w:val="002B478C"/>
    <w:rsid w:val="002B71CE"/>
    <w:rsid w:val="002B774D"/>
    <w:rsid w:val="002B7808"/>
    <w:rsid w:val="002C1019"/>
    <w:rsid w:val="002C13CE"/>
    <w:rsid w:val="002C13D4"/>
    <w:rsid w:val="002C49BC"/>
    <w:rsid w:val="002C506A"/>
    <w:rsid w:val="002C5BC9"/>
    <w:rsid w:val="002C5D3C"/>
    <w:rsid w:val="002C612C"/>
    <w:rsid w:val="002C61D9"/>
    <w:rsid w:val="002D1479"/>
    <w:rsid w:val="002D17FA"/>
    <w:rsid w:val="002D18A4"/>
    <w:rsid w:val="002D40CE"/>
    <w:rsid w:val="002E14E2"/>
    <w:rsid w:val="002E3483"/>
    <w:rsid w:val="002E3F64"/>
    <w:rsid w:val="002E3FE6"/>
    <w:rsid w:val="002E47CA"/>
    <w:rsid w:val="002E585D"/>
    <w:rsid w:val="002E6D0C"/>
    <w:rsid w:val="002F06F1"/>
    <w:rsid w:val="002F16EB"/>
    <w:rsid w:val="002F2814"/>
    <w:rsid w:val="002F3827"/>
    <w:rsid w:val="002F4E74"/>
    <w:rsid w:val="00300ED9"/>
    <w:rsid w:val="0030346A"/>
    <w:rsid w:val="003058A1"/>
    <w:rsid w:val="00305990"/>
    <w:rsid w:val="00305D33"/>
    <w:rsid w:val="00306C8F"/>
    <w:rsid w:val="00311771"/>
    <w:rsid w:val="003130AF"/>
    <w:rsid w:val="0031346D"/>
    <w:rsid w:val="00314A73"/>
    <w:rsid w:val="003156D8"/>
    <w:rsid w:val="00315943"/>
    <w:rsid w:val="00315A68"/>
    <w:rsid w:val="00316A3A"/>
    <w:rsid w:val="00316C7E"/>
    <w:rsid w:val="003228E0"/>
    <w:rsid w:val="00322965"/>
    <w:rsid w:val="003230B9"/>
    <w:rsid w:val="00323ED5"/>
    <w:rsid w:val="00325285"/>
    <w:rsid w:val="003264AA"/>
    <w:rsid w:val="0032655D"/>
    <w:rsid w:val="00330FD0"/>
    <w:rsid w:val="00331E9E"/>
    <w:rsid w:val="00333F83"/>
    <w:rsid w:val="00335002"/>
    <w:rsid w:val="003367EF"/>
    <w:rsid w:val="0034151A"/>
    <w:rsid w:val="003431C3"/>
    <w:rsid w:val="00343C8B"/>
    <w:rsid w:val="00344B48"/>
    <w:rsid w:val="00344D9A"/>
    <w:rsid w:val="003450DB"/>
    <w:rsid w:val="003457CE"/>
    <w:rsid w:val="00346401"/>
    <w:rsid w:val="00350F0E"/>
    <w:rsid w:val="0035166D"/>
    <w:rsid w:val="00352085"/>
    <w:rsid w:val="00355ABF"/>
    <w:rsid w:val="00355B27"/>
    <w:rsid w:val="003627AC"/>
    <w:rsid w:val="00363C5C"/>
    <w:rsid w:val="0036434F"/>
    <w:rsid w:val="00364B10"/>
    <w:rsid w:val="003650DB"/>
    <w:rsid w:val="003654B0"/>
    <w:rsid w:val="00367FAB"/>
    <w:rsid w:val="003728C3"/>
    <w:rsid w:val="00372A5D"/>
    <w:rsid w:val="003742D3"/>
    <w:rsid w:val="00374A94"/>
    <w:rsid w:val="00376A8C"/>
    <w:rsid w:val="0037712E"/>
    <w:rsid w:val="00377180"/>
    <w:rsid w:val="00377CC3"/>
    <w:rsid w:val="00380799"/>
    <w:rsid w:val="00381600"/>
    <w:rsid w:val="00381BE4"/>
    <w:rsid w:val="00382810"/>
    <w:rsid w:val="00383408"/>
    <w:rsid w:val="0038476D"/>
    <w:rsid w:val="0038547D"/>
    <w:rsid w:val="00385927"/>
    <w:rsid w:val="00385F08"/>
    <w:rsid w:val="00386E30"/>
    <w:rsid w:val="003926D7"/>
    <w:rsid w:val="00393DD4"/>
    <w:rsid w:val="0039479C"/>
    <w:rsid w:val="0039606C"/>
    <w:rsid w:val="003967EB"/>
    <w:rsid w:val="003969A8"/>
    <w:rsid w:val="0039793D"/>
    <w:rsid w:val="003A0DE3"/>
    <w:rsid w:val="003A1376"/>
    <w:rsid w:val="003A184C"/>
    <w:rsid w:val="003A18DB"/>
    <w:rsid w:val="003A2919"/>
    <w:rsid w:val="003A3018"/>
    <w:rsid w:val="003A3393"/>
    <w:rsid w:val="003A551B"/>
    <w:rsid w:val="003A684B"/>
    <w:rsid w:val="003A6A90"/>
    <w:rsid w:val="003A70B4"/>
    <w:rsid w:val="003B0DDF"/>
    <w:rsid w:val="003B1B0F"/>
    <w:rsid w:val="003B246C"/>
    <w:rsid w:val="003B5167"/>
    <w:rsid w:val="003B7E39"/>
    <w:rsid w:val="003C02AF"/>
    <w:rsid w:val="003C0454"/>
    <w:rsid w:val="003C115C"/>
    <w:rsid w:val="003C3F25"/>
    <w:rsid w:val="003C5805"/>
    <w:rsid w:val="003C6826"/>
    <w:rsid w:val="003D0590"/>
    <w:rsid w:val="003D073B"/>
    <w:rsid w:val="003D09A1"/>
    <w:rsid w:val="003D21FB"/>
    <w:rsid w:val="003D23CA"/>
    <w:rsid w:val="003D37BF"/>
    <w:rsid w:val="003D4675"/>
    <w:rsid w:val="003E1A24"/>
    <w:rsid w:val="003E2F1A"/>
    <w:rsid w:val="003E513B"/>
    <w:rsid w:val="003E5F27"/>
    <w:rsid w:val="003F0268"/>
    <w:rsid w:val="003F1C7E"/>
    <w:rsid w:val="003F3579"/>
    <w:rsid w:val="00400462"/>
    <w:rsid w:val="00406A19"/>
    <w:rsid w:val="00406DDE"/>
    <w:rsid w:val="00407014"/>
    <w:rsid w:val="00410663"/>
    <w:rsid w:val="004119CF"/>
    <w:rsid w:val="00411EE4"/>
    <w:rsid w:val="00412DFA"/>
    <w:rsid w:val="00413EF7"/>
    <w:rsid w:val="00414607"/>
    <w:rsid w:val="00416783"/>
    <w:rsid w:val="004206B4"/>
    <w:rsid w:val="00420A42"/>
    <w:rsid w:val="00423C86"/>
    <w:rsid w:val="00424D73"/>
    <w:rsid w:val="00426DD1"/>
    <w:rsid w:val="00426F52"/>
    <w:rsid w:val="00430106"/>
    <w:rsid w:val="0043053F"/>
    <w:rsid w:val="00430D17"/>
    <w:rsid w:val="004337DF"/>
    <w:rsid w:val="00437660"/>
    <w:rsid w:val="00443EEA"/>
    <w:rsid w:val="004450D1"/>
    <w:rsid w:val="00447DB1"/>
    <w:rsid w:val="0045065E"/>
    <w:rsid w:val="004535A8"/>
    <w:rsid w:val="0045522F"/>
    <w:rsid w:val="00456A28"/>
    <w:rsid w:val="0046239D"/>
    <w:rsid w:val="00462491"/>
    <w:rsid w:val="00462AB5"/>
    <w:rsid w:val="00464922"/>
    <w:rsid w:val="0047001C"/>
    <w:rsid w:val="00470332"/>
    <w:rsid w:val="00471929"/>
    <w:rsid w:val="00474C7B"/>
    <w:rsid w:val="004758AA"/>
    <w:rsid w:val="0047594C"/>
    <w:rsid w:val="00476EC2"/>
    <w:rsid w:val="004779F4"/>
    <w:rsid w:val="00477BCD"/>
    <w:rsid w:val="00481636"/>
    <w:rsid w:val="00482441"/>
    <w:rsid w:val="004904ED"/>
    <w:rsid w:val="0049084C"/>
    <w:rsid w:val="00497252"/>
    <w:rsid w:val="004A0A53"/>
    <w:rsid w:val="004A1CB0"/>
    <w:rsid w:val="004A5448"/>
    <w:rsid w:val="004A54F1"/>
    <w:rsid w:val="004A5572"/>
    <w:rsid w:val="004B22A4"/>
    <w:rsid w:val="004B2914"/>
    <w:rsid w:val="004B2F4E"/>
    <w:rsid w:val="004B4042"/>
    <w:rsid w:val="004C1363"/>
    <w:rsid w:val="004C2938"/>
    <w:rsid w:val="004C3B82"/>
    <w:rsid w:val="004C4FC3"/>
    <w:rsid w:val="004C5B4F"/>
    <w:rsid w:val="004D1209"/>
    <w:rsid w:val="004D3C87"/>
    <w:rsid w:val="004D3F36"/>
    <w:rsid w:val="004D5AFA"/>
    <w:rsid w:val="004D61E9"/>
    <w:rsid w:val="004D62C6"/>
    <w:rsid w:val="004E1A63"/>
    <w:rsid w:val="004E4191"/>
    <w:rsid w:val="004E6D4A"/>
    <w:rsid w:val="004E7508"/>
    <w:rsid w:val="004F167B"/>
    <w:rsid w:val="004F1A42"/>
    <w:rsid w:val="004F2D3F"/>
    <w:rsid w:val="004F2E15"/>
    <w:rsid w:val="005035BA"/>
    <w:rsid w:val="00506238"/>
    <w:rsid w:val="0050686B"/>
    <w:rsid w:val="00507D14"/>
    <w:rsid w:val="00510049"/>
    <w:rsid w:val="0051430B"/>
    <w:rsid w:val="00514D08"/>
    <w:rsid w:val="0051682E"/>
    <w:rsid w:val="00517A3E"/>
    <w:rsid w:val="00517BEA"/>
    <w:rsid w:val="00520904"/>
    <w:rsid w:val="0052166A"/>
    <w:rsid w:val="00523A76"/>
    <w:rsid w:val="005255A2"/>
    <w:rsid w:val="00526D61"/>
    <w:rsid w:val="00527C34"/>
    <w:rsid w:val="00530114"/>
    <w:rsid w:val="00531989"/>
    <w:rsid w:val="0053207F"/>
    <w:rsid w:val="00533FCE"/>
    <w:rsid w:val="00536A8D"/>
    <w:rsid w:val="00537E0D"/>
    <w:rsid w:val="00541119"/>
    <w:rsid w:val="005412BE"/>
    <w:rsid w:val="005414EA"/>
    <w:rsid w:val="005442A5"/>
    <w:rsid w:val="005443FE"/>
    <w:rsid w:val="0054481F"/>
    <w:rsid w:val="00545D2B"/>
    <w:rsid w:val="00546B70"/>
    <w:rsid w:val="005479B5"/>
    <w:rsid w:val="00555A00"/>
    <w:rsid w:val="005570B1"/>
    <w:rsid w:val="00557EE8"/>
    <w:rsid w:val="005602A8"/>
    <w:rsid w:val="005608DE"/>
    <w:rsid w:val="00560AC1"/>
    <w:rsid w:val="00561B1C"/>
    <w:rsid w:val="00562A7A"/>
    <w:rsid w:val="0056326C"/>
    <w:rsid w:val="00564595"/>
    <w:rsid w:val="00566D8D"/>
    <w:rsid w:val="0057027A"/>
    <w:rsid w:val="00570943"/>
    <w:rsid w:val="005709C9"/>
    <w:rsid w:val="00573BDF"/>
    <w:rsid w:val="00575AB5"/>
    <w:rsid w:val="00575B2F"/>
    <w:rsid w:val="0057666A"/>
    <w:rsid w:val="0058022F"/>
    <w:rsid w:val="005811B6"/>
    <w:rsid w:val="00582F21"/>
    <w:rsid w:val="00583D6F"/>
    <w:rsid w:val="00590E70"/>
    <w:rsid w:val="00590F1E"/>
    <w:rsid w:val="00593988"/>
    <w:rsid w:val="00594459"/>
    <w:rsid w:val="0059462F"/>
    <w:rsid w:val="00595AA4"/>
    <w:rsid w:val="005A0D67"/>
    <w:rsid w:val="005A552C"/>
    <w:rsid w:val="005A627D"/>
    <w:rsid w:val="005A68AD"/>
    <w:rsid w:val="005A6BC0"/>
    <w:rsid w:val="005A7029"/>
    <w:rsid w:val="005B0F77"/>
    <w:rsid w:val="005B295B"/>
    <w:rsid w:val="005B342D"/>
    <w:rsid w:val="005B3DC4"/>
    <w:rsid w:val="005B3E0F"/>
    <w:rsid w:val="005B430B"/>
    <w:rsid w:val="005B4B76"/>
    <w:rsid w:val="005B5B42"/>
    <w:rsid w:val="005B6C96"/>
    <w:rsid w:val="005B7233"/>
    <w:rsid w:val="005B7FE8"/>
    <w:rsid w:val="005C0256"/>
    <w:rsid w:val="005C152A"/>
    <w:rsid w:val="005C6AAA"/>
    <w:rsid w:val="005C7E32"/>
    <w:rsid w:val="005D14F2"/>
    <w:rsid w:val="005D213B"/>
    <w:rsid w:val="005D43A3"/>
    <w:rsid w:val="005D4AAD"/>
    <w:rsid w:val="005E1035"/>
    <w:rsid w:val="005F42C6"/>
    <w:rsid w:val="005F67D5"/>
    <w:rsid w:val="005F78B4"/>
    <w:rsid w:val="005F7FC8"/>
    <w:rsid w:val="00605704"/>
    <w:rsid w:val="00605E50"/>
    <w:rsid w:val="0060649C"/>
    <w:rsid w:val="0061135C"/>
    <w:rsid w:val="00613433"/>
    <w:rsid w:val="00613B8B"/>
    <w:rsid w:val="0061720D"/>
    <w:rsid w:val="00617D79"/>
    <w:rsid w:val="00623B91"/>
    <w:rsid w:val="00624B09"/>
    <w:rsid w:val="00627208"/>
    <w:rsid w:val="0064021C"/>
    <w:rsid w:val="006410CE"/>
    <w:rsid w:val="00641768"/>
    <w:rsid w:val="00641BD6"/>
    <w:rsid w:val="006427EC"/>
    <w:rsid w:val="00642C9C"/>
    <w:rsid w:val="00642E78"/>
    <w:rsid w:val="00643CED"/>
    <w:rsid w:val="0064791C"/>
    <w:rsid w:val="006501B7"/>
    <w:rsid w:val="006504E3"/>
    <w:rsid w:val="006508A8"/>
    <w:rsid w:val="006529E2"/>
    <w:rsid w:val="006533E4"/>
    <w:rsid w:val="006537B8"/>
    <w:rsid w:val="00653EAE"/>
    <w:rsid w:val="006545A4"/>
    <w:rsid w:val="00655E51"/>
    <w:rsid w:val="00660A50"/>
    <w:rsid w:val="00660F8A"/>
    <w:rsid w:val="00661885"/>
    <w:rsid w:val="00662145"/>
    <w:rsid w:val="006626B9"/>
    <w:rsid w:val="00666FB7"/>
    <w:rsid w:val="00670FA9"/>
    <w:rsid w:val="006711C0"/>
    <w:rsid w:val="00673AAB"/>
    <w:rsid w:val="00674029"/>
    <w:rsid w:val="00674FDC"/>
    <w:rsid w:val="006758DD"/>
    <w:rsid w:val="0067658D"/>
    <w:rsid w:val="00676868"/>
    <w:rsid w:val="0068097C"/>
    <w:rsid w:val="006815AF"/>
    <w:rsid w:val="00682E5D"/>
    <w:rsid w:val="00684E00"/>
    <w:rsid w:val="00685DDC"/>
    <w:rsid w:val="006902D3"/>
    <w:rsid w:val="00690DF4"/>
    <w:rsid w:val="006911C2"/>
    <w:rsid w:val="006914F9"/>
    <w:rsid w:val="00694191"/>
    <w:rsid w:val="006971D5"/>
    <w:rsid w:val="006A063F"/>
    <w:rsid w:val="006A4462"/>
    <w:rsid w:val="006A51A7"/>
    <w:rsid w:val="006A5B2F"/>
    <w:rsid w:val="006A6BB5"/>
    <w:rsid w:val="006B0970"/>
    <w:rsid w:val="006B11F3"/>
    <w:rsid w:val="006B15E9"/>
    <w:rsid w:val="006B1F5A"/>
    <w:rsid w:val="006B2253"/>
    <w:rsid w:val="006B3612"/>
    <w:rsid w:val="006B40D4"/>
    <w:rsid w:val="006B4B30"/>
    <w:rsid w:val="006B4CDF"/>
    <w:rsid w:val="006B607B"/>
    <w:rsid w:val="006B7710"/>
    <w:rsid w:val="006C103A"/>
    <w:rsid w:val="006C1AE7"/>
    <w:rsid w:val="006C5133"/>
    <w:rsid w:val="006C5424"/>
    <w:rsid w:val="006D06B2"/>
    <w:rsid w:val="006D3ADA"/>
    <w:rsid w:val="006D44B6"/>
    <w:rsid w:val="006D523A"/>
    <w:rsid w:val="006D637E"/>
    <w:rsid w:val="006D654A"/>
    <w:rsid w:val="006D6DA6"/>
    <w:rsid w:val="006D6DDC"/>
    <w:rsid w:val="006E1B4B"/>
    <w:rsid w:val="006E330A"/>
    <w:rsid w:val="006E4241"/>
    <w:rsid w:val="006E6C8C"/>
    <w:rsid w:val="006F33F0"/>
    <w:rsid w:val="006F666A"/>
    <w:rsid w:val="00701F4F"/>
    <w:rsid w:val="00704657"/>
    <w:rsid w:val="007055C1"/>
    <w:rsid w:val="007055D1"/>
    <w:rsid w:val="007076C1"/>
    <w:rsid w:val="00707781"/>
    <w:rsid w:val="00707D9F"/>
    <w:rsid w:val="00707F67"/>
    <w:rsid w:val="00710ABB"/>
    <w:rsid w:val="00711556"/>
    <w:rsid w:val="0071168A"/>
    <w:rsid w:val="0071180B"/>
    <w:rsid w:val="007125AB"/>
    <w:rsid w:val="0071615E"/>
    <w:rsid w:val="00717637"/>
    <w:rsid w:val="00722B46"/>
    <w:rsid w:val="00724336"/>
    <w:rsid w:val="00731792"/>
    <w:rsid w:val="00732CB5"/>
    <w:rsid w:val="00733889"/>
    <w:rsid w:val="00733977"/>
    <w:rsid w:val="007343F0"/>
    <w:rsid w:val="007370D7"/>
    <w:rsid w:val="00737959"/>
    <w:rsid w:val="00740529"/>
    <w:rsid w:val="007431F1"/>
    <w:rsid w:val="00743E76"/>
    <w:rsid w:val="00745603"/>
    <w:rsid w:val="007472F8"/>
    <w:rsid w:val="0074749C"/>
    <w:rsid w:val="00747A32"/>
    <w:rsid w:val="007503B5"/>
    <w:rsid w:val="00750923"/>
    <w:rsid w:val="00756C76"/>
    <w:rsid w:val="007573AC"/>
    <w:rsid w:val="00757A50"/>
    <w:rsid w:val="007609AE"/>
    <w:rsid w:val="00760C5B"/>
    <w:rsid w:val="00761FE4"/>
    <w:rsid w:val="00764266"/>
    <w:rsid w:val="00764B54"/>
    <w:rsid w:val="00767B81"/>
    <w:rsid w:val="00770B14"/>
    <w:rsid w:val="0077285B"/>
    <w:rsid w:val="0077337F"/>
    <w:rsid w:val="00773A3D"/>
    <w:rsid w:val="007748A2"/>
    <w:rsid w:val="00775268"/>
    <w:rsid w:val="00775D2D"/>
    <w:rsid w:val="0077675E"/>
    <w:rsid w:val="007807F2"/>
    <w:rsid w:val="0078443C"/>
    <w:rsid w:val="00787066"/>
    <w:rsid w:val="00793456"/>
    <w:rsid w:val="00794EF9"/>
    <w:rsid w:val="007A03E3"/>
    <w:rsid w:val="007A0523"/>
    <w:rsid w:val="007A0BB7"/>
    <w:rsid w:val="007A2395"/>
    <w:rsid w:val="007A276F"/>
    <w:rsid w:val="007A47B1"/>
    <w:rsid w:val="007A6995"/>
    <w:rsid w:val="007A7DCA"/>
    <w:rsid w:val="007A7EB9"/>
    <w:rsid w:val="007B0D57"/>
    <w:rsid w:val="007B2E1C"/>
    <w:rsid w:val="007B4464"/>
    <w:rsid w:val="007B667C"/>
    <w:rsid w:val="007B70CD"/>
    <w:rsid w:val="007C16B2"/>
    <w:rsid w:val="007C28CC"/>
    <w:rsid w:val="007C2980"/>
    <w:rsid w:val="007C4F5A"/>
    <w:rsid w:val="007C66CD"/>
    <w:rsid w:val="007D058A"/>
    <w:rsid w:val="007D21E0"/>
    <w:rsid w:val="007D58F4"/>
    <w:rsid w:val="007D620F"/>
    <w:rsid w:val="007D74FB"/>
    <w:rsid w:val="007E0403"/>
    <w:rsid w:val="007E17C1"/>
    <w:rsid w:val="007E1FE8"/>
    <w:rsid w:val="007E279F"/>
    <w:rsid w:val="007E3335"/>
    <w:rsid w:val="007E3493"/>
    <w:rsid w:val="007E35D0"/>
    <w:rsid w:val="007E36B2"/>
    <w:rsid w:val="007E391A"/>
    <w:rsid w:val="007E5AEC"/>
    <w:rsid w:val="007F17EE"/>
    <w:rsid w:val="007F1E36"/>
    <w:rsid w:val="007F2758"/>
    <w:rsid w:val="007F2D60"/>
    <w:rsid w:val="007F3844"/>
    <w:rsid w:val="007F3FF5"/>
    <w:rsid w:val="0080119E"/>
    <w:rsid w:val="008016CA"/>
    <w:rsid w:val="00802DAD"/>
    <w:rsid w:val="008039AC"/>
    <w:rsid w:val="008046A4"/>
    <w:rsid w:val="0080485D"/>
    <w:rsid w:val="00804E52"/>
    <w:rsid w:val="008064D7"/>
    <w:rsid w:val="0080680F"/>
    <w:rsid w:val="0080772D"/>
    <w:rsid w:val="00807A11"/>
    <w:rsid w:val="008100B5"/>
    <w:rsid w:val="00811E9D"/>
    <w:rsid w:val="0081531A"/>
    <w:rsid w:val="00815BD2"/>
    <w:rsid w:val="00815FC0"/>
    <w:rsid w:val="00816D90"/>
    <w:rsid w:val="0081711E"/>
    <w:rsid w:val="00820274"/>
    <w:rsid w:val="00821EF4"/>
    <w:rsid w:val="00822AE4"/>
    <w:rsid w:val="008235B6"/>
    <w:rsid w:val="00823930"/>
    <w:rsid w:val="00823BB3"/>
    <w:rsid w:val="00825D6B"/>
    <w:rsid w:val="00827137"/>
    <w:rsid w:val="00827658"/>
    <w:rsid w:val="008303A8"/>
    <w:rsid w:val="00831563"/>
    <w:rsid w:val="00831A4C"/>
    <w:rsid w:val="00831FDF"/>
    <w:rsid w:val="00832985"/>
    <w:rsid w:val="00833B92"/>
    <w:rsid w:val="0083448D"/>
    <w:rsid w:val="00834ACB"/>
    <w:rsid w:val="008366A5"/>
    <w:rsid w:val="00836C3B"/>
    <w:rsid w:val="00837535"/>
    <w:rsid w:val="00840669"/>
    <w:rsid w:val="00842731"/>
    <w:rsid w:val="00842ABD"/>
    <w:rsid w:val="00843C01"/>
    <w:rsid w:val="00844315"/>
    <w:rsid w:val="00845892"/>
    <w:rsid w:val="00850BD8"/>
    <w:rsid w:val="00850F81"/>
    <w:rsid w:val="00851E4D"/>
    <w:rsid w:val="00852147"/>
    <w:rsid w:val="0085259F"/>
    <w:rsid w:val="00852A4C"/>
    <w:rsid w:val="00852ABF"/>
    <w:rsid w:val="00852F43"/>
    <w:rsid w:val="00856C24"/>
    <w:rsid w:val="0086386C"/>
    <w:rsid w:val="008644F4"/>
    <w:rsid w:val="00866406"/>
    <w:rsid w:val="008668C3"/>
    <w:rsid w:val="008704B1"/>
    <w:rsid w:val="00870F77"/>
    <w:rsid w:val="008716C8"/>
    <w:rsid w:val="00874C01"/>
    <w:rsid w:val="00874C70"/>
    <w:rsid w:val="008775AF"/>
    <w:rsid w:val="00881B90"/>
    <w:rsid w:val="008855A8"/>
    <w:rsid w:val="00887F11"/>
    <w:rsid w:val="00890D5C"/>
    <w:rsid w:val="00892D1C"/>
    <w:rsid w:val="008933BE"/>
    <w:rsid w:val="00894399"/>
    <w:rsid w:val="00894F54"/>
    <w:rsid w:val="00897071"/>
    <w:rsid w:val="0089733D"/>
    <w:rsid w:val="008A534A"/>
    <w:rsid w:val="008A60CF"/>
    <w:rsid w:val="008A71F1"/>
    <w:rsid w:val="008B2893"/>
    <w:rsid w:val="008B3AED"/>
    <w:rsid w:val="008B7AF2"/>
    <w:rsid w:val="008C64F9"/>
    <w:rsid w:val="008C7468"/>
    <w:rsid w:val="008D2834"/>
    <w:rsid w:val="008D461F"/>
    <w:rsid w:val="008D4F3A"/>
    <w:rsid w:val="008D5118"/>
    <w:rsid w:val="008D7058"/>
    <w:rsid w:val="008E383B"/>
    <w:rsid w:val="008E3A1C"/>
    <w:rsid w:val="008E432F"/>
    <w:rsid w:val="008F05BA"/>
    <w:rsid w:val="008F08BA"/>
    <w:rsid w:val="008F1569"/>
    <w:rsid w:val="008F2697"/>
    <w:rsid w:val="008F368E"/>
    <w:rsid w:val="008F45A7"/>
    <w:rsid w:val="008F5CC4"/>
    <w:rsid w:val="008F6D9D"/>
    <w:rsid w:val="008F6DF6"/>
    <w:rsid w:val="008F7E71"/>
    <w:rsid w:val="009063A2"/>
    <w:rsid w:val="00907A40"/>
    <w:rsid w:val="00910642"/>
    <w:rsid w:val="00912259"/>
    <w:rsid w:val="009138ED"/>
    <w:rsid w:val="009143D2"/>
    <w:rsid w:val="009149B2"/>
    <w:rsid w:val="00917417"/>
    <w:rsid w:val="00917A4D"/>
    <w:rsid w:val="00923700"/>
    <w:rsid w:val="00926BB8"/>
    <w:rsid w:val="009277CD"/>
    <w:rsid w:val="00927FB4"/>
    <w:rsid w:val="00930735"/>
    <w:rsid w:val="0093101D"/>
    <w:rsid w:val="00931608"/>
    <w:rsid w:val="00932B89"/>
    <w:rsid w:val="00933AB6"/>
    <w:rsid w:val="00933AFC"/>
    <w:rsid w:val="00935093"/>
    <w:rsid w:val="00936ABB"/>
    <w:rsid w:val="0094062D"/>
    <w:rsid w:val="00941077"/>
    <w:rsid w:val="00942D78"/>
    <w:rsid w:val="0094383B"/>
    <w:rsid w:val="00945E54"/>
    <w:rsid w:val="00950954"/>
    <w:rsid w:val="00950BF7"/>
    <w:rsid w:val="00950FBF"/>
    <w:rsid w:val="00952E76"/>
    <w:rsid w:val="009547AD"/>
    <w:rsid w:val="0095647E"/>
    <w:rsid w:val="0096060B"/>
    <w:rsid w:val="00961878"/>
    <w:rsid w:val="00961B8B"/>
    <w:rsid w:val="00962286"/>
    <w:rsid w:val="009639FA"/>
    <w:rsid w:val="00965A6B"/>
    <w:rsid w:val="00970545"/>
    <w:rsid w:val="00971322"/>
    <w:rsid w:val="00972F16"/>
    <w:rsid w:val="00974479"/>
    <w:rsid w:val="00975BF0"/>
    <w:rsid w:val="00976A6A"/>
    <w:rsid w:val="00981150"/>
    <w:rsid w:val="00983979"/>
    <w:rsid w:val="00983C58"/>
    <w:rsid w:val="00985C5D"/>
    <w:rsid w:val="00987DF8"/>
    <w:rsid w:val="00987F5F"/>
    <w:rsid w:val="00995EB3"/>
    <w:rsid w:val="0099738C"/>
    <w:rsid w:val="009A0868"/>
    <w:rsid w:val="009A1079"/>
    <w:rsid w:val="009A2B44"/>
    <w:rsid w:val="009A6EE0"/>
    <w:rsid w:val="009B0429"/>
    <w:rsid w:val="009B3533"/>
    <w:rsid w:val="009B4420"/>
    <w:rsid w:val="009B4CDB"/>
    <w:rsid w:val="009B52CA"/>
    <w:rsid w:val="009B6A50"/>
    <w:rsid w:val="009B75F0"/>
    <w:rsid w:val="009B7BBD"/>
    <w:rsid w:val="009C0634"/>
    <w:rsid w:val="009C09CA"/>
    <w:rsid w:val="009C1C84"/>
    <w:rsid w:val="009C2731"/>
    <w:rsid w:val="009C4AC1"/>
    <w:rsid w:val="009C4F63"/>
    <w:rsid w:val="009C738F"/>
    <w:rsid w:val="009C7800"/>
    <w:rsid w:val="009D0CE5"/>
    <w:rsid w:val="009D0FE2"/>
    <w:rsid w:val="009D167D"/>
    <w:rsid w:val="009E011D"/>
    <w:rsid w:val="009E1C18"/>
    <w:rsid w:val="009E1D0A"/>
    <w:rsid w:val="009E24D5"/>
    <w:rsid w:val="009E363D"/>
    <w:rsid w:val="009E4D88"/>
    <w:rsid w:val="009E5DCC"/>
    <w:rsid w:val="009F365B"/>
    <w:rsid w:val="009F3760"/>
    <w:rsid w:val="009F4A8D"/>
    <w:rsid w:val="009F4BDA"/>
    <w:rsid w:val="009F6423"/>
    <w:rsid w:val="00A014A2"/>
    <w:rsid w:val="00A01970"/>
    <w:rsid w:val="00A01E00"/>
    <w:rsid w:val="00A01FF3"/>
    <w:rsid w:val="00A021B5"/>
    <w:rsid w:val="00A023DA"/>
    <w:rsid w:val="00A02FAD"/>
    <w:rsid w:val="00A068A6"/>
    <w:rsid w:val="00A10E54"/>
    <w:rsid w:val="00A110DC"/>
    <w:rsid w:val="00A112C2"/>
    <w:rsid w:val="00A13F0B"/>
    <w:rsid w:val="00A1447A"/>
    <w:rsid w:val="00A15191"/>
    <w:rsid w:val="00A239CB"/>
    <w:rsid w:val="00A273C4"/>
    <w:rsid w:val="00A2780C"/>
    <w:rsid w:val="00A304B8"/>
    <w:rsid w:val="00A3094C"/>
    <w:rsid w:val="00A36F07"/>
    <w:rsid w:val="00A37D21"/>
    <w:rsid w:val="00A40B7F"/>
    <w:rsid w:val="00A42FEC"/>
    <w:rsid w:val="00A44095"/>
    <w:rsid w:val="00A45CB2"/>
    <w:rsid w:val="00A47C4C"/>
    <w:rsid w:val="00A514CF"/>
    <w:rsid w:val="00A5351C"/>
    <w:rsid w:val="00A53C28"/>
    <w:rsid w:val="00A54746"/>
    <w:rsid w:val="00A55811"/>
    <w:rsid w:val="00A571D7"/>
    <w:rsid w:val="00A61591"/>
    <w:rsid w:val="00A61B0E"/>
    <w:rsid w:val="00A620B0"/>
    <w:rsid w:val="00A62571"/>
    <w:rsid w:val="00A62879"/>
    <w:rsid w:val="00A64D04"/>
    <w:rsid w:val="00A6524D"/>
    <w:rsid w:val="00A660B8"/>
    <w:rsid w:val="00A664E5"/>
    <w:rsid w:val="00A66DE7"/>
    <w:rsid w:val="00A67F2B"/>
    <w:rsid w:val="00A70086"/>
    <w:rsid w:val="00A707C4"/>
    <w:rsid w:val="00A70C88"/>
    <w:rsid w:val="00A728DA"/>
    <w:rsid w:val="00A7384F"/>
    <w:rsid w:val="00A77298"/>
    <w:rsid w:val="00A8237A"/>
    <w:rsid w:val="00A846C7"/>
    <w:rsid w:val="00A84A2A"/>
    <w:rsid w:val="00A8641D"/>
    <w:rsid w:val="00A921FF"/>
    <w:rsid w:val="00A938A5"/>
    <w:rsid w:val="00A9415C"/>
    <w:rsid w:val="00A96D3E"/>
    <w:rsid w:val="00AA0320"/>
    <w:rsid w:val="00AA04CB"/>
    <w:rsid w:val="00AA23B8"/>
    <w:rsid w:val="00AA240F"/>
    <w:rsid w:val="00AA3632"/>
    <w:rsid w:val="00AA6587"/>
    <w:rsid w:val="00AA7375"/>
    <w:rsid w:val="00AB3176"/>
    <w:rsid w:val="00AB56EB"/>
    <w:rsid w:val="00AB5F55"/>
    <w:rsid w:val="00AB6F96"/>
    <w:rsid w:val="00AC0622"/>
    <w:rsid w:val="00AC0CD0"/>
    <w:rsid w:val="00AC28F2"/>
    <w:rsid w:val="00AC2BA2"/>
    <w:rsid w:val="00AC3396"/>
    <w:rsid w:val="00AC6C74"/>
    <w:rsid w:val="00AC78ED"/>
    <w:rsid w:val="00AC7A0A"/>
    <w:rsid w:val="00AD1D41"/>
    <w:rsid w:val="00AD3146"/>
    <w:rsid w:val="00AD3EC8"/>
    <w:rsid w:val="00AD6B42"/>
    <w:rsid w:val="00AE3706"/>
    <w:rsid w:val="00AE3C22"/>
    <w:rsid w:val="00AE4C8F"/>
    <w:rsid w:val="00AE5F9D"/>
    <w:rsid w:val="00AF2F14"/>
    <w:rsid w:val="00AF3655"/>
    <w:rsid w:val="00AF745B"/>
    <w:rsid w:val="00B0165D"/>
    <w:rsid w:val="00B01C23"/>
    <w:rsid w:val="00B021FE"/>
    <w:rsid w:val="00B0493D"/>
    <w:rsid w:val="00B04D5F"/>
    <w:rsid w:val="00B060F6"/>
    <w:rsid w:val="00B0694B"/>
    <w:rsid w:val="00B110FF"/>
    <w:rsid w:val="00B1169C"/>
    <w:rsid w:val="00B11AEE"/>
    <w:rsid w:val="00B1309D"/>
    <w:rsid w:val="00B132A1"/>
    <w:rsid w:val="00B171C6"/>
    <w:rsid w:val="00B17811"/>
    <w:rsid w:val="00B17ADB"/>
    <w:rsid w:val="00B17F7E"/>
    <w:rsid w:val="00B21BED"/>
    <w:rsid w:val="00B22CB4"/>
    <w:rsid w:val="00B231D4"/>
    <w:rsid w:val="00B23613"/>
    <w:rsid w:val="00B236F2"/>
    <w:rsid w:val="00B239CB"/>
    <w:rsid w:val="00B3170D"/>
    <w:rsid w:val="00B32FEB"/>
    <w:rsid w:val="00B36D58"/>
    <w:rsid w:val="00B37101"/>
    <w:rsid w:val="00B427BE"/>
    <w:rsid w:val="00B454DD"/>
    <w:rsid w:val="00B45B77"/>
    <w:rsid w:val="00B465EA"/>
    <w:rsid w:val="00B51F60"/>
    <w:rsid w:val="00B52585"/>
    <w:rsid w:val="00B532DA"/>
    <w:rsid w:val="00B54158"/>
    <w:rsid w:val="00B5445F"/>
    <w:rsid w:val="00B55546"/>
    <w:rsid w:val="00B608F2"/>
    <w:rsid w:val="00B6240E"/>
    <w:rsid w:val="00B65217"/>
    <w:rsid w:val="00B652AC"/>
    <w:rsid w:val="00B67C3A"/>
    <w:rsid w:val="00B71461"/>
    <w:rsid w:val="00B718A8"/>
    <w:rsid w:val="00B73347"/>
    <w:rsid w:val="00B74A83"/>
    <w:rsid w:val="00B769F7"/>
    <w:rsid w:val="00B80CBB"/>
    <w:rsid w:val="00B81D91"/>
    <w:rsid w:val="00B822B4"/>
    <w:rsid w:val="00B82A40"/>
    <w:rsid w:val="00B84538"/>
    <w:rsid w:val="00B87916"/>
    <w:rsid w:val="00B90095"/>
    <w:rsid w:val="00B90BDF"/>
    <w:rsid w:val="00B91936"/>
    <w:rsid w:val="00B921EB"/>
    <w:rsid w:val="00B92462"/>
    <w:rsid w:val="00B93149"/>
    <w:rsid w:val="00B931BE"/>
    <w:rsid w:val="00B93FD4"/>
    <w:rsid w:val="00B94566"/>
    <w:rsid w:val="00B947A4"/>
    <w:rsid w:val="00B94C62"/>
    <w:rsid w:val="00B95A8C"/>
    <w:rsid w:val="00BA2E55"/>
    <w:rsid w:val="00BA3743"/>
    <w:rsid w:val="00BA3F9B"/>
    <w:rsid w:val="00BA60EA"/>
    <w:rsid w:val="00BB1A8C"/>
    <w:rsid w:val="00BB2961"/>
    <w:rsid w:val="00BB3433"/>
    <w:rsid w:val="00BB3A54"/>
    <w:rsid w:val="00BB3A5F"/>
    <w:rsid w:val="00BB50C2"/>
    <w:rsid w:val="00BB72C3"/>
    <w:rsid w:val="00BC46FF"/>
    <w:rsid w:val="00BC532E"/>
    <w:rsid w:val="00BC5B22"/>
    <w:rsid w:val="00BD0096"/>
    <w:rsid w:val="00BD3DF2"/>
    <w:rsid w:val="00BD3FAA"/>
    <w:rsid w:val="00BD579B"/>
    <w:rsid w:val="00BD5AE3"/>
    <w:rsid w:val="00BD5F65"/>
    <w:rsid w:val="00BE08C7"/>
    <w:rsid w:val="00BE139F"/>
    <w:rsid w:val="00BE268D"/>
    <w:rsid w:val="00BE2E69"/>
    <w:rsid w:val="00BE3008"/>
    <w:rsid w:val="00BE3A43"/>
    <w:rsid w:val="00BE510D"/>
    <w:rsid w:val="00BE6925"/>
    <w:rsid w:val="00BE6DDE"/>
    <w:rsid w:val="00BF2A26"/>
    <w:rsid w:val="00BF2EA9"/>
    <w:rsid w:val="00BF3E3E"/>
    <w:rsid w:val="00BF6059"/>
    <w:rsid w:val="00C0272C"/>
    <w:rsid w:val="00C04002"/>
    <w:rsid w:val="00C0675A"/>
    <w:rsid w:val="00C070C9"/>
    <w:rsid w:val="00C07E7F"/>
    <w:rsid w:val="00C1074B"/>
    <w:rsid w:val="00C1346B"/>
    <w:rsid w:val="00C13FFB"/>
    <w:rsid w:val="00C151A8"/>
    <w:rsid w:val="00C16565"/>
    <w:rsid w:val="00C16833"/>
    <w:rsid w:val="00C16EE5"/>
    <w:rsid w:val="00C17B6C"/>
    <w:rsid w:val="00C223B3"/>
    <w:rsid w:val="00C23891"/>
    <w:rsid w:val="00C270CD"/>
    <w:rsid w:val="00C27E3A"/>
    <w:rsid w:val="00C30641"/>
    <w:rsid w:val="00C33C87"/>
    <w:rsid w:val="00C36273"/>
    <w:rsid w:val="00C402A0"/>
    <w:rsid w:val="00C452FA"/>
    <w:rsid w:val="00C475E6"/>
    <w:rsid w:val="00C47FE4"/>
    <w:rsid w:val="00C51A2F"/>
    <w:rsid w:val="00C51F22"/>
    <w:rsid w:val="00C52BF1"/>
    <w:rsid w:val="00C52D50"/>
    <w:rsid w:val="00C53CC4"/>
    <w:rsid w:val="00C55389"/>
    <w:rsid w:val="00C563DF"/>
    <w:rsid w:val="00C574B8"/>
    <w:rsid w:val="00C60EB9"/>
    <w:rsid w:val="00C60F48"/>
    <w:rsid w:val="00C61B2D"/>
    <w:rsid w:val="00C62DEA"/>
    <w:rsid w:val="00C62FBC"/>
    <w:rsid w:val="00C6378F"/>
    <w:rsid w:val="00C63AAF"/>
    <w:rsid w:val="00C6658C"/>
    <w:rsid w:val="00C66D89"/>
    <w:rsid w:val="00C70CB4"/>
    <w:rsid w:val="00C72F5A"/>
    <w:rsid w:val="00C73018"/>
    <w:rsid w:val="00C743AC"/>
    <w:rsid w:val="00C7634E"/>
    <w:rsid w:val="00C7710C"/>
    <w:rsid w:val="00C823DB"/>
    <w:rsid w:val="00C83B22"/>
    <w:rsid w:val="00C842EC"/>
    <w:rsid w:val="00C8538B"/>
    <w:rsid w:val="00C870E9"/>
    <w:rsid w:val="00C87922"/>
    <w:rsid w:val="00C87955"/>
    <w:rsid w:val="00C87DB2"/>
    <w:rsid w:val="00C9169D"/>
    <w:rsid w:val="00C917FC"/>
    <w:rsid w:val="00C9211D"/>
    <w:rsid w:val="00C93B82"/>
    <w:rsid w:val="00C95F11"/>
    <w:rsid w:val="00C9790F"/>
    <w:rsid w:val="00CA1604"/>
    <w:rsid w:val="00CA20A5"/>
    <w:rsid w:val="00CA2A25"/>
    <w:rsid w:val="00CA32E1"/>
    <w:rsid w:val="00CA4936"/>
    <w:rsid w:val="00CA508A"/>
    <w:rsid w:val="00CA5B69"/>
    <w:rsid w:val="00CA5B70"/>
    <w:rsid w:val="00CA6480"/>
    <w:rsid w:val="00CA6BB4"/>
    <w:rsid w:val="00CA6D71"/>
    <w:rsid w:val="00CA6E33"/>
    <w:rsid w:val="00CA7817"/>
    <w:rsid w:val="00CB0293"/>
    <w:rsid w:val="00CB044F"/>
    <w:rsid w:val="00CB0A8D"/>
    <w:rsid w:val="00CB0E9E"/>
    <w:rsid w:val="00CB3756"/>
    <w:rsid w:val="00CB566B"/>
    <w:rsid w:val="00CB5C9C"/>
    <w:rsid w:val="00CC03AE"/>
    <w:rsid w:val="00CC3B78"/>
    <w:rsid w:val="00CC4D29"/>
    <w:rsid w:val="00CD05C3"/>
    <w:rsid w:val="00CD29F6"/>
    <w:rsid w:val="00CD31FE"/>
    <w:rsid w:val="00CD3DCC"/>
    <w:rsid w:val="00CD45D1"/>
    <w:rsid w:val="00CD5B2B"/>
    <w:rsid w:val="00CD5C7A"/>
    <w:rsid w:val="00CD5E95"/>
    <w:rsid w:val="00CE12BF"/>
    <w:rsid w:val="00CE155A"/>
    <w:rsid w:val="00CE1898"/>
    <w:rsid w:val="00CE31E8"/>
    <w:rsid w:val="00CE5179"/>
    <w:rsid w:val="00CE59F2"/>
    <w:rsid w:val="00CE5B63"/>
    <w:rsid w:val="00CE7B42"/>
    <w:rsid w:val="00CF0838"/>
    <w:rsid w:val="00CF1023"/>
    <w:rsid w:val="00CF113E"/>
    <w:rsid w:val="00CF128E"/>
    <w:rsid w:val="00CF271F"/>
    <w:rsid w:val="00CF2CE2"/>
    <w:rsid w:val="00CF39E6"/>
    <w:rsid w:val="00CF3C22"/>
    <w:rsid w:val="00CF3D25"/>
    <w:rsid w:val="00D0086C"/>
    <w:rsid w:val="00D00924"/>
    <w:rsid w:val="00D012B8"/>
    <w:rsid w:val="00D02D36"/>
    <w:rsid w:val="00D0366F"/>
    <w:rsid w:val="00D0582C"/>
    <w:rsid w:val="00D074E6"/>
    <w:rsid w:val="00D11A6D"/>
    <w:rsid w:val="00D11EF6"/>
    <w:rsid w:val="00D12940"/>
    <w:rsid w:val="00D12952"/>
    <w:rsid w:val="00D14438"/>
    <w:rsid w:val="00D149B4"/>
    <w:rsid w:val="00D153B7"/>
    <w:rsid w:val="00D21645"/>
    <w:rsid w:val="00D24731"/>
    <w:rsid w:val="00D26944"/>
    <w:rsid w:val="00D274B0"/>
    <w:rsid w:val="00D27E2D"/>
    <w:rsid w:val="00D30215"/>
    <w:rsid w:val="00D304A7"/>
    <w:rsid w:val="00D3077C"/>
    <w:rsid w:val="00D3084F"/>
    <w:rsid w:val="00D3239F"/>
    <w:rsid w:val="00D33384"/>
    <w:rsid w:val="00D33A4A"/>
    <w:rsid w:val="00D34729"/>
    <w:rsid w:val="00D34D5A"/>
    <w:rsid w:val="00D368B8"/>
    <w:rsid w:val="00D37136"/>
    <w:rsid w:val="00D405B6"/>
    <w:rsid w:val="00D454EA"/>
    <w:rsid w:val="00D46AB2"/>
    <w:rsid w:val="00D47A5F"/>
    <w:rsid w:val="00D47B1A"/>
    <w:rsid w:val="00D50A14"/>
    <w:rsid w:val="00D54484"/>
    <w:rsid w:val="00D54B7B"/>
    <w:rsid w:val="00D55723"/>
    <w:rsid w:val="00D55A98"/>
    <w:rsid w:val="00D6230E"/>
    <w:rsid w:val="00D63622"/>
    <w:rsid w:val="00D636BF"/>
    <w:rsid w:val="00D6507E"/>
    <w:rsid w:val="00D65175"/>
    <w:rsid w:val="00D664F9"/>
    <w:rsid w:val="00D66791"/>
    <w:rsid w:val="00D67790"/>
    <w:rsid w:val="00D73944"/>
    <w:rsid w:val="00D73E9F"/>
    <w:rsid w:val="00D740F3"/>
    <w:rsid w:val="00D742FF"/>
    <w:rsid w:val="00D75B0D"/>
    <w:rsid w:val="00D82FB3"/>
    <w:rsid w:val="00D8531D"/>
    <w:rsid w:val="00D86357"/>
    <w:rsid w:val="00D96853"/>
    <w:rsid w:val="00D96B22"/>
    <w:rsid w:val="00D973B0"/>
    <w:rsid w:val="00DA22F2"/>
    <w:rsid w:val="00DA2C90"/>
    <w:rsid w:val="00DA73D5"/>
    <w:rsid w:val="00DA7BB4"/>
    <w:rsid w:val="00DB0214"/>
    <w:rsid w:val="00DB026A"/>
    <w:rsid w:val="00DB32A3"/>
    <w:rsid w:val="00DB3B7C"/>
    <w:rsid w:val="00DB3CB4"/>
    <w:rsid w:val="00DB4640"/>
    <w:rsid w:val="00DB5A0B"/>
    <w:rsid w:val="00DB5D76"/>
    <w:rsid w:val="00DB688F"/>
    <w:rsid w:val="00DC06AA"/>
    <w:rsid w:val="00DC292F"/>
    <w:rsid w:val="00DC2DBA"/>
    <w:rsid w:val="00DC3291"/>
    <w:rsid w:val="00DC414E"/>
    <w:rsid w:val="00DC6629"/>
    <w:rsid w:val="00DC6BB5"/>
    <w:rsid w:val="00DC741C"/>
    <w:rsid w:val="00DC7462"/>
    <w:rsid w:val="00DD0E23"/>
    <w:rsid w:val="00DD10CA"/>
    <w:rsid w:val="00DD2519"/>
    <w:rsid w:val="00DD3E25"/>
    <w:rsid w:val="00DE0226"/>
    <w:rsid w:val="00DE1806"/>
    <w:rsid w:val="00DE2274"/>
    <w:rsid w:val="00DE341F"/>
    <w:rsid w:val="00DE395F"/>
    <w:rsid w:val="00DF0493"/>
    <w:rsid w:val="00DF0E21"/>
    <w:rsid w:val="00DF0EA5"/>
    <w:rsid w:val="00DF1888"/>
    <w:rsid w:val="00DF4A4C"/>
    <w:rsid w:val="00DF565E"/>
    <w:rsid w:val="00DF6954"/>
    <w:rsid w:val="00E02069"/>
    <w:rsid w:val="00E03906"/>
    <w:rsid w:val="00E03C55"/>
    <w:rsid w:val="00E046A4"/>
    <w:rsid w:val="00E05079"/>
    <w:rsid w:val="00E105EF"/>
    <w:rsid w:val="00E13C7E"/>
    <w:rsid w:val="00E14E7B"/>
    <w:rsid w:val="00E153F3"/>
    <w:rsid w:val="00E15EB9"/>
    <w:rsid w:val="00E2234D"/>
    <w:rsid w:val="00E25704"/>
    <w:rsid w:val="00E2577C"/>
    <w:rsid w:val="00E26744"/>
    <w:rsid w:val="00E27C01"/>
    <w:rsid w:val="00E32E14"/>
    <w:rsid w:val="00E3348C"/>
    <w:rsid w:val="00E35D11"/>
    <w:rsid w:val="00E44E84"/>
    <w:rsid w:val="00E55531"/>
    <w:rsid w:val="00E57994"/>
    <w:rsid w:val="00E60CC8"/>
    <w:rsid w:val="00E6148A"/>
    <w:rsid w:val="00E63598"/>
    <w:rsid w:val="00E63A1E"/>
    <w:rsid w:val="00E64646"/>
    <w:rsid w:val="00E76391"/>
    <w:rsid w:val="00E76D11"/>
    <w:rsid w:val="00E80E9D"/>
    <w:rsid w:val="00E8395A"/>
    <w:rsid w:val="00E83C45"/>
    <w:rsid w:val="00E8778A"/>
    <w:rsid w:val="00E90FA3"/>
    <w:rsid w:val="00E938F7"/>
    <w:rsid w:val="00E946B9"/>
    <w:rsid w:val="00EA4B5F"/>
    <w:rsid w:val="00EA5357"/>
    <w:rsid w:val="00EA5E9E"/>
    <w:rsid w:val="00EA6C66"/>
    <w:rsid w:val="00EA736F"/>
    <w:rsid w:val="00EA74EF"/>
    <w:rsid w:val="00EB2044"/>
    <w:rsid w:val="00EB3174"/>
    <w:rsid w:val="00EB4816"/>
    <w:rsid w:val="00EB4D5F"/>
    <w:rsid w:val="00EB51FB"/>
    <w:rsid w:val="00EB75DC"/>
    <w:rsid w:val="00EB7DD3"/>
    <w:rsid w:val="00EC1560"/>
    <w:rsid w:val="00EC364E"/>
    <w:rsid w:val="00EC4858"/>
    <w:rsid w:val="00EC6591"/>
    <w:rsid w:val="00ED0D77"/>
    <w:rsid w:val="00ED1169"/>
    <w:rsid w:val="00ED1D35"/>
    <w:rsid w:val="00ED2D7C"/>
    <w:rsid w:val="00ED3155"/>
    <w:rsid w:val="00ED3660"/>
    <w:rsid w:val="00ED5C57"/>
    <w:rsid w:val="00ED772F"/>
    <w:rsid w:val="00EE3D68"/>
    <w:rsid w:val="00EE44C4"/>
    <w:rsid w:val="00EF0340"/>
    <w:rsid w:val="00EF045E"/>
    <w:rsid w:val="00EF163F"/>
    <w:rsid w:val="00EF31CF"/>
    <w:rsid w:val="00EF5811"/>
    <w:rsid w:val="00EF5BE5"/>
    <w:rsid w:val="00F02368"/>
    <w:rsid w:val="00F024E6"/>
    <w:rsid w:val="00F02742"/>
    <w:rsid w:val="00F0364F"/>
    <w:rsid w:val="00F03EEE"/>
    <w:rsid w:val="00F05559"/>
    <w:rsid w:val="00F05739"/>
    <w:rsid w:val="00F062F5"/>
    <w:rsid w:val="00F102AE"/>
    <w:rsid w:val="00F14BC1"/>
    <w:rsid w:val="00F167A1"/>
    <w:rsid w:val="00F16A0A"/>
    <w:rsid w:val="00F17509"/>
    <w:rsid w:val="00F20D72"/>
    <w:rsid w:val="00F236B7"/>
    <w:rsid w:val="00F23D20"/>
    <w:rsid w:val="00F242D2"/>
    <w:rsid w:val="00F264BA"/>
    <w:rsid w:val="00F30C2C"/>
    <w:rsid w:val="00F3203F"/>
    <w:rsid w:val="00F3220C"/>
    <w:rsid w:val="00F36C09"/>
    <w:rsid w:val="00F3729F"/>
    <w:rsid w:val="00F405EA"/>
    <w:rsid w:val="00F40B03"/>
    <w:rsid w:val="00F4248C"/>
    <w:rsid w:val="00F42FAC"/>
    <w:rsid w:val="00F4690B"/>
    <w:rsid w:val="00F47182"/>
    <w:rsid w:val="00F50DB2"/>
    <w:rsid w:val="00F51590"/>
    <w:rsid w:val="00F5333F"/>
    <w:rsid w:val="00F54CFF"/>
    <w:rsid w:val="00F54D81"/>
    <w:rsid w:val="00F552D7"/>
    <w:rsid w:val="00F579DD"/>
    <w:rsid w:val="00F60018"/>
    <w:rsid w:val="00F60786"/>
    <w:rsid w:val="00F61F8E"/>
    <w:rsid w:val="00F66391"/>
    <w:rsid w:val="00F667AD"/>
    <w:rsid w:val="00F674B3"/>
    <w:rsid w:val="00F711DF"/>
    <w:rsid w:val="00F72D72"/>
    <w:rsid w:val="00F73A32"/>
    <w:rsid w:val="00F7457E"/>
    <w:rsid w:val="00F76B64"/>
    <w:rsid w:val="00F81545"/>
    <w:rsid w:val="00F8168D"/>
    <w:rsid w:val="00F82096"/>
    <w:rsid w:val="00F82451"/>
    <w:rsid w:val="00F82DB7"/>
    <w:rsid w:val="00F83434"/>
    <w:rsid w:val="00F9071B"/>
    <w:rsid w:val="00F92C8A"/>
    <w:rsid w:val="00F93C1F"/>
    <w:rsid w:val="00F950FE"/>
    <w:rsid w:val="00F95BD8"/>
    <w:rsid w:val="00F9755A"/>
    <w:rsid w:val="00FA0811"/>
    <w:rsid w:val="00FA299B"/>
    <w:rsid w:val="00FA2D6E"/>
    <w:rsid w:val="00FA38ED"/>
    <w:rsid w:val="00FA6A55"/>
    <w:rsid w:val="00FA7022"/>
    <w:rsid w:val="00FA7064"/>
    <w:rsid w:val="00FA7800"/>
    <w:rsid w:val="00FB163E"/>
    <w:rsid w:val="00FB1E2E"/>
    <w:rsid w:val="00FB34A8"/>
    <w:rsid w:val="00FB35F7"/>
    <w:rsid w:val="00FB378C"/>
    <w:rsid w:val="00FB3B71"/>
    <w:rsid w:val="00FB3D77"/>
    <w:rsid w:val="00FB3D7F"/>
    <w:rsid w:val="00FB4BB8"/>
    <w:rsid w:val="00FB5CF5"/>
    <w:rsid w:val="00FB7005"/>
    <w:rsid w:val="00FB7CFA"/>
    <w:rsid w:val="00FC1D46"/>
    <w:rsid w:val="00FC4523"/>
    <w:rsid w:val="00FC56B7"/>
    <w:rsid w:val="00FC5F9E"/>
    <w:rsid w:val="00FC6485"/>
    <w:rsid w:val="00FC7786"/>
    <w:rsid w:val="00FC7D4A"/>
    <w:rsid w:val="00FD0EBA"/>
    <w:rsid w:val="00FD0FDE"/>
    <w:rsid w:val="00FD27F7"/>
    <w:rsid w:val="00FD3F46"/>
    <w:rsid w:val="00FD5813"/>
    <w:rsid w:val="00FD79D1"/>
    <w:rsid w:val="00FE2ED4"/>
    <w:rsid w:val="00FE3320"/>
    <w:rsid w:val="00FE37D7"/>
    <w:rsid w:val="00FE44AD"/>
    <w:rsid w:val="00FE4886"/>
    <w:rsid w:val="00FF3A40"/>
    <w:rsid w:val="00FF4CBB"/>
    <w:rsid w:val="00FF6AEC"/>
    <w:rsid w:val="00FF72ED"/>
    <w:rsid w:val="011626E2"/>
    <w:rsid w:val="022B5A44"/>
    <w:rsid w:val="02612059"/>
    <w:rsid w:val="02D31B4B"/>
    <w:rsid w:val="02F9875C"/>
    <w:rsid w:val="02FC1DBC"/>
    <w:rsid w:val="03233E0C"/>
    <w:rsid w:val="03A19BA8"/>
    <w:rsid w:val="04339F7E"/>
    <w:rsid w:val="044F26F8"/>
    <w:rsid w:val="04F3D0B4"/>
    <w:rsid w:val="053809F4"/>
    <w:rsid w:val="0726BEA5"/>
    <w:rsid w:val="07366902"/>
    <w:rsid w:val="07A07AD1"/>
    <w:rsid w:val="08951096"/>
    <w:rsid w:val="08C6D3B9"/>
    <w:rsid w:val="08E71569"/>
    <w:rsid w:val="092FF247"/>
    <w:rsid w:val="0B8F576B"/>
    <w:rsid w:val="0B923EAC"/>
    <w:rsid w:val="0D752400"/>
    <w:rsid w:val="0D9F102F"/>
    <w:rsid w:val="125C6E68"/>
    <w:rsid w:val="134BB072"/>
    <w:rsid w:val="137FACD7"/>
    <w:rsid w:val="139A3969"/>
    <w:rsid w:val="143F5D7E"/>
    <w:rsid w:val="15982693"/>
    <w:rsid w:val="1740EBE2"/>
    <w:rsid w:val="198B61D5"/>
    <w:rsid w:val="19F656C6"/>
    <w:rsid w:val="1ADDDE59"/>
    <w:rsid w:val="1CF6099E"/>
    <w:rsid w:val="1D586868"/>
    <w:rsid w:val="1DACD5A9"/>
    <w:rsid w:val="1DDF1A59"/>
    <w:rsid w:val="1E3FE2F3"/>
    <w:rsid w:val="1ED522D4"/>
    <w:rsid w:val="1F696BB3"/>
    <w:rsid w:val="20582A38"/>
    <w:rsid w:val="21C97910"/>
    <w:rsid w:val="21F6F98A"/>
    <w:rsid w:val="239E5A3E"/>
    <w:rsid w:val="2484C3DC"/>
    <w:rsid w:val="260BCFD3"/>
    <w:rsid w:val="268D7A6A"/>
    <w:rsid w:val="2727732E"/>
    <w:rsid w:val="2793455B"/>
    <w:rsid w:val="2A780A4E"/>
    <w:rsid w:val="2F7E4AA1"/>
    <w:rsid w:val="30746CBE"/>
    <w:rsid w:val="3198A645"/>
    <w:rsid w:val="319D24FC"/>
    <w:rsid w:val="31AB71B0"/>
    <w:rsid w:val="33716627"/>
    <w:rsid w:val="33A6DC20"/>
    <w:rsid w:val="34E5B25D"/>
    <w:rsid w:val="35D8B39A"/>
    <w:rsid w:val="36EF1440"/>
    <w:rsid w:val="372225E7"/>
    <w:rsid w:val="374EF535"/>
    <w:rsid w:val="38E81344"/>
    <w:rsid w:val="3C934A65"/>
    <w:rsid w:val="3C9B2525"/>
    <w:rsid w:val="3CA99B13"/>
    <w:rsid w:val="3CBD2E27"/>
    <w:rsid w:val="3D2AEE8D"/>
    <w:rsid w:val="3DAF7325"/>
    <w:rsid w:val="3EAF3AE7"/>
    <w:rsid w:val="3EEF1A02"/>
    <w:rsid w:val="40D49374"/>
    <w:rsid w:val="4127ECA2"/>
    <w:rsid w:val="4193AE05"/>
    <w:rsid w:val="42DC69E2"/>
    <w:rsid w:val="45785E82"/>
    <w:rsid w:val="4717A43F"/>
    <w:rsid w:val="47247C89"/>
    <w:rsid w:val="4777574F"/>
    <w:rsid w:val="483CEC59"/>
    <w:rsid w:val="484FCD91"/>
    <w:rsid w:val="48EFCB04"/>
    <w:rsid w:val="491191F9"/>
    <w:rsid w:val="4935C770"/>
    <w:rsid w:val="495FE697"/>
    <w:rsid w:val="4A3B4682"/>
    <w:rsid w:val="4A47FFB8"/>
    <w:rsid w:val="4A710A44"/>
    <w:rsid w:val="4B652842"/>
    <w:rsid w:val="4BD5244C"/>
    <w:rsid w:val="4CB9B38A"/>
    <w:rsid w:val="4D28A83B"/>
    <w:rsid w:val="4D7D27BB"/>
    <w:rsid w:val="4E8FD719"/>
    <w:rsid w:val="4EFA22B7"/>
    <w:rsid w:val="539F4C03"/>
    <w:rsid w:val="53EC8378"/>
    <w:rsid w:val="544F83AD"/>
    <w:rsid w:val="54DFCEE0"/>
    <w:rsid w:val="55E95B8B"/>
    <w:rsid w:val="56015195"/>
    <w:rsid w:val="5610A935"/>
    <w:rsid w:val="5748A544"/>
    <w:rsid w:val="57E090D4"/>
    <w:rsid w:val="58988DB7"/>
    <w:rsid w:val="5A5564DA"/>
    <w:rsid w:val="5C9C8B5C"/>
    <w:rsid w:val="5CADC0C7"/>
    <w:rsid w:val="5D1F8719"/>
    <w:rsid w:val="5EA9ACEB"/>
    <w:rsid w:val="5EF089B3"/>
    <w:rsid w:val="5F1637DB"/>
    <w:rsid w:val="5F965453"/>
    <w:rsid w:val="60135744"/>
    <w:rsid w:val="60E5BFD8"/>
    <w:rsid w:val="636E67E4"/>
    <w:rsid w:val="6428D9FF"/>
    <w:rsid w:val="64FA6FE9"/>
    <w:rsid w:val="655BF73A"/>
    <w:rsid w:val="65B67A8B"/>
    <w:rsid w:val="661C8638"/>
    <w:rsid w:val="6650A550"/>
    <w:rsid w:val="67752E8D"/>
    <w:rsid w:val="694D2A9D"/>
    <w:rsid w:val="698482C8"/>
    <w:rsid w:val="6A656801"/>
    <w:rsid w:val="6ABB12D4"/>
    <w:rsid w:val="6B06BA3A"/>
    <w:rsid w:val="6C6C92DF"/>
    <w:rsid w:val="6D62E9B0"/>
    <w:rsid w:val="70BD7B32"/>
    <w:rsid w:val="712C593B"/>
    <w:rsid w:val="724081FF"/>
    <w:rsid w:val="729D08C3"/>
    <w:rsid w:val="72A32A00"/>
    <w:rsid w:val="74157D6E"/>
    <w:rsid w:val="755CBAF4"/>
    <w:rsid w:val="7564DE27"/>
    <w:rsid w:val="756A5DDB"/>
    <w:rsid w:val="7665021E"/>
    <w:rsid w:val="770D9846"/>
    <w:rsid w:val="78A42D74"/>
    <w:rsid w:val="78AA32C9"/>
    <w:rsid w:val="79995647"/>
    <w:rsid w:val="7AE6D867"/>
    <w:rsid w:val="7AE92CD2"/>
    <w:rsid w:val="7BF66B5C"/>
    <w:rsid w:val="7D9D0D1E"/>
    <w:rsid w:val="7E7BF9A8"/>
    <w:rsid w:val="7EEA1CB7"/>
    <w:rsid w:val="7F48A86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970AA7"/>
  <w15:docId w15:val="{0EEAD579-9E36-4FF3-8B47-CC40C0AE4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C03AE"/>
    <w:rPr>
      <w:rFonts w:ascii="Verdana" w:eastAsia="Verdana" w:hAnsi="Verdana" w:cs="Verdana"/>
    </w:rPr>
  </w:style>
  <w:style w:type="paragraph" w:styleId="1">
    <w:name w:val="heading 1"/>
    <w:basedOn w:val="a1"/>
    <w:link w:val="10"/>
    <w:qFormat/>
    <w:pPr>
      <w:outlineLvl w:val="0"/>
    </w:pPr>
    <w:rPr>
      <w:rFonts w:ascii="Arial" w:hAnsi="Arial"/>
      <w:b/>
      <w:sz w:val="32"/>
      <w:szCs w:val="28"/>
    </w:rPr>
  </w:style>
  <w:style w:type="paragraph" w:styleId="20">
    <w:name w:val="heading 2"/>
    <w:basedOn w:val="a0"/>
    <w:link w:val="21"/>
    <w:uiPriority w:val="9"/>
    <w:unhideWhenUsed/>
    <w:qFormat/>
    <w:pPr>
      <w:widowControl/>
      <w:numPr>
        <w:ilvl w:val="1"/>
        <w:numId w:val="1"/>
      </w:numPr>
      <w:autoSpaceDE/>
      <w:autoSpaceDN/>
      <w:spacing w:before="120"/>
      <w:ind w:right="360"/>
      <w:outlineLvl w:val="1"/>
    </w:pPr>
    <w:rPr>
      <w:b/>
    </w:rPr>
  </w:style>
  <w:style w:type="paragraph" w:styleId="31">
    <w:name w:val="heading 3"/>
    <w:basedOn w:val="a1"/>
    <w:link w:val="32"/>
    <w:unhideWhenUsed/>
    <w:qFormat/>
    <w:rsid w:val="005A68AD"/>
    <w:pPr>
      <w:keepNext/>
      <w:keepLines/>
      <w:widowControl/>
      <w:numPr>
        <w:ilvl w:val="2"/>
        <w:numId w:val="1"/>
      </w:numPr>
      <w:autoSpaceDE/>
      <w:autoSpaceDN/>
      <w:spacing w:before="120" w:line="259" w:lineRule="auto"/>
      <w:ind w:left="1620"/>
      <w:jc w:val="both"/>
      <w:outlineLvl w:val="2"/>
    </w:pPr>
    <w:rPr>
      <w:rFonts w:ascii="Arial" w:hAnsi="Arial" w:cs="Arial"/>
      <w:b/>
      <w:sz w:val="24"/>
      <w:szCs w:val="24"/>
      <w:lang w:eastAsia="en-PH"/>
    </w:rPr>
  </w:style>
  <w:style w:type="paragraph" w:styleId="41">
    <w:name w:val="heading 4"/>
    <w:basedOn w:val="a1"/>
    <w:link w:val="42"/>
    <w:unhideWhenUsed/>
    <w:qFormat/>
    <w:rsid w:val="00701F4F"/>
    <w:pPr>
      <w:keepNext/>
      <w:widowControl/>
      <w:numPr>
        <w:ilvl w:val="3"/>
        <w:numId w:val="1"/>
      </w:numPr>
      <w:tabs>
        <w:tab w:val="left" w:pos="1080"/>
      </w:tabs>
      <w:autoSpaceDE/>
      <w:autoSpaceDN/>
      <w:spacing w:before="240" w:after="240"/>
      <w:ind w:left="907"/>
      <w:outlineLvl w:val="3"/>
    </w:pPr>
    <w:rPr>
      <w:rFonts w:ascii="Arial" w:eastAsia="Calibri" w:hAnsi="Arial" w:cs="Arial"/>
      <w:b/>
      <w:bCs/>
      <w:sz w:val="24"/>
      <w:szCs w:val="24"/>
      <w:lang w:eastAsia="en-GB"/>
    </w:rPr>
  </w:style>
  <w:style w:type="paragraph" w:styleId="51">
    <w:name w:val="heading 5"/>
    <w:basedOn w:val="a1"/>
    <w:link w:val="52"/>
    <w:unhideWhenUsed/>
    <w:qFormat/>
    <w:pPr>
      <w:ind w:left="145"/>
      <w:outlineLvl w:val="4"/>
    </w:pPr>
    <w:rPr>
      <w:b/>
      <w:bCs/>
      <w:i/>
      <w:iCs/>
      <w:sz w:val="20"/>
      <w:szCs w:val="20"/>
    </w:rPr>
  </w:style>
  <w:style w:type="paragraph" w:styleId="6">
    <w:name w:val="heading 6"/>
    <w:basedOn w:val="a1"/>
    <w:link w:val="60"/>
    <w:unhideWhenUsed/>
    <w:qFormat/>
    <w:pPr>
      <w:ind w:left="145"/>
      <w:outlineLvl w:val="5"/>
    </w:pPr>
    <w:rPr>
      <w:sz w:val="20"/>
      <w:szCs w:val="20"/>
    </w:rPr>
  </w:style>
  <w:style w:type="paragraph" w:styleId="7">
    <w:name w:val="heading 7"/>
    <w:basedOn w:val="a1"/>
    <w:next w:val="a1"/>
    <w:link w:val="70"/>
    <w:qFormat/>
    <w:pPr>
      <w:keepNext/>
      <w:widowControl/>
      <w:tabs>
        <w:tab w:val="left" w:pos="360"/>
      </w:tabs>
      <w:autoSpaceDE/>
      <w:autoSpaceDN/>
      <w:outlineLvl w:val="6"/>
    </w:pPr>
    <w:rPr>
      <w:rFonts w:ascii="Arial" w:eastAsia="Times New Roman" w:hAnsi="Arial" w:cs="Times New Roman"/>
      <w:b/>
      <w:bCs/>
      <w:sz w:val="24"/>
      <w:szCs w:val="24"/>
    </w:rPr>
  </w:style>
  <w:style w:type="paragraph" w:styleId="8">
    <w:name w:val="heading 8"/>
    <w:basedOn w:val="a1"/>
    <w:next w:val="a1"/>
    <w:link w:val="80"/>
    <w:qFormat/>
    <w:pPr>
      <w:keepNext/>
      <w:widowControl/>
      <w:tabs>
        <w:tab w:val="left" w:pos="360"/>
      </w:tabs>
      <w:autoSpaceDE/>
      <w:autoSpaceDN/>
      <w:outlineLvl w:val="7"/>
    </w:pPr>
    <w:rPr>
      <w:rFonts w:ascii="Arial" w:eastAsia="Times New Roman" w:hAnsi="Arial" w:cs="Times New Roman"/>
      <w:snapToGrid w:val="0"/>
      <w:color w:val="000000"/>
      <w:sz w:val="16"/>
      <w:szCs w:val="24"/>
    </w:rPr>
  </w:style>
  <w:style w:type="paragraph" w:styleId="9">
    <w:name w:val="heading 9"/>
    <w:basedOn w:val="a1"/>
    <w:next w:val="a1"/>
    <w:link w:val="90"/>
    <w:qFormat/>
    <w:pPr>
      <w:keepNext/>
      <w:widowControl/>
      <w:autoSpaceDE/>
      <w:autoSpaceDN/>
      <w:ind w:left="1584" w:hanging="1584"/>
      <w:outlineLvl w:val="8"/>
    </w:pPr>
    <w:rPr>
      <w:rFonts w:ascii="Arial" w:eastAsia="Times New Roman" w:hAnsi="Arial" w:cs="Times New Roman"/>
      <w:b/>
      <w:snapToGrid w:val="0"/>
      <w:color w:val="000000"/>
      <w:sz w:val="20"/>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11">
    <w:name w:val="toc 1"/>
    <w:basedOn w:val="a1"/>
    <w:uiPriority w:val="39"/>
    <w:qFormat/>
    <w:pPr>
      <w:spacing w:before="170"/>
      <w:ind w:left="144"/>
    </w:pPr>
    <w:rPr>
      <w:rFonts w:ascii="Arial Bold" w:hAnsi="Arial Bold"/>
      <w:b/>
      <w:sz w:val="24"/>
      <w:szCs w:val="18"/>
    </w:rPr>
  </w:style>
  <w:style w:type="paragraph" w:styleId="a5">
    <w:name w:val="Body Text"/>
    <w:basedOn w:val="a1"/>
    <w:link w:val="a6"/>
    <w:qFormat/>
    <w:rPr>
      <w:sz w:val="20"/>
      <w:szCs w:val="20"/>
    </w:rPr>
  </w:style>
  <w:style w:type="paragraph" w:styleId="a7">
    <w:name w:val="Title"/>
    <w:basedOn w:val="a1"/>
    <w:link w:val="a8"/>
    <w:qFormat/>
    <w:pPr>
      <w:spacing w:before="179"/>
      <w:ind w:left="144" w:right="770"/>
      <w:jc w:val="both"/>
    </w:pPr>
    <w:rPr>
      <w:rFonts w:ascii="Cambria" w:eastAsia="Cambria" w:hAnsi="Cambria" w:cs="Cambria"/>
      <w:sz w:val="48"/>
      <w:szCs w:val="48"/>
    </w:rPr>
  </w:style>
  <w:style w:type="paragraph" w:styleId="a0">
    <w:name w:val="List Paragraph"/>
    <w:aliases w:val="List_Paragraph,Multilevel para_II,List Paragraph1,Akapit z listą BS,List Paragraph 1,Bullet1,маркированный,Абзац списка3,Citation List,본문(내용),List Paragraph (numbered (a)),Normal 2,Main numbered paragraph,1.1.1_List Paragraph,Bullets,PAD"/>
    <w:basedOn w:val="a1"/>
    <w:link w:val="a9"/>
    <w:uiPriority w:val="34"/>
    <w:qFormat/>
    <w:pPr>
      <w:numPr>
        <w:numId w:val="2"/>
      </w:numPr>
      <w:tabs>
        <w:tab w:val="left" w:pos="540"/>
        <w:tab w:val="left" w:pos="542"/>
      </w:tabs>
      <w:ind w:right="383"/>
      <w:jc w:val="both"/>
    </w:pPr>
    <w:rPr>
      <w:rFonts w:ascii="Arial" w:hAnsi="Arial" w:cs="Arial"/>
      <w:color w:val="1C1C1C"/>
      <w:sz w:val="24"/>
      <w:szCs w:val="24"/>
    </w:rPr>
  </w:style>
  <w:style w:type="paragraph" w:customStyle="1" w:styleId="TableParagraph">
    <w:name w:val="Table Paragraph"/>
    <w:basedOn w:val="a1"/>
    <w:uiPriority w:val="1"/>
    <w:qFormat/>
    <w:pPr>
      <w:spacing w:before="85"/>
      <w:ind w:left="103"/>
    </w:pPr>
  </w:style>
  <w:style w:type="paragraph" w:styleId="aa">
    <w:name w:val="footnote text"/>
    <w:aliases w:val="ft,FOOTNOTES,fn,single space,footnote text,ALTS FOOTNOTE,ft1,Geneva 9,Font: Geneva 9,Boston 10,f,1,Footnote Text Char Char,ft Char Char,single space Char Char,footnote text Char Char,Lábjegyzet-szöveg,Char,Char Char,ADB,Footnote Text Char1"/>
    <w:basedOn w:val="a1"/>
    <w:link w:val="ab"/>
    <w:uiPriority w:val="99"/>
    <w:qFormat/>
    <w:pPr>
      <w:autoSpaceDE/>
      <w:autoSpaceDN/>
      <w:textboxTightWrap w:val="allLines"/>
    </w:pPr>
    <w:rPr>
      <w:rFonts w:ascii="Arial" w:eastAsia="Times New Roman" w:hAnsi="Arial" w:cs="Times New Roman"/>
      <w:sz w:val="18"/>
      <w:szCs w:val="24"/>
    </w:rPr>
  </w:style>
  <w:style w:type="character" w:customStyle="1" w:styleId="ab">
    <w:name w:val="Текст сноски Знак"/>
    <w:aliases w:val="ft Знак,FOOTNOTES Знак,fn Знак,single space Знак,footnote text Знак,ALTS FOOTNOTE Знак,ft1 Знак,Geneva 9 Знак,Font: Geneva 9 Знак,Boston 10 Знак,f Знак,1 Знак,Footnote Text Char Char Знак,ft Char Char Знак,single space Char Char Знак"/>
    <w:basedOn w:val="a2"/>
    <w:link w:val="aa"/>
    <w:uiPriority w:val="99"/>
    <w:qFormat/>
    <w:rPr>
      <w:rFonts w:ascii="Arial" w:eastAsia="Times New Roman" w:hAnsi="Arial" w:cs="Times New Roman"/>
      <w:sz w:val="18"/>
      <w:szCs w:val="24"/>
    </w:rPr>
  </w:style>
  <w:style w:type="character" w:styleId="ac">
    <w:name w:val="footnote reference"/>
    <w:aliases w:val="ftref,16 Point,Superscript 6 Point,Ref,de nota al pie,BVI fnr,(NECG) Footnote Reference,Apice 3 Punti,Apice 3 Punti1,Footnote Reference Number,Normale + Tipo di carattere: 12 Punti,Normale + Tipo di carattere: 12 Punti1,R,fr, BVI fnr"/>
    <w:link w:val="Char2"/>
    <w:uiPriority w:val="99"/>
    <w:qFormat/>
    <w:rPr>
      <w:vertAlign w:val="superscript"/>
    </w:rPr>
  </w:style>
  <w:style w:type="paragraph" w:customStyle="1" w:styleId="FiguresCaption">
    <w:name w:val="Figures Caption"/>
    <w:basedOn w:val="a1"/>
    <w:link w:val="FiguresCaptionChar"/>
    <w:qFormat/>
    <w:pPr>
      <w:widowControl/>
      <w:suppressAutoHyphens/>
      <w:autoSpaceDE/>
      <w:autoSpaceDN/>
      <w:jc w:val="center"/>
    </w:pPr>
    <w:rPr>
      <w:rFonts w:ascii="Arial" w:eastAsia="Times New Roman" w:hAnsi="Arial" w:cs="Times New Roman"/>
      <w:b/>
    </w:rPr>
  </w:style>
  <w:style w:type="character" w:customStyle="1" w:styleId="FiguresCaptionChar">
    <w:name w:val="Figures Caption Char"/>
    <w:basedOn w:val="a2"/>
    <w:link w:val="FiguresCaption"/>
    <w:qFormat/>
    <w:rPr>
      <w:rFonts w:ascii="Arial" w:eastAsia="Times New Roman" w:hAnsi="Arial" w:cs="Times New Roman"/>
      <w:b/>
    </w:rPr>
  </w:style>
  <w:style w:type="paragraph" w:customStyle="1" w:styleId="ReportBodyPar">
    <w:name w:val="Report Body Par"/>
    <w:basedOn w:val="ReportBodyTextNogap"/>
    <w:link w:val="ReportBodyParChar"/>
    <w:qFormat/>
  </w:style>
  <w:style w:type="paragraph" w:customStyle="1" w:styleId="ReportBodyTextNogap">
    <w:name w:val="Report Body Text (No gap)"/>
    <w:basedOn w:val="a1"/>
    <w:link w:val="ReportBodyTextNogapChar"/>
    <w:qFormat/>
    <w:pPr>
      <w:widowControl/>
      <w:autoSpaceDE/>
      <w:autoSpaceDN/>
      <w:jc w:val="both"/>
    </w:pPr>
    <w:rPr>
      <w:rFonts w:ascii="Arial" w:eastAsia="Calibri" w:hAnsi="Arial" w:cs="Arial"/>
      <w:sz w:val="24"/>
      <w:szCs w:val="24"/>
      <w:lang w:eastAsia="en-GB"/>
    </w:rPr>
  </w:style>
  <w:style w:type="character" w:customStyle="1" w:styleId="ReportBodyParChar">
    <w:name w:val="Report Body Par Char"/>
    <w:basedOn w:val="a2"/>
    <w:link w:val="ReportBodyPar"/>
    <w:qFormat/>
    <w:rPr>
      <w:rFonts w:ascii="Arial" w:eastAsia="Calibri" w:hAnsi="Arial" w:cs="Arial"/>
      <w:sz w:val="24"/>
      <w:szCs w:val="24"/>
      <w:lang w:eastAsia="en-GB"/>
    </w:rPr>
  </w:style>
  <w:style w:type="character" w:customStyle="1" w:styleId="ReportBodyTextNogapChar">
    <w:name w:val="Report Body Text (No gap) Char"/>
    <w:basedOn w:val="a2"/>
    <w:link w:val="ReportBodyTextNogap"/>
    <w:qFormat/>
    <w:rPr>
      <w:rFonts w:ascii="Arial" w:eastAsia="Calibri" w:hAnsi="Arial" w:cs="Arial"/>
      <w:sz w:val="24"/>
      <w:szCs w:val="24"/>
      <w:lang w:eastAsia="en-GB"/>
    </w:rPr>
  </w:style>
  <w:style w:type="paragraph" w:customStyle="1" w:styleId="Char2">
    <w:name w:val="Char2"/>
    <w:basedOn w:val="a1"/>
    <w:link w:val="ac"/>
    <w:uiPriority w:val="99"/>
    <w:pPr>
      <w:widowControl/>
      <w:autoSpaceDE/>
      <w:autoSpaceDN/>
      <w:spacing w:after="120" w:line="240" w:lineRule="exact"/>
      <w:jc w:val="both"/>
    </w:pPr>
    <w:rPr>
      <w:rFonts w:ascii="Calibri" w:eastAsia="Calibri" w:hAnsi="Calibri" w:cs="SimSun"/>
      <w:vertAlign w:val="superscript"/>
    </w:rPr>
  </w:style>
  <w:style w:type="paragraph" w:customStyle="1" w:styleId="ReportBody">
    <w:name w:val="Report Body"/>
    <w:basedOn w:val="a1"/>
    <w:link w:val="ReportBodyChar"/>
    <w:pPr>
      <w:widowControl/>
      <w:autoSpaceDE/>
      <w:autoSpaceDN/>
      <w:jc w:val="both"/>
    </w:pPr>
    <w:rPr>
      <w:rFonts w:ascii="Arial" w:eastAsia="Times New Roman" w:hAnsi="Arial" w:cs="Times New Roman"/>
      <w:sz w:val="24"/>
      <w:szCs w:val="24"/>
    </w:rPr>
  </w:style>
  <w:style w:type="character" w:customStyle="1" w:styleId="ReportBodyChar">
    <w:name w:val="Report Body Char"/>
    <w:basedOn w:val="a2"/>
    <w:link w:val="ReportBody"/>
    <w:rPr>
      <w:rFonts w:ascii="Arial" w:eastAsia="Times New Roman" w:hAnsi="Arial" w:cs="Times New Roman"/>
      <w:sz w:val="24"/>
      <w:szCs w:val="24"/>
    </w:rPr>
  </w:style>
  <w:style w:type="character" w:customStyle="1" w:styleId="t2">
    <w:name w:val="t2"/>
    <w:basedOn w:val="a2"/>
    <w:qFormat/>
    <w:rPr>
      <w:i/>
    </w:rPr>
  </w:style>
  <w:style w:type="paragraph" w:customStyle="1" w:styleId="Reportlevel2">
    <w:name w:val="Report level 2"/>
    <w:basedOn w:val="a1"/>
    <w:link w:val="Reportlevel2Char"/>
    <w:pPr>
      <w:widowControl/>
      <w:autoSpaceDE/>
      <w:autoSpaceDN/>
      <w:ind w:left="1080"/>
      <w:jc w:val="both"/>
    </w:pPr>
    <w:rPr>
      <w:rFonts w:ascii="Arial" w:eastAsia="Times New Roman" w:hAnsi="Arial" w:cs="Arial"/>
      <w:sz w:val="24"/>
      <w:szCs w:val="24"/>
    </w:rPr>
  </w:style>
  <w:style w:type="character" w:customStyle="1" w:styleId="Reportlevel2Char">
    <w:name w:val="Report level 2 Char"/>
    <w:basedOn w:val="a2"/>
    <w:link w:val="Reportlevel2"/>
    <w:rPr>
      <w:rFonts w:ascii="Arial" w:eastAsia="Times New Roman" w:hAnsi="Arial" w:cs="Arial"/>
      <w:sz w:val="24"/>
      <w:szCs w:val="24"/>
    </w:rPr>
  </w:style>
  <w:style w:type="paragraph" w:customStyle="1" w:styleId="letterlistasmall">
    <w:name w:val="letter list a. small"/>
    <w:basedOn w:val="a1"/>
    <w:link w:val="letterlistasmallChar"/>
    <w:qFormat/>
    <w:pPr>
      <w:widowControl/>
      <w:numPr>
        <w:numId w:val="3"/>
      </w:numPr>
      <w:adjustRightInd w:val="0"/>
      <w:spacing w:after="56"/>
    </w:pPr>
    <w:rPr>
      <w:rFonts w:ascii="Arial" w:eastAsia="Times New Roman" w:hAnsi="Arial" w:cs="Arial"/>
      <w:color w:val="000000"/>
      <w:sz w:val="24"/>
      <w:szCs w:val="24"/>
    </w:rPr>
  </w:style>
  <w:style w:type="character" w:customStyle="1" w:styleId="letterlistasmallChar">
    <w:name w:val="letter list a. small Char"/>
    <w:basedOn w:val="a2"/>
    <w:link w:val="letterlistasmall"/>
    <w:rPr>
      <w:rFonts w:ascii="Arial" w:eastAsia="Times New Roman" w:hAnsi="Arial" w:cs="Arial"/>
      <w:color w:val="000000"/>
      <w:sz w:val="24"/>
      <w:szCs w:val="24"/>
    </w:rPr>
  </w:style>
  <w:style w:type="paragraph" w:customStyle="1" w:styleId="FigureCenter">
    <w:name w:val="Figure Center"/>
    <w:basedOn w:val="ReportBodyTextNogap"/>
    <w:link w:val="FigureCenterChar"/>
    <w:qFormat/>
    <w:pPr>
      <w:jc w:val="center"/>
    </w:pPr>
    <w:rPr>
      <w:noProof/>
    </w:rPr>
  </w:style>
  <w:style w:type="character" w:customStyle="1" w:styleId="FigureCenterChar">
    <w:name w:val="Figure Center Char"/>
    <w:basedOn w:val="ReportBodyTextNogapChar"/>
    <w:link w:val="FigureCenter"/>
    <w:rPr>
      <w:rFonts w:ascii="Arial" w:eastAsia="Calibri" w:hAnsi="Arial" w:cs="Arial"/>
      <w:noProof/>
      <w:sz w:val="24"/>
      <w:szCs w:val="24"/>
      <w:lang w:eastAsia="en-GB"/>
    </w:rPr>
  </w:style>
  <w:style w:type="character" w:customStyle="1" w:styleId="a9">
    <w:name w:val="Абзац списка Знак"/>
    <w:aliases w:val="List_Paragraph Знак,Multilevel para_II Знак,List Paragraph1 Знак,Akapit z listą BS Знак,List Paragraph 1 Знак,Bullet1 Знак,маркированный Знак,Абзац списка3 Знак,Citation List Знак,본문(내용) Знак,List Paragraph (numbered (a)) Знак,PAD Знак"/>
    <w:link w:val="a0"/>
    <w:uiPriority w:val="34"/>
    <w:qFormat/>
    <w:rPr>
      <w:rFonts w:ascii="Arial" w:eastAsia="Verdana" w:hAnsi="Arial" w:cs="Arial"/>
      <w:color w:val="1C1C1C"/>
      <w:sz w:val="24"/>
      <w:szCs w:val="24"/>
    </w:rPr>
  </w:style>
  <w:style w:type="paragraph" w:customStyle="1" w:styleId="DashBullet">
    <w:name w:val="Dash Bullet"/>
    <w:basedOn w:val="a0"/>
    <w:link w:val="DashBulletChar"/>
    <w:qFormat/>
    <w:pPr>
      <w:widowControl/>
      <w:numPr>
        <w:ilvl w:val="3"/>
        <w:numId w:val="4"/>
      </w:numPr>
      <w:tabs>
        <w:tab w:val="left" w:pos="9180"/>
      </w:tabs>
      <w:autoSpaceDE/>
      <w:autoSpaceDN/>
      <w:ind w:left="1530" w:right="4"/>
    </w:pPr>
    <w:rPr>
      <w:rFonts w:eastAsia="SimSun"/>
      <w:bCs/>
      <w:szCs w:val="20"/>
      <w:lang w:eastAsia="zh-CN"/>
    </w:rPr>
  </w:style>
  <w:style w:type="character" w:customStyle="1" w:styleId="DashBulletChar">
    <w:name w:val="Dash Bullet Char"/>
    <w:basedOn w:val="a9"/>
    <w:link w:val="DashBullet"/>
    <w:rPr>
      <w:rFonts w:ascii="Arial" w:eastAsia="SimSun" w:hAnsi="Arial" w:cs="Arial"/>
      <w:bCs/>
      <w:color w:val="1C1C1C"/>
      <w:sz w:val="24"/>
      <w:szCs w:val="20"/>
      <w:lang w:eastAsia="zh-CN"/>
    </w:rPr>
  </w:style>
  <w:style w:type="paragraph" w:customStyle="1" w:styleId="smallletteredItems">
    <w:name w:val="small lettered Items"/>
    <w:basedOn w:val="a0"/>
    <w:link w:val="smallletteredItemsChar"/>
    <w:qFormat/>
    <w:pPr>
      <w:widowControl/>
      <w:numPr>
        <w:numId w:val="0"/>
      </w:numPr>
      <w:tabs>
        <w:tab w:val="left" w:pos="9180"/>
      </w:tabs>
      <w:autoSpaceDE/>
      <w:autoSpaceDN/>
      <w:ind w:right="4"/>
    </w:pPr>
    <w:rPr>
      <w:rFonts w:eastAsia="SimSun"/>
      <w:bCs/>
      <w:szCs w:val="20"/>
      <w:lang w:eastAsia="zh-CN"/>
    </w:rPr>
  </w:style>
  <w:style w:type="character" w:customStyle="1" w:styleId="smallletteredItemsChar">
    <w:name w:val="small lettered Items Char"/>
    <w:basedOn w:val="a9"/>
    <w:link w:val="smallletteredItems"/>
    <w:rPr>
      <w:rFonts w:ascii="Arial" w:eastAsia="SimSun" w:hAnsi="Arial" w:cs="Arial"/>
      <w:bCs/>
      <w:color w:val="1C1C1C"/>
      <w:sz w:val="24"/>
      <w:szCs w:val="20"/>
      <w:lang w:eastAsia="zh-CN"/>
    </w:rPr>
  </w:style>
  <w:style w:type="paragraph" w:customStyle="1" w:styleId="CaptionTable">
    <w:name w:val="Caption Table"/>
    <w:basedOn w:val="ad"/>
    <w:link w:val="CaptionTableChar"/>
    <w:qFormat/>
    <w:rsid w:val="00CD05C3"/>
    <w:pPr>
      <w:widowControl/>
      <w:autoSpaceDE/>
      <w:autoSpaceDN/>
      <w:snapToGrid w:val="0"/>
      <w:spacing w:after="0"/>
      <w:ind w:left="115"/>
      <w:jc w:val="center"/>
    </w:pPr>
    <w:rPr>
      <w:rFonts w:ascii="Arial" w:hAnsi="Arial" w:cs="Arial"/>
      <w:b/>
      <w:bCs/>
      <w:i w:val="0"/>
      <w:iCs w:val="0"/>
      <w:color w:val="auto"/>
      <w:sz w:val="24"/>
      <w:szCs w:val="24"/>
    </w:rPr>
  </w:style>
  <w:style w:type="character" w:customStyle="1" w:styleId="CaptionTableChar">
    <w:name w:val="Caption Table Char"/>
    <w:basedOn w:val="a2"/>
    <w:link w:val="CaptionTable"/>
    <w:rsid w:val="00CD05C3"/>
    <w:rPr>
      <w:rFonts w:ascii="Arial" w:eastAsia="Verdana" w:hAnsi="Arial" w:cs="Arial"/>
      <w:b/>
      <w:bCs/>
      <w:sz w:val="24"/>
      <w:szCs w:val="24"/>
    </w:rPr>
  </w:style>
  <w:style w:type="paragraph" w:customStyle="1" w:styleId="DashinTable">
    <w:name w:val="Dash in Table"/>
    <w:basedOn w:val="a0"/>
    <w:link w:val="DashinTableChar"/>
    <w:qFormat/>
    <w:pPr>
      <w:framePr w:hSpace="180" w:wrap="around" w:vAnchor="text" w:hAnchor="text" w:x="80" w:y="1"/>
      <w:widowControl/>
      <w:numPr>
        <w:ilvl w:val="3"/>
        <w:numId w:val="5"/>
      </w:numPr>
      <w:tabs>
        <w:tab w:val="left" w:pos="9180"/>
      </w:tabs>
      <w:autoSpaceDE/>
      <w:autoSpaceDN/>
      <w:ind w:left="470" w:right="4"/>
      <w:suppressOverlap/>
    </w:pPr>
    <w:rPr>
      <w:rFonts w:eastAsia="SimSun"/>
      <w:bCs/>
      <w:sz w:val="20"/>
      <w:szCs w:val="20"/>
      <w:lang w:eastAsia="zh-CN"/>
    </w:rPr>
  </w:style>
  <w:style w:type="character" w:customStyle="1" w:styleId="DashinTableChar">
    <w:name w:val="Dash in Table Char"/>
    <w:basedOn w:val="a9"/>
    <w:link w:val="DashinTable"/>
    <w:rPr>
      <w:rFonts w:ascii="Arial" w:eastAsia="SimSun" w:hAnsi="Arial" w:cs="Arial"/>
      <w:bCs/>
      <w:color w:val="1C1C1C"/>
      <w:sz w:val="20"/>
      <w:szCs w:val="20"/>
      <w:lang w:eastAsia="zh-CN"/>
    </w:rPr>
  </w:style>
  <w:style w:type="paragraph" w:styleId="ad">
    <w:name w:val="caption"/>
    <w:aliases w:val="Caption-Table,Caption for Figures"/>
    <w:basedOn w:val="a1"/>
    <w:next w:val="a1"/>
    <w:link w:val="ae"/>
    <w:uiPriority w:val="35"/>
    <w:qFormat/>
    <w:pPr>
      <w:spacing w:after="200"/>
    </w:pPr>
    <w:rPr>
      <w:i/>
      <w:iCs/>
      <w:color w:val="1F497D"/>
      <w:sz w:val="18"/>
      <w:szCs w:val="18"/>
    </w:rPr>
  </w:style>
  <w:style w:type="paragraph" w:customStyle="1" w:styleId="Bullet12">
    <w:name w:val="Bullet 12"/>
    <w:basedOn w:val="a0"/>
    <w:link w:val="Bullet12Char"/>
    <w:qFormat/>
    <w:rsid w:val="00F83434"/>
    <w:pPr>
      <w:widowControl/>
      <w:numPr>
        <w:ilvl w:val="3"/>
        <w:numId w:val="6"/>
      </w:numPr>
      <w:tabs>
        <w:tab w:val="clear" w:pos="540"/>
        <w:tab w:val="clear" w:pos="542"/>
      </w:tabs>
      <w:autoSpaceDE/>
      <w:autoSpaceDN/>
      <w:ind w:left="990" w:right="188"/>
    </w:pPr>
    <w:rPr>
      <w:rFonts w:eastAsia="SimSun"/>
      <w:bCs/>
      <w:lang w:val="en-PH" w:eastAsia="zh-CN"/>
    </w:rPr>
  </w:style>
  <w:style w:type="character" w:customStyle="1" w:styleId="Bullet12Char">
    <w:name w:val="Bullet 12 Char"/>
    <w:basedOn w:val="a2"/>
    <w:link w:val="Bullet12"/>
    <w:rsid w:val="00F83434"/>
    <w:rPr>
      <w:rFonts w:ascii="Arial" w:eastAsia="SimSun" w:hAnsi="Arial" w:cs="Arial"/>
      <w:bCs/>
      <w:color w:val="1C1C1C"/>
      <w:sz w:val="24"/>
      <w:szCs w:val="24"/>
      <w:lang w:val="en-PH" w:eastAsia="zh-CN"/>
    </w:rPr>
  </w:style>
  <w:style w:type="table" w:styleId="af">
    <w:name w:val="Table Grid"/>
    <w:aliases w:val="Plain Table,表格样式"/>
    <w:basedOn w:val="a3"/>
    <w:uiPriority w:val="39"/>
    <w:qFormat/>
    <w:pPr>
      <w:widowControl/>
      <w:autoSpaceDE/>
      <w:autoSpaceDN/>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c">
    <w:name w:val="pc"/>
    <w:basedOn w:val="a1"/>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1">
    <w:name w:val="s1"/>
    <w:basedOn w:val="a2"/>
  </w:style>
  <w:style w:type="character" w:customStyle="1" w:styleId="fontstyle01">
    <w:name w:val="fontstyle01"/>
    <w:basedOn w:val="a2"/>
    <w:rPr>
      <w:rFonts w:ascii="Arial Bold" w:hAnsi="Arial Bold" w:hint="default"/>
      <w:b/>
      <w:bCs/>
      <w:i w:val="0"/>
      <w:iCs w:val="0"/>
      <w:color w:val="000000"/>
      <w:sz w:val="28"/>
      <w:szCs w:val="28"/>
    </w:rPr>
  </w:style>
  <w:style w:type="character" w:customStyle="1" w:styleId="fontstyle21">
    <w:name w:val="fontstyle21"/>
    <w:basedOn w:val="a2"/>
    <w:rPr>
      <w:rFonts w:ascii="Arial" w:hAnsi="Arial" w:cs="Arial" w:hint="default"/>
      <w:b w:val="0"/>
      <w:bCs w:val="0"/>
      <w:i w:val="0"/>
      <w:iCs w:val="0"/>
      <w:color w:val="000000"/>
      <w:sz w:val="22"/>
      <w:szCs w:val="22"/>
    </w:rPr>
  </w:style>
  <w:style w:type="character" w:customStyle="1" w:styleId="70">
    <w:name w:val="Заголовок 7 Знак"/>
    <w:basedOn w:val="a2"/>
    <w:link w:val="7"/>
    <w:rPr>
      <w:rFonts w:ascii="Arial" w:eastAsia="Times New Roman" w:hAnsi="Arial" w:cs="Times New Roman"/>
      <w:b/>
      <w:bCs/>
      <w:sz w:val="24"/>
      <w:szCs w:val="24"/>
    </w:rPr>
  </w:style>
  <w:style w:type="character" w:customStyle="1" w:styleId="80">
    <w:name w:val="Заголовок 8 Знак"/>
    <w:basedOn w:val="a2"/>
    <w:link w:val="8"/>
    <w:rPr>
      <w:rFonts w:ascii="Arial" w:eastAsia="Times New Roman" w:hAnsi="Arial" w:cs="Times New Roman"/>
      <w:snapToGrid w:val="0"/>
      <w:color w:val="000000"/>
      <w:sz w:val="16"/>
      <w:szCs w:val="24"/>
    </w:rPr>
  </w:style>
  <w:style w:type="character" w:customStyle="1" w:styleId="90">
    <w:name w:val="Заголовок 9 Знак"/>
    <w:basedOn w:val="a2"/>
    <w:link w:val="9"/>
    <w:rPr>
      <w:rFonts w:ascii="Arial" w:eastAsia="Times New Roman" w:hAnsi="Arial" w:cs="Times New Roman"/>
      <w:b/>
      <w:snapToGrid w:val="0"/>
      <w:color w:val="000000"/>
      <w:sz w:val="20"/>
      <w:szCs w:val="24"/>
    </w:rPr>
  </w:style>
  <w:style w:type="character" w:customStyle="1" w:styleId="10">
    <w:name w:val="Заголовок 1 Знак"/>
    <w:link w:val="1"/>
    <w:qFormat/>
    <w:rPr>
      <w:rFonts w:ascii="Arial" w:eastAsia="Verdana" w:hAnsi="Arial" w:cs="Verdana"/>
      <w:b/>
      <w:sz w:val="32"/>
      <w:szCs w:val="28"/>
    </w:rPr>
  </w:style>
  <w:style w:type="character" w:customStyle="1" w:styleId="21">
    <w:name w:val="Заголовок 2 Знак"/>
    <w:link w:val="20"/>
    <w:uiPriority w:val="9"/>
    <w:rPr>
      <w:rFonts w:ascii="Arial" w:eastAsia="Verdana" w:hAnsi="Arial" w:cs="Arial"/>
      <w:b/>
      <w:color w:val="1C1C1C"/>
      <w:sz w:val="24"/>
      <w:szCs w:val="24"/>
    </w:rPr>
  </w:style>
  <w:style w:type="character" w:customStyle="1" w:styleId="32">
    <w:name w:val="Заголовок 3 Знак"/>
    <w:link w:val="31"/>
    <w:rsid w:val="005A68AD"/>
    <w:rPr>
      <w:rFonts w:ascii="Arial" w:eastAsia="Verdana" w:hAnsi="Arial" w:cs="Arial"/>
      <w:b/>
      <w:sz w:val="24"/>
      <w:szCs w:val="24"/>
      <w:lang w:eastAsia="en-PH"/>
    </w:rPr>
  </w:style>
  <w:style w:type="character" w:customStyle="1" w:styleId="42">
    <w:name w:val="Заголовок 4 Знак"/>
    <w:link w:val="41"/>
    <w:rsid w:val="00701F4F"/>
    <w:rPr>
      <w:rFonts w:ascii="Arial" w:hAnsi="Arial" w:cs="Arial"/>
      <w:b/>
      <w:bCs/>
      <w:sz w:val="24"/>
      <w:szCs w:val="24"/>
      <w:lang w:eastAsia="en-GB"/>
    </w:rPr>
  </w:style>
  <w:style w:type="character" w:customStyle="1" w:styleId="52">
    <w:name w:val="Заголовок 5 Знак"/>
    <w:link w:val="51"/>
    <w:rPr>
      <w:rFonts w:ascii="Verdana" w:eastAsia="Verdana" w:hAnsi="Verdana" w:cs="Verdana"/>
      <w:b/>
      <w:bCs/>
      <w:i/>
      <w:iCs/>
      <w:sz w:val="20"/>
      <w:szCs w:val="20"/>
    </w:rPr>
  </w:style>
  <w:style w:type="character" w:customStyle="1" w:styleId="60">
    <w:name w:val="Заголовок 6 Знак"/>
    <w:link w:val="6"/>
    <w:rPr>
      <w:rFonts w:ascii="Verdana" w:eastAsia="Verdana" w:hAnsi="Verdana" w:cs="Verdana"/>
      <w:sz w:val="20"/>
      <w:szCs w:val="20"/>
    </w:rPr>
  </w:style>
  <w:style w:type="paragraph" w:styleId="af0">
    <w:name w:val="List Bullet"/>
    <w:aliases w:val="List Bullet 14pt par space"/>
    <w:basedOn w:val="a1"/>
    <w:link w:val="af1"/>
    <w:qFormat/>
    <w:pPr>
      <w:widowControl/>
      <w:autoSpaceDE/>
      <w:autoSpaceDN/>
    </w:pPr>
    <w:rPr>
      <w:rFonts w:ascii="Arial" w:eastAsia="Times New Roman" w:hAnsi="Arial" w:cs="Times New Roman"/>
      <w:sz w:val="24"/>
      <w:szCs w:val="24"/>
    </w:rPr>
  </w:style>
  <w:style w:type="character" w:customStyle="1" w:styleId="a8">
    <w:name w:val="Заголовок Знак"/>
    <w:link w:val="a7"/>
    <w:rPr>
      <w:rFonts w:ascii="Cambria" w:eastAsia="Cambria" w:hAnsi="Cambria" w:cs="Cambria"/>
      <w:sz w:val="48"/>
      <w:szCs w:val="48"/>
    </w:rPr>
  </w:style>
  <w:style w:type="paragraph" w:styleId="af2">
    <w:name w:val="Subtitle"/>
    <w:basedOn w:val="a1"/>
    <w:link w:val="af3"/>
    <w:uiPriority w:val="11"/>
    <w:qFormat/>
    <w:pPr>
      <w:widowControl/>
      <w:autoSpaceDE/>
      <w:autoSpaceDN/>
      <w:spacing w:after="60"/>
      <w:outlineLvl w:val="1"/>
    </w:pPr>
    <w:rPr>
      <w:rFonts w:ascii="Arial" w:eastAsia="Times New Roman" w:hAnsi="Arial" w:cs="Arial"/>
      <w:sz w:val="24"/>
      <w:szCs w:val="24"/>
    </w:rPr>
  </w:style>
  <w:style w:type="character" w:customStyle="1" w:styleId="af3">
    <w:name w:val="Подзаголовок Знак"/>
    <w:basedOn w:val="a2"/>
    <w:link w:val="af2"/>
    <w:uiPriority w:val="11"/>
    <w:rPr>
      <w:rFonts w:ascii="Arial" w:eastAsia="Times New Roman" w:hAnsi="Arial" w:cs="Arial"/>
      <w:sz w:val="24"/>
      <w:szCs w:val="24"/>
    </w:rPr>
  </w:style>
  <w:style w:type="paragraph" w:styleId="af4">
    <w:name w:val="No Spacing"/>
    <w:link w:val="af5"/>
    <w:uiPriority w:val="1"/>
    <w:qFormat/>
    <w:pPr>
      <w:widowControl/>
      <w:autoSpaceDE/>
      <w:autoSpaceDN/>
      <w:jc w:val="both"/>
    </w:pPr>
    <w:rPr>
      <w:rFonts w:eastAsia="Times New Roman" w:cs="Times New Roman"/>
    </w:rPr>
  </w:style>
  <w:style w:type="character" w:customStyle="1" w:styleId="af5">
    <w:name w:val="Без интервала Знак"/>
    <w:link w:val="af4"/>
    <w:uiPriority w:val="1"/>
    <w:rPr>
      <w:rFonts w:ascii="Calibri" w:eastAsia="Times New Roman" w:hAnsi="Calibri" w:cs="Times New Roman"/>
    </w:rPr>
  </w:style>
  <w:style w:type="paragraph" w:customStyle="1" w:styleId="NumberList14ptspace">
    <w:name w:val="Number List 14pt space"/>
    <w:basedOn w:val="a1"/>
    <w:qFormat/>
    <w:pPr>
      <w:widowControl/>
      <w:numPr>
        <w:numId w:val="7"/>
      </w:numPr>
      <w:autoSpaceDE/>
      <w:autoSpaceDN/>
    </w:pPr>
    <w:rPr>
      <w:rFonts w:ascii="Arial" w:eastAsia="SimSun" w:hAnsi="Arial" w:cs="Times New Roman"/>
      <w:sz w:val="24"/>
      <w:lang w:val="en-PH" w:eastAsia="zh-CN"/>
    </w:rPr>
  </w:style>
  <w:style w:type="paragraph" w:customStyle="1" w:styleId="Bulletlist14ptspace2ndlevel">
    <w:name w:val="Bullet list 14pt space 2nd level"/>
    <w:basedOn w:val="af0"/>
    <w:link w:val="Bulletlist14ptspace2ndlevelChar"/>
    <w:qFormat/>
    <w:pPr>
      <w:spacing w:after="280"/>
    </w:pPr>
  </w:style>
  <w:style w:type="character" w:styleId="af6">
    <w:name w:val="annotation reference"/>
    <w:uiPriority w:val="99"/>
    <w:rPr>
      <w:sz w:val="16"/>
      <w:szCs w:val="16"/>
    </w:rPr>
  </w:style>
  <w:style w:type="paragraph" w:styleId="af7">
    <w:name w:val="annotation text"/>
    <w:basedOn w:val="a1"/>
    <w:link w:val="af8"/>
    <w:uiPriority w:val="99"/>
    <w:pPr>
      <w:widowControl/>
      <w:autoSpaceDE/>
      <w:autoSpaceDN/>
    </w:pPr>
    <w:rPr>
      <w:rFonts w:ascii="Arial" w:eastAsia="Times New Roman" w:hAnsi="Arial" w:cs="Times New Roman"/>
      <w:sz w:val="20"/>
      <w:szCs w:val="20"/>
    </w:rPr>
  </w:style>
  <w:style w:type="character" w:customStyle="1" w:styleId="af8">
    <w:name w:val="Текст примечания Знак"/>
    <w:basedOn w:val="a2"/>
    <w:link w:val="af7"/>
    <w:uiPriority w:val="99"/>
    <w:rPr>
      <w:rFonts w:ascii="Arial" w:eastAsia="Times New Roman" w:hAnsi="Arial" w:cs="Times New Roman"/>
      <w:sz w:val="20"/>
      <w:szCs w:val="20"/>
    </w:rPr>
  </w:style>
  <w:style w:type="paragraph" w:styleId="af9">
    <w:name w:val="annotation subject"/>
    <w:basedOn w:val="af7"/>
    <w:next w:val="af7"/>
    <w:link w:val="afa"/>
    <w:rPr>
      <w:b/>
      <w:bCs/>
    </w:rPr>
  </w:style>
  <w:style w:type="character" w:customStyle="1" w:styleId="afa">
    <w:name w:val="Тема примечания Знак"/>
    <w:basedOn w:val="af8"/>
    <w:link w:val="af9"/>
    <w:rPr>
      <w:rFonts w:ascii="Arial" w:eastAsia="Times New Roman" w:hAnsi="Arial" w:cs="Times New Roman"/>
      <w:b/>
      <w:bCs/>
      <w:sz w:val="20"/>
      <w:szCs w:val="20"/>
    </w:rPr>
  </w:style>
  <w:style w:type="paragraph" w:styleId="afb">
    <w:name w:val="Balloon Text"/>
    <w:basedOn w:val="a1"/>
    <w:link w:val="afc"/>
    <w:pPr>
      <w:widowControl/>
      <w:autoSpaceDE/>
      <w:autoSpaceDN/>
    </w:pPr>
    <w:rPr>
      <w:rFonts w:ascii="Tahoma" w:eastAsia="Times New Roman" w:hAnsi="Tahoma" w:cs="Tahoma"/>
      <w:sz w:val="16"/>
      <w:szCs w:val="16"/>
    </w:rPr>
  </w:style>
  <w:style w:type="character" w:customStyle="1" w:styleId="afc">
    <w:name w:val="Текст выноски Знак"/>
    <w:basedOn w:val="a2"/>
    <w:link w:val="afb"/>
    <w:rPr>
      <w:rFonts w:ascii="Tahoma" w:eastAsia="Times New Roman" w:hAnsi="Tahoma" w:cs="Tahoma"/>
      <w:sz w:val="16"/>
      <w:szCs w:val="16"/>
    </w:rPr>
  </w:style>
  <w:style w:type="paragraph" w:styleId="afd">
    <w:name w:val="header"/>
    <w:basedOn w:val="a1"/>
    <w:link w:val="afe"/>
    <w:pPr>
      <w:widowControl/>
      <w:tabs>
        <w:tab w:val="center" w:pos="4680"/>
        <w:tab w:val="right" w:pos="9360"/>
      </w:tabs>
      <w:autoSpaceDE/>
      <w:autoSpaceDN/>
    </w:pPr>
    <w:rPr>
      <w:rFonts w:ascii="Arial" w:eastAsia="Times New Roman" w:hAnsi="Arial" w:cs="Times New Roman"/>
      <w:sz w:val="24"/>
      <w:szCs w:val="24"/>
    </w:rPr>
  </w:style>
  <w:style w:type="character" w:customStyle="1" w:styleId="afe">
    <w:name w:val="Верхний колонтитул Знак"/>
    <w:basedOn w:val="a2"/>
    <w:link w:val="afd"/>
    <w:rPr>
      <w:rFonts w:ascii="Arial" w:eastAsia="Times New Roman" w:hAnsi="Arial" w:cs="Times New Roman"/>
      <w:sz w:val="24"/>
      <w:szCs w:val="24"/>
    </w:rPr>
  </w:style>
  <w:style w:type="paragraph" w:styleId="aff">
    <w:name w:val="footer"/>
    <w:basedOn w:val="a1"/>
    <w:link w:val="aff0"/>
    <w:uiPriority w:val="99"/>
    <w:pPr>
      <w:widowControl/>
      <w:tabs>
        <w:tab w:val="center" w:pos="4680"/>
        <w:tab w:val="right" w:pos="9360"/>
      </w:tabs>
      <w:autoSpaceDE/>
      <w:autoSpaceDN/>
    </w:pPr>
    <w:rPr>
      <w:rFonts w:ascii="Arial" w:eastAsia="Times New Roman" w:hAnsi="Arial" w:cs="Times New Roman"/>
      <w:sz w:val="24"/>
      <w:szCs w:val="24"/>
    </w:rPr>
  </w:style>
  <w:style w:type="character" w:customStyle="1" w:styleId="aff0">
    <w:name w:val="Нижний колонтитул Знак"/>
    <w:basedOn w:val="a2"/>
    <w:link w:val="aff"/>
    <w:uiPriority w:val="99"/>
    <w:rPr>
      <w:rFonts w:ascii="Arial" w:eastAsia="Times New Roman" w:hAnsi="Arial" w:cs="Times New Roman"/>
      <w:sz w:val="24"/>
      <w:szCs w:val="24"/>
    </w:rPr>
  </w:style>
  <w:style w:type="character" w:styleId="aff1">
    <w:name w:val="page number"/>
    <w:basedOn w:val="a2"/>
  </w:style>
  <w:style w:type="paragraph" w:styleId="22">
    <w:name w:val="List Bullet 2"/>
    <w:basedOn w:val="a1"/>
    <w:pPr>
      <w:widowControl/>
      <w:autoSpaceDE/>
      <w:autoSpaceDN/>
      <w:jc w:val="center"/>
    </w:pPr>
    <w:rPr>
      <w:rFonts w:ascii="Arial" w:eastAsia="MS Mincho" w:hAnsi="Arial" w:cs="Times New Roman"/>
      <w:b/>
    </w:rPr>
  </w:style>
  <w:style w:type="paragraph" w:customStyle="1" w:styleId="Paragraph">
    <w:name w:val="Paragraph"/>
    <w:basedOn w:val="a1"/>
    <w:link w:val="ParagraphChar"/>
    <w:pPr>
      <w:widowControl/>
      <w:numPr>
        <w:numId w:val="8"/>
      </w:numPr>
      <w:tabs>
        <w:tab w:val="left" w:pos="720"/>
      </w:tabs>
      <w:autoSpaceDE/>
      <w:autoSpaceDN/>
      <w:adjustRightInd w:val="0"/>
      <w:snapToGrid w:val="0"/>
      <w:spacing w:before="240" w:after="240"/>
    </w:pPr>
    <w:rPr>
      <w:rFonts w:ascii="Arial" w:eastAsia="SimSun" w:hAnsi="Arial" w:cs="Arial"/>
      <w:snapToGrid w:val="0"/>
      <w:kern w:val="2"/>
      <w:sz w:val="24"/>
      <w:lang w:eastAsia="zh-CN"/>
    </w:rPr>
  </w:style>
  <w:style w:type="numbering" w:customStyle="1" w:styleId="NoList1">
    <w:name w:val="No List1"/>
    <w:next w:val="a4"/>
  </w:style>
  <w:style w:type="paragraph" w:customStyle="1" w:styleId="Arial">
    <w:name w:val="Arial"/>
    <w:basedOn w:val="a1"/>
    <w:pPr>
      <w:widowControl/>
      <w:autoSpaceDE/>
      <w:autoSpaceDN/>
      <w:jc w:val="center"/>
    </w:pPr>
    <w:rPr>
      <w:rFonts w:ascii="Arial" w:eastAsia="Times New Roman" w:hAnsi="Arial" w:cs="Times New Roman"/>
      <w:b/>
      <w:bCs/>
      <w:sz w:val="24"/>
      <w:szCs w:val="24"/>
    </w:rPr>
  </w:style>
  <w:style w:type="character" w:customStyle="1" w:styleId="BodyTextChar">
    <w:name w:val="Body Text Char"/>
    <w:rPr>
      <w:rFonts w:ascii="Arial" w:hAnsi="Arial" w:cs="Arial"/>
      <w:sz w:val="22"/>
      <w:szCs w:val="24"/>
    </w:rPr>
  </w:style>
  <w:style w:type="paragraph" w:styleId="33">
    <w:name w:val="Body Text 3"/>
    <w:basedOn w:val="a1"/>
    <w:link w:val="34"/>
    <w:pPr>
      <w:widowControl/>
      <w:autoSpaceDE/>
      <w:autoSpaceDN/>
    </w:pPr>
    <w:rPr>
      <w:rFonts w:ascii="Arial" w:eastAsia="Times New Roman" w:hAnsi="Arial" w:cs="Arial"/>
      <w:sz w:val="24"/>
      <w:szCs w:val="24"/>
    </w:rPr>
  </w:style>
  <w:style w:type="character" w:customStyle="1" w:styleId="34">
    <w:name w:val="Основной текст 3 Знак"/>
    <w:basedOn w:val="a2"/>
    <w:link w:val="33"/>
    <w:rPr>
      <w:rFonts w:ascii="Arial" w:eastAsia="Times New Roman" w:hAnsi="Arial" w:cs="Arial"/>
      <w:sz w:val="24"/>
      <w:szCs w:val="24"/>
    </w:rPr>
  </w:style>
  <w:style w:type="paragraph" w:styleId="aff2">
    <w:name w:val="Body Text Indent"/>
    <w:basedOn w:val="a1"/>
    <w:link w:val="aff3"/>
    <w:pPr>
      <w:widowControl/>
      <w:autoSpaceDE/>
      <w:autoSpaceDN/>
      <w:ind w:left="720" w:hanging="720"/>
    </w:pPr>
    <w:rPr>
      <w:rFonts w:ascii="Arial" w:eastAsia="Times New Roman" w:hAnsi="Arial" w:cs="Times New Roman"/>
      <w:b/>
      <w:sz w:val="36"/>
      <w:szCs w:val="24"/>
    </w:rPr>
  </w:style>
  <w:style w:type="character" w:customStyle="1" w:styleId="aff3">
    <w:name w:val="Основной текст с отступом Знак"/>
    <w:basedOn w:val="a2"/>
    <w:link w:val="aff2"/>
    <w:rPr>
      <w:rFonts w:ascii="Arial" w:eastAsia="Times New Roman" w:hAnsi="Arial" w:cs="Times New Roman"/>
      <w:b/>
      <w:sz w:val="36"/>
      <w:szCs w:val="24"/>
    </w:rPr>
  </w:style>
  <w:style w:type="paragraph" w:styleId="23">
    <w:name w:val="Body Text 2"/>
    <w:basedOn w:val="a1"/>
    <w:link w:val="24"/>
    <w:pPr>
      <w:widowControl/>
      <w:autoSpaceDE/>
      <w:autoSpaceDN/>
    </w:pPr>
    <w:rPr>
      <w:rFonts w:ascii="Arial" w:eastAsia="Times New Roman" w:hAnsi="Arial" w:cs="Arial"/>
      <w:i/>
      <w:iCs/>
      <w:sz w:val="24"/>
      <w:szCs w:val="24"/>
    </w:rPr>
  </w:style>
  <w:style w:type="character" w:customStyle="1" w:styleId="24">
    <w:name w:val="Основной текст 2 Знак"/>
    <w:basedOn w:val="a2"/>
    <w:link w:val="23"/>
    <w:rPr>
      <w:rFonts w:ascii="Arial" w:eastAsia="Times New Roman" w:hAnsi="Arial" w:cs="Arial"/>
      <w:i/>
      <w:iCs/>
      <w:sz w:val="24"/>
      <w:szCs w:val="24"/>
    </w:rPr>
  </w:style>
  <w:style w:type="paragraph" w:styleId="25">
    <w:name w:val="toc 2"/>
    <w:basedOn w:val="a1"/>
    <w:next w:val="a1"/>
    <w:uiPriority w:val="39"/>
    <w:pPr>
      <w:widowControl/>
      <w:tabs>
        <w:tab w:val="left" w:leader="dot" w:pos="720"/>
        <w:tab w:val="right" w:leader="dot" w:pos="10350"/>
      </w:tabs>
      <w:autoSpaceDE/>
      <w:autoSpaceDN/>
      <w:ind w:left="735" w:hanging="562"/>
    </w:pPr>
    <w:rPr>
      <w:rFonts w:ascii="Arial" w:eastAsia="Times New Roman" w:hAnsi="Arial" w:cs="Times New Roman"/>
      <w:color w:val="000000"/>
      <w:sz w:val="24"/>
      <w:szCs w:val="24"/>
    </w:rPr>
  </w:style>
  <w:style w:type="paragraph" w:styleId="35">
    <w:name w:val="toc 3"/>
    <w:basedOn w:val="a1"/>
    <w:next w:val="a1"/>
    <w:uiPriority w:val="39"/>
    <w:pPr>
      <w:widowControl/>
      <w:autoSpaceDE/>
      <w:autoSpaceDN/>
      <w:ind w:left="480"/>
    </w:pPr>
    <w:rPr>
      <w:rFonts w:ascii="Arial" w:eastAsia="Times New Roman" w:hAnsi="Arial" w:cs="Times New Roman"/>
      <w:sz w:val="24"/>
      <w:szCs w:val="24"/>
    </w:rPr>
  </w:style>
  <w:style w:type="paragraph" w:styleId="aff4">
    <w:name w:val="table of figures"/>
    <w:basedOn w:val="a1"/>
    <w:next w:val="a1"/>
    <w:link w:val="aff5"/>
    <w:uiPriority w:val="99"/>
    <w:rsid w:val="00D47A5F"/>
    <w:pPr>
      <w:widowControl/>
      <w:tabs>
        <w:tab w:val="right" w:leader="dot" w:pos="9530"/>
      </w:tabs>
      <w:autoSpaceDE/>
      <w:autoSpaceDN/>
      <w:ind w:left="480" w:hanging="480"/>
    </w:pPr>
    <w:rPr>
      <w:rFonts w:ascii="Arial" w:eastAsia="Times New Roman" w:hAnsi="Arial" w:cs="Times New Roman"/>
      <w:sz w:val="24"/>
    </w:rPr>
  </w:style>
  <w:style w:type="paragraph" w:customStyle="1" w:styleId="Header2">
    <w:name w:val="Header2"/>
    <w:basedOn w:val="a7"/>
    <w:pPr>
      <w:widowControl/>
      <w:autoSpaceDE/>
      <w:autoSpaceDN/>
      <w:spacing w:before="0"/>
      <w:ind w:left="0" w:right="0"/>
      <w:jc w:val="left"/>
    </w:pPr>
    <w:rPr>
      <w:rFonts w:ascii="Arial" w:eastAsia="Times New Roman" w:hAnsi="Arial" w:cs="Arial"/>
      <w:b/>
      <w:bCs/>
      <w:sz w:val="36"/>
      <w:szCs w:val="24"/>
    </w:rPr>
  </w:style>
  <w:style w:type="paragraph" w:styleId="43">
    <w:name w:val="toc 4"/>
    <w:basedOn w:val="a1"/>
    <w:next w:val="a1"/>
    <w:uiPriority w:val="39"/>
    <w:pPr>
      <w:widowControl/>
      <w:tabs>
        <w:tab w:val="left" w:pos="1680"/>
        <w:tab w:val="right" w:leader="dot" w:pos="9530"/>
      </w:tabs>
      <w:autoSpaceDE/>
      <w:autoSpaceDN/>
      <w:ind w:left="720"/>
    </w:pPr>
    <w:rPr>
      <w:rFonts w:ascii="Arial" w:eastAsia="Times New Roman" w:hAnsi="Arial" w:cs="Times New Roman"/>
      <w:sz w:val="24"/>
      <w:szCs w:val="24"/>
    </w:rPr>
  </w:style>
  <w:style w:type="paragraph" w:styleId="53">
    <w:name w:val="toc 5"/>
    <w:basedOn w:val="a1"/>
    <w:next w:val="a1"/>
    <w:uiPriority w:val="39"/>
    <w:pPr>
      <w:widowControl/>
      <w:tabs>
        <w:tab w:val="right" w:leader="dot" w:pos="9530"/>
      </w:tabs>
      <w:autoSpaceDE/>
      <w:autoSpaceDN/>
      <w:spacing w:before="360" w:after="240"/>
      <w:ind w:left="1170" w:hanging="1170"/>
    </w:pPr>
    <w:rPr>
      <w:rFonts w:ascii="Arial" w:eastAsia="Times New Roman" w:hAnsi="Arial" w:cs="Times New Roman"/>
      <w:b/>
      <w:sz w:val="24"/>
      <w:szCs w:val="24"/>
    </w:rPr>
  </w:style>
  <w:style w:type="paragraph" w:styleId="61">
    <w:name w:val="toc 6"/>
    <w:basedOn w:val="a1"/>
    <w:next w:val="a1"/>
    <w:uiPriority w:val="39"/>
    <w:pPr>
      <w:widowControl/>
      <w:autoSpaceDE/>
      <w:autoSpaceDN/>
      <w:ind w:left="1200"/>
    </w:pPr>
    <w:rPr>
      <w:rFonts w:ascii="Arial" w:eastAsia="Times New Roman" w:hAnsi="Arial" w:cs="Times New Roman"/>
      <w:sz w:val="24"/>
      <w:szCs w:val="24"/>
    </w:rPr>
  </w:style>
  <w:style w:type="paragraph" w:styleId="71">
    <w:name w:val="toc 7"/>
    <w:basedOn w:val="a1"/>
    <w:next w:val="a1"/>
    <w:uiPriority w:val="39"/>
    <w:pPr>
      <w:widowControl/>
      <w:autoSpaceDE/>
      <w:autoSpaceDN/>
      <w:ind w:left="1440"/>
    </w:pPr>
    <w:rPr>
      <w:rFonts w:ascii="Arial" w:eastAsia="Times New Roman" w:hAnsi="Arial" w:cs="Times New Roman"/>
      <w:sz w:val="24"/>
      <w:szCs w:val="24"/>
    </w:rPr>
  </w:style>
  <w:style w:type="paragraph" w:styleId="81">
    <w:name w:val="toc 8"/>
    <w:basedOn w:val="a1"/>
    <w:next w:val="a1"/>
    <w:uiPriority w:val="39"/>
    <w:pPr>
      <w:widowControl/>
      <w:autoSpaceDE/>
      <w:autoSpaceDN/>
      <w:ind w:left="1680"/>
    </w:pPr>
    <w:rPr>
      <w:rFonts w:ascii="Arial" w:eastAsia="Times New Roman" w:hAnsi="Arial" w:cs="Times New Roman"/>
      <w:sz w:val="24"/>
      <w:szCs w:val="24"/>
    </w:rPr>
  </w:style>
  <w:style w:type="paragraph" w:styleId="91">
    <w:name w:val="toc 9"/>
    <w:basedOn w:val="a1"/>
    <w:next w:val="a1"/>
    <w:uiPriority w:val="39"/>
    <w:pPr>
      <w:widowControl/>
      <w:autoSpaceDE/>
      <w:autoSpaceDN/>
      <w:ind w:left="1920"/>
    </w:pPr>
    <w:rPr>
      <w:rFonts w:ascii="Arial" w:eastAsia="Times New Roman" w:hAnsi="Arial" w:cs="Times New Roman"/>
      <w:sz w:val="24"/>
      <w:szCs w:val="24"/>
    </w:rPr>
  </w:style>
  <w:style w:type="character" w:styleId="aff6">
    <w:name w:val="Hyperlink"/>
    <w:uiPriority w:val="99"/>
    <w:rPr>
      <w:color w:val="0000FF"/>
      <w:u w:val="single"/>
    </w:rPr>
  </w:style>
  <w:style w:type="character" w:styleId="aff7">
    <w:name w:val="FollowedHyperlink"/>
    <w:rPr>
      <w:color w:val="800080"/>
      <w:u w:val="single"/>
    </w:rPr>
  </w:style>
  <w:style w:type="paragraph" w:styleId="aff8">
    <w:name w:val="List"/>
    <w:basedOn w:val="a1"/>
    <w:pPr>
      <w:widowControl/>
      <w:autoSpaceDE/>
      <w:autoSpaceDN/>
      <w:spacing w:after="120"/>
    </w:pPr>
    <w:rPr>
      <w:rFonts w:ascii="Arial" w:eastAsia="SimSun" w:hAnsi="Arial" w:cs="Times New Roman"/>
      <w:sz w:val="24"/>
      <w:lang w:eastAsia="zh-CN"/>
    </w:rPr>
  </w:style>
  <w:style w:type="paragraph" w:customStyle="1" w:styleId="BodyText1">
    <w:name w:val="Body Text1"/>
    <w:basedOn w:val="a1"/>
    <w:link w:val="BodytextChar0"/>
    <w:pPr>
      <w:widowControl/>
      <w:autoSpaceDE/>
      <w:autoSpaceDN/>
    </w:pPr>
    <w:rPr>
      <w:rFonts w:ascii="Arial" w:eastAsia="SimSun" w:hAnsi="Arial" w:cs="Times New Roman"/>
      <w:sz w:val="24"/>
      <w:lang w:eastAsia="zh-CN"/>
    </w:rPr>
  </w:style>
  <w:style w:type="character" w:customStyle="1" w:styleId="spelle">
    <w:name w:val="spelle"/>
    <w:basedOn w:val="a2"/>
  </w:style>
  <w:style w:type="character" w:customStyle="1" w:styleId="msoins0">
    <w:name w:val="msoins"/>
    <w:basedOn w:val="a2"/>
  </w:style>
  <w:style w:type="paragraph" w:customStyle="1" w:styleId="c1">
    <w:name w:val="c1"/>
    <w:basedOn w:val="a1"/>
    <w:pPr>
      <w:autoSpaceDE/>
      <w:autoSpaceDN/>
      <w:spacing w:line="240" w:lineRule="atLeast"/>
      <w:jc w:val="center"/>
    </w:pPr>
    <w:rPr>
      <w:rFonts w:ascii="Times New Roman" w:eastAsia="Times New Roman" w:hAnsi="Times New Roman" w:cs="Times New Roman"/>
      <w:snapToGrid w:val="0"/>
      <w:sz w:val="24"/>
      <w:szCs w:val="20"/>
    </w:rPr>
  </w:style>
  <w:style w:type="paragraph" w:styleId="26">
    <w:name w:val="List 2"/>
    <w:basedOn w:val="a1"/>
    <w:pPr>
      <w:widowControl/>
      <w:autoSpaceDE/>
      <w:autoSpaceDN/>
      <w:spacing w:after="60"/>
    </w:pPr>
    <w:rPr>
      <w:rFonts w:ascii="Arial" w:eastAsia="SimSun" w:hAnsi="Arial" w:cs="Times New Roman"/>
      <w:sz w:val="24"/>
      <w:lang w:eastAsia="zh-CN"/>
    </w:rPr>
  </w:style>
  <w:style w:type="paragraph" w:customStyle="1" w:styleId="StyleJustifiedRight005cmAfter6pt">
    <w:name w:val="Style Justified Right:  0.05 cm After:  6 pt"/>
    <w:basedOn w:val="a1"/>
    <w:pPr>
      <w:widowControl/>
      <w:autoSpaceDE/>
      <w:autoSpaceDN/>
      <w:spacing w:after="120"/>
    </w:pPr>
    <w:rPr>
      <w:rFonts w:ascii="Arial" w:eastAsia="Times New Roman" w:hAnsi="Arial" w:cs="Times New Roman"/>
      <w:sz w:val="24"/>
      <w:szCs w:val="20"/>
    </w:rPr>
  </w:style>
  <w:style w:type="paragraph" w:styleId="aff9">
    <w:name w:val="Normal (Web)"/>
    <w:basedOn w:val="a1"/>
    <w:uiPriority w:val="99"/>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styleId="HTML">
    <w:name w:val="HTML Preformatted"/>
    <w:basedOn w:val="a1"/>
    <w:link w:val="HTM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Arial Unicode MS" w:eastAsia="Courier New" w:hAnsi="Arial Unicode MS" w:cs="Courier New"/>
      <w:sz w:val="20"/>
      <w:szCs w:val="20"/>
    </w:rPr>
  </w:style>
  <w:style w:type="character" w:customStyle="1" w:styleId="HTML0">
    <w:name w:val="Стандартный HTML Знак"/>
    <w:basedOn w:val="a2"/>
    <w:link w:val="HTML"/>
    <w:rPr>
      <w:rFonts w:ascii="Arial Unicode MS" w:eastAsia="Courier New" w:hAnsi="Arial Unicode MS" w:cs="Courier New"/>
      <w:sz w:val="20"/>
      <w:szCs w:val="20"/>
    </w:rPr>
  </w:style>
  <w:style w:type="paragraph" w:styleId="36">
    <w:name w:val="Body Text Indent 3"/>
    <w:basedOn w:val="a1"/>
    <w:link w:val="37"/>
    <w:pPr>
      <w:widowControl/>
      <w:autoSpaceDE/>
      <w:autoSpaceDN/>
      <w:spacing w:after="120"/>
      <w:ind w:left="283"/>
    </w:pPr>
    <w:rPr>
      <w:rFonts w:ascii="Arial" w:eastAsia="Times New Roman" w:hAnsi="Arial" w:cs="Times New Roman"/>
      <w:sz w:val="16"/>
      <w:szCs w:val="16"/>
    </w:rPr>
  </w:style>
  <w:style w:type="character" w:customStyle="1" w:styleId="37">
    <w:name w:val="Основной текст с отступом 3 Знак"/>
    <w:basedOn w:val="a2"/>
    <w:link w:val="36"/>
    <w:rPr>
      <w:rFonts w:ascii="Arial" w:eastAsia="Times New Roman" w:hAnsi="Arial" w:cs="Times New Roman"/>
      <w:sz w:val="16"/>
      <w:szCs w:val="16"/>
    </w:rPr>
  </w:style>
  <w:style w:type="paragraph" w:customStyle="1" w:styleId="StyleJustifiedChar">
    <w:name w:val="Style Justified Char"/>
    <w:basedOn w:val="a1"/>
    <w:pPr>
      <w:widowControl/>
      <w:autoSpaceDE/>
      <w:autoSpaceDN/>
      <w:spacing w:before="60" w:after="60"/>
      <w:jc w:val="center"/>
    </w:pPr>
    <w:rPr>
      <w:rFonts w:ascii="Arial" w:eastAsia="Times New Roman" w:hAnsi="Arial" w:cs="Times New Roman"/>
      <w:sz w:val="24"/>
      <w:szCs w:val="20"/>
    </w:rPr>
  </w:style>
  <w:style w:type="paragraph" w:customStyle="1" w:styleId="StyleHeaderJustified">
    <w:name w:val="Style Header + Justified"/>
    <w:basedOn w:val="afd"/>
  </w:style>
  <w:style w:type="paragraph" w:customStyle="1" w:styleId="Caption-Figure">
    <w:name w:val="Caption-Figure"/>
    <w:basedOn w:val="aff4"/>
  </w:style>
  <w:style w:type="character" w:customStyle="1" w:styleId="StyleJustifiedCharChar">
    <w:name w:val="Style Justified Char Char"/>
    <w:rPr>
      <w:rFonts w:ascii="Arial" w:hAnsi="Arial"/>
      <w:sz w:val="22"/>
      <w:lang w:val="en-US" w:eastAsia="en-US" w:bidi="ar-SA"/>
    </w:rPr>
  </w:style>
  <w:style w:type="paragraph" w:customStyle="1" w:styleId="Normal10pt">
    <w:name w:val="Normal + 10 pt"/>
    <w:aliases w:val="Justified"/>
    <w:basedOn w:val="a1"/>
    <w:pPr>
      <w:widowControl/>
      <w:autoSpaceDE/>
      <w:autoSpaceDN/>
    </w:pPr>
    <w:rPr>
      <w:rFonts w:ascii="Arial" w:eastAsia="Times New Roman" w:hAnsi="Arial" w:cs="Arial"/>
      <w:sz w:val="20"/>
      <w:szCs w:val="20"/>
    </w:rPr>
  </w:style>
  <w:style w:type="paragraph" w:styleId="affa">
    <w:name w:val="Block Text"/>
    <w:basedOn w:val="a1"/>
    <w:pPr>
      <w:widowControl/>
      <w:autoSpaceDE/>
      <w:autoSpaceDN/>
      <w:spacing w:after="120"/>
      <w:ind w:left="1440" w:right="1440"/>
    </w:pPr>
    <w:rPr>
      <w:rFonts w:ascii="Arial" w:eastAsia="Times New Roman" w:hAnsi="Arial" w:cs="Times New Roman"/>
      <w:sz w:val="24"/>
      <w:szCs w:val="24"/>
    </w:rPr>
  </w:style>
  <w:style w:type="paragraph" w:styleId="affb">
    <w:name w:val="Body Text First Indent"/>
    <w:basedOn w:val="a5"/>
    <w:link w:val="affc"/>
    <w:pPr>
      <w:widowControl/>
      <w:tabs>
        <w:tab w:val="left" w:pos="720"/>
        <w:tab w:val="left" w:pos="1440"/>
      </w:tabs>
      <w:autoSpaceDE/>
      <w:autoSpaceDN/>
      <w:spacing w:after="120"/>
      <w:ind w:firstLine="210"/>
    </w:pPr>
    <w:rPr>
      <w:rFonts w:ascii="Arial" w:eastAsia="Times New Roman" w:hAnsi="Arial" w:cs="Times New Roman"/>
      <w:sz w:val="24"/>
      <w:szCs w:val="24"/>
    </w:rPr>
  </w:style>
  <w:style w:type="character" w:customStyle="1" w:styleId="a6">
    <w:name w:val="Основной текст Знак"/>
    <w:basedOn w:val="a2"/>
    <w:link w:val="a5"/>
    <w:rPr>
      <w:rFonts w:ascii="Verdana" w:eastAsia="Verdana" w:hAnsi="Verdana" w:cs="Verdana"/>
      <w:sz w:val="20"/>
      <w:szCs w:val="20"/>
    </w:rPr>
  </w:style>
  <w:style w:type="character" w:customStyle="1" w:styleId="affc">
    <w:name w:val="Красная строка Знак"/>
    <w:basedOn w:val="a6"/>
    <w:link w:val="affb"/>
    <w:rPr>
      <w:rFonts w:ascii="Arial" w:eastAsia="Times New Roman" w:hAnsi="Arial" w:cs="Times New Roman"/>
      <w:sz w:val="24"/>
      <w:szCs w:val="24"/>
    </w:rPr>
  </w:style>
  <w:style w:type="paragraph" w:styleId="27">
    <w:name w:val="Body Text First Indent 2"/>
    <w:basedOn w:val="aff2"/>
    <w:link w:val="28"/>
    <w:pPr>
      <w:spacing w:after="120"/>
      <w:ind w:left="360" w:firstLine="210"/>
    </w:pPr>
    <w:rPr>
      <w:b w:val="0"/>
      <w:sz w:val="22"/>
    </w:rPr>
  </w:style>
  <w:style w:type="character" w:customStyle="1" w:styleId="28">
    <w:name w:val="Красная строка 2 Знак"/>
    <w:basedOn w:val="aff3"/>
    <w:link w:val="27"/>
    <w:rPr>
      <w:rFonts w:ascii="Arial" w:eastAsia="Times New Roman" w:hAnsi="Arial" w:cs="Times New Roman"/>
      <w:b w:val="0"/>
      <w:sz w:val="36"/>
      <w:szCs w:val="24"/>
    </w:rPr>
  </w:style>
  <w:style w:type="paragraph" w:styleId="29">
    <w:name w:val="Body Text Indent 2"/>
    <w:basedOn w:val="a1"/>
    <w:link w:val="2a"/>
    <w:pPr>
      <w:widowControl/>
      <w:autoSpaceDE/>
      <w:autoSpaceDN/>
      <w:spacing w:after="120" w:line="480" w:lineRule="auto"/>
      <w:ind w:left="360"/>
    </w:pPr>
    <w:rPr>
      <w:rFonts w:ascii="Arial" w:eastAsia="Times New Roman" w:hAnsi="Arial" w:cs="Times New Roman"/>
      <w:sz w:val="24"/>
      <w:szCs w:val="24"/>
    </w:rPr>
  </w:style>
  <w:style w:type="character" w:customStyle="1" w:styleId="2a">
    <w:name w:val="Основной текст с отступом 2 Знак"/>
    <w:basedOn w:val="a2"/>
    <w:link w:val="29"/>
    <w:rPr>
      <w:rFonts w:ascii="Arial" w:eastAsia="Times New Roman" w:hAnsi="Arial" w:cs="Times New Roman"/>
      <w:sz w:val="24"/>
      <w:szCs w:val="24"/>
    </w:rPr>
  </w:style>
  <w:style w:type="paragraph" w:styleId="affd">
    <w:name w:val="Closing"/>
    <w:basedOn w:val="a1"/>
    <w:link w:val="affe"/>
    <w:pPr>
      <w:widowControl/>
      <w:autoSpaceDE/>
      <w:autoSpaceDN/>
      <w:ind w:left="4320"/>
    </w:pPr>
    <w:rPr>
      <w:rFonts w:ascii="Arial" w:eastAsia="Times New Roman" w:hAnsi="Arial" w:cs="Times New Roman"/>
      <w:sz w:val="24"/>
      <w:szCs w:val="24"/>
    </w:rPr>
  </w:style>
  <w:style w:type="character" w:customStyle="1" w:styleId="affe">
    <w:name w:val="Прощание Знак"/>
    <w:basedOn w:val="a2"/>
    <w:link w:val="affd"/>
    <w:rPr>
      <w:rFonts w:ascii="Arial" w:eastAsia="Times New Roman" w:hAnsi="Arial" w:cs="Times New Roman"/>
      <w:sz w:val="24"/>
      <w:szCs w:val="24"/>
    </w:rPr>
  </w:style>
  <w:style w:type="paragraph" w:styleId="afff">
    <w:name w:val="Date"/>
    <w:basedOn w:val="a1"/>
    <w:next w:val="a1"/>
    <w:link w:val="afff0"/>
    <w:pPr>
      <w:widowControl/>
      <w:autoSpaceDE/>
      <w:autoSpaceDN/>
    </w:pPr>
    <w:rPr>
      <w:rFonts w:ascii="Arial" w:eastAsia="Times New Roman" w:hAnsi="Arial" w:cs="Times New Roman"/>
      <w:sz w:val="24"/>
      <w:szCs w:val="24"/>
    </w:rPr>
  </w:style>
  <w:style w:type="character" w:customStyle="1" w:styleId="afff0">
    <w:name w:val="Дата Знак"/>
    <w:basedOn w:val="a2"/>
    <w:link w:val="afff"/>
    <w:rPr>
      <w:rFonts w:ascii="Arial" w:eastAsia="Times New Roman" w:hAnsi="Arial" w:cs="Times New Roman"/>
      <w:sz w:val="24"/>
      <w:szCs w:val="24"/>
    </w:rPr>
  </w:style>
  <w:style w:type="paragraph" w:styleId="afff1">
    <w:name w:val="Document Map"/>
    <w:basedOn w:val="a1"/>
    <w:link w:val="afff2"/>
    <w:pPr>
      <w:widowControl/>
      <w:shd w:val="clear" w:color="auto" w:fill="000080"/>
      <w:autoSpaceDE/>
      <w:autoSpaceDN/>
    </w:pPr>
    <w:rPr>
      <w:rFonts w:ascii="Tahoma" w:eastAsia="Times New Roman" w:hAnsi="Tahoma" w:cs="Tahoma"/>
      <w:sz w:val="24"/>
      <w:szCs w:val="24"/>
    </w:rPr>
  </w:style>
  <w:style w:type="character" w:customStyle="1" w:styleId="afff2">
    <w:name w:val="Схема документа Знак"/>
    <w:basedOn w:val="a2"/>
    <w:link w:val="afff1"/>
    <w:rPr>
      <w:rFonts w:ascii="Tahoma" w:eastAsia="Times New Roman" w:hAnsi="Tahoma" w:cs="Tahoma"/>
      <w:sz w:val="24"/>
      <w:szCs w:val="24"/>
      <w:shd w:val="clear" w:color="auto" w:fill="000080"/>
    </w:rPr>
  </w:style>
  <w:style w:type="paragraph" w:styleId="afff3">
    <w:name w:val="E-mail Signature"/>
    <w:basedOn w:val="a1"/>
    <w:link w:val="afff4"/>
    <w:pPr>
      <w:widowControl/>
      <w:autoSpaceDE/>
      <w:autoSpaceDN/>
    </w:pPr>
    <w:rPr>
      <w:rFonts w:ascii="Arial" w:eastAsia="Times New Roman" w:hAnsi="Arial" w:cs="Times New Roman"/>
      <w:sz w:val="24"/>
      <w:szCs w:val="24"/>
    </w:rPr>
  </w:style>
  <w:style w:type="character" w:customStyle="1" w:styleId="afff4">
    <w:name w:val="Электронная подпись Знак"/>
    <w:basedOn w:val="a2"/>
    <w:link w:val="afff3"/>
    <w:rPr>
      <w:rFonts w:ascii="Arial" w:eastAsia="Times New Roman" w:hAnsi="Arial" w:cs="Times New Roman"/>
      <w:sz w:val="24"/>
      <w:szCs w:val="24"/>
    </w:rPr>
  </w:style>
  <w:style w:type="paragraph" w:styleId="afff5">
    <w:name w:val="endnote text"/>
    <w:basedOn w:val="a1"/>
    <w:link w:val="afff6"/>
    <w:pPr>
      <w:widowControl/>
      <w:autoSpaceDE/>
      <w:autoSpaceDN/>
    </w:pPr>
    <w:rPr>
      <w:rFonts w:ascii="Arial" w:eastAsia="Times New Roman" w:hAnsi="Arial" w:cs="Times New Roman"/>
      <w:sz w:val="20"/>
      <w:szCs w:val="20"/>
    </w:rPr>
  </w:style>
  <w:style w:type="character" w:customStyle="1" w:styleId="afff6">
    <w:name w:val="Текст концевой сноски Знак"/>
    <w:basedOn w:val="a2"/>
    <w:link w:val="afff5"/>
    <w:rPr>
      <w:rFonts w:ascii="Arial" w:eastAsia="Times New Roman" w:hAnsi="Arial" w:cs="Times New Roman"/>
      <w:sz w:val="20"/>
      <w:szCs w:val="20"/>
    </w:rPr>
  </w:style>
  <w:style w:type="paragraph" w:styleId="afff7">
    <w:name w:val="envelope address"/>
    <w:basedOn w:val="a1"/>
    <w:pPr>
      <w:framePr w:w="7920" w:h="1980" w:hRule="exact" w:hSpace="180" w:wrap="auto" w:hAnchor="page" w:xAlign="center" w:yAlign="bottom"/>
      <w:widowControl/>
      <w:autoSpaceDE/>
      <w:autoSpaceDN/>
      <w:ind w:left="2880"/>
    </w:pPr>
    <w:rPr>
      <w:rFonts w:ascii="Arial" w:eastAsia="Times New Roman" w:hAnsi="Arial" w:cs="Arial"/>
      <w:sz w:val="24"/>
      <w:szCs w:val="24"/>
    </w:rPr>
  </w:style>
  <w:style w:type="paragraph" w:styleId="2b">
    <w:name w:val="envelope return"/>
    <w:basedOn w:val="a1"/>
    <w:pPr>
      <w:widowControl/>
      <w:autoSpaceDE/>
      <w:autoSpaceDN/>
    </w:pPr>
    <w:rPr>
      <w:rFonts w:ascii="Arial" w:eastAsia="Times New Roman" w:hAnsi="Arial" w:cs="Arial"/>
      <w:sz w:val="20"/>
      <w:szCs w:val="20"/>
    </w:rPr>
  </w:style>
  <w:style w:type="paragraph" w:styleId="HTML1">
    <w:name w:val="HTML Address"/>
    <w:basedOn w:val="a1"/>
    <w:link w:val="HTML2"/>
    <w:pPr>
      <w:widowControl/>
      <w:autoSpaceDE/>
      <w:autoSpaceDN/>
    </w:pPr>
    <w:rPr>
      <w:rFonts w:ascii="Arial" w:eastAsia="Times New Roman" w:hAnsi="Arial" w:cs="Times New Roman"/>
      <w:i/>
      <w:iCs/>
      <w:sz w:val="24"/>
      <w:szCs w:val="24"/>
    </w:rPr>
  </w:style>
  <w:style w:type="character" w:customStyle="1" w:styleId="HTML2">
    <w:name w:val="Адрес HTML Знак"/>
    <w:basedOn w:val="a2"/>
    <w:link w:val="HTML1"/>
    <w:rPr>
      <w:rFonts w:ascii="Arial" w:eastAsia="Times New Roman" w:hAnsi="Arial" w:cs="Times New Roman"/>
      <w:i/>
      <w:iCs/>
      <w:sz w:val="24"/>
      <w:szCs w:val="24"/>
    </w:rPr>
  </w:style>
  <w:style w:type="paragraph" w:styleId="12">
    <w:name w:val="index 1"/>
    <w:basedOn w:val="a1"/>
    <w:next w:val="a1"/>
    <w:pPr>
      <w:widowControl/>
      <w:autoSpaceDE/>
      <w:autoSpaceDN/>
      <w:ind w:left="220" w:hanging="220"/>
    </w:pPr>
    <w:rPr>
      <w:rFonts w:ascii="Arial" w:eastAsia="Times New Roman" w:hAnsi="Arial" w:cs="Times New Roman"/>
      <w:sz w:val="24"/>
      <w:szCs w:val="24"/>
    </w:rPr>
  </w:style>
  <w:style w:type="paragraph" w:styleId="2c">
    <w:name w:val="index 2"/>
    <w:basedOn w:val="a1"/>
    <w:next w:val="a1"/>
    <w:pPr>
      <w:widowControl/>
      <w:autoSpaceDE/>
      <w:autoSpaceDN/>
      <w:ind w:left="440" w:hanging="220"/>
    </w:pPr>
    <w:rPr>
      <w:rFonts w:ascii="Arial" w:eastAsia="Times New Roman" w:hAnsi="Arial" w:cs="Times New Roman"/>
      <w:sz w:val="24"/>
      <w:szCs w:val="24"/>
    </w:rPr>
  </w:style>
  <w:style w:type="paragraph" w:styleId="38">
    <w:name w:val="index 3"/>
    <w:basedOn w:val="a1"/>
    <w:next w:val="a1"/>
    <w:pPr>
      <w:widowControl/>
      <w:autoSpaceDE/>
      <w:autoSpaceDN/>
      <w:ind w:left="660" w:hanging="220"/>
    </w:pPr>
    <w:rPr>
      <w:rFonts w:ascii="Arial" w:eastAsia="Times New Roman" w:hAnsi="Arial" w:cs="Times New Roman"/>
      <w:sz w:val="24"/>
      <w:szCs w:val="24"/>
    </w:rPr>
  </w:style>
  <w:style w:type="paragraph" w:styleId="44">
    <w:name w:val="index 4"/>
    <w:basedOn w:val="a1"/>
    <w:next w:val="a1"/>
    <w:pPr>
      <w:widowControl/>
      <w:autoSpaceDE/>
      <w:autoSpaceDN/>
      <w:ind w:left="880" w:hanging="220"/>
    </w:pPr>
    <w:rPr>
      <w:rFonts w:ascii="Arial" w:eastAsia="Times New Roman" w:hAnsi="Arial" w:cs="Times New Roman"/>
      <w:sz w:val="24"/>
      <w:szCs w:val="24"/>
    </w:rPr>
  </w:style>
  <w:style w:type="paragraph" w:styleId="54">
    <w:name w:val="index 5"/>
    <w:basedOn w:val="a1"/>
    <w:next w:val="a1"/>
    <w:pPr>
      <w:widowControl/>
      <w:autoSpaceDE/>
      <w:autoSpaceDN/>
      <w:ind w:left="1100" w:hanging="220"/>
    </w:pPr>
    <w:rPr>
      <w:rFonts w:ascii="Arial" w:eastAsia="Times New Roman" w:hAnsi="Arial" w:cs="Times New Roman"/>
      <w:sz w:val="24"/>
      <w:szCs w:val="24"/>
    </w:rPr>
  </w:style>
  <w:style w:type="paragraph" w:styleId="62">
    <w:name w:val="index 6"/>
    <w:basedOn w:val="a1"/>
    <w:next w:val="a1"/>
    <w:pPr>
      <w:widowControl/>
      <w:autoSpaceDE/>
      <w:autoSpaceDN/>
      <w:ind w:left="1320" w:hanging="220"/>
    </w:pPr>
    <w:rPr>
      <w:rFonts w:ascii="Arial" w:eastAsia="Times New Roman" w:hAnsi="Arial" w:cs="Times New Roman"/>
      <w:sz w:val="24"/>
      <w:szCs w:val="24"/>
    </w:rPr>
  </w:style>
  <w:style w:type="paragraph" w:styleId="72">
    <w:name w:val="index 7"/>
    <w:basedOn w:val="a1"/>
    <w:next w:val="a1"/>
    <w:pPr>
      <w:widowControl/>
      <w:autoSpaceDE/>
      <w:autoSpaceDN/>
      <w:ind w:left="1540" w:hanging="220"/>
    </w:pPr>
    <w:rPr>
      <w:rFonts w:ascii="Arial" w:eastAsia="Times New Roman" w:hAnsi="Arial" w:cs="Times New Roman"/>
      <w:sz w:val="24"/>
      <w:szCs w:val="24"/>
    </w:rPr>
  </w:style>
  <w:style w:type="paragraph" w:styleId="82">
    <w:name w:val="index 8"/>
    <w:basedOn w:val="a1"/>
    <w:next w:val="a1"/>
    <w:pPr>
      <w:widowControl/>
      <w:autoSpaceDE/>
      <w:autoSpaceDN/>
      <w:ind w:left="1760" w:hanging="220"/>
    </w:pPr>
    <w:rPr>
      <w:rFonts w:ascii="Arial" w:eastAsia="Times New Roman" w:hAnsi="Arial" w:cs="Times New Roman"/>
      <w:sz w:val="24"/>
      <w:szCs w:val="24"/>
    </w:rPr>
  </w:style>
  <w:style w:type="paragraph" w:styleId="92">
    <w:name w:val="index 9"/>
    <w:basedOn w:val="a1"/>
    <w:next w:val="a1"/>
    <w:pPr>
      <w:widowControl/>
      <w:autoSpaceDE/>
      <w:autoSpaceDN/>
      <w:ind w:left="1980" w:hanging="220"/>
    </w:pPr>
    <w:rPr>
      <w:rFonts w:ascii="Arial" w:eastAsia="Times New Roman" w:hAnsi="Arial" w:cs="Times New Roman"/>
      <w:sz w:val="24"/>
      <w:szCs w:val="24"/>
    </w:rPr>
  </w:style>
  <w:style w:type="paragraph" w:styleId="afff8">
    <w:name w:val="index heading"/>
    <w:basedOn w:val="a1"/>
    <w:next w:val="12"/>
    <w:pPr>
      <w:widowControl/>
      <w:autoSpaceDE/>
      <w:autoSpaceDN/>
    </w:pPr>
    <w:rPr>
      <w:rFonts w:ascii="Arial" w:eastAsia="Times New Roman" w:hAnsi="Arial" w:cs="Arial"/>
      <w:b/>
      <w:bCs/>
      <w:sz w:val="24"/>
      <w:szCs w:val="24"/>
    </w:rPr>
  </w:style>
  <w:style w:type="paragraph" w:styleId="39">
    <w:name w:val="List 3"/>
    <w:basedOn w:val="a1"/>
    <w:pPr>
      <w:widowControl/>
      <w:autoSpaceDE/>
      <w:autoSpaceDN/>
      <w:ind w:left="1080" w:hanging="360"/>
    </w:pPr>
    <w:rPr>
      <w:rFonts w:ascii="Arial" w:eastAsia="Times New Roman" w:hAnsi="Arial" w:cs="Times New Roman"/>
      <w:sz w:val="24"/>
      <w:szCs w:val="24"/>
    </w:rPr>
  </w:style>
  <w:style w:type="paragraph" w:styleId="45">
    <w:name w:val="List 4"/>
    <w:basedOn w:val="a1"/>
    <w:pPr>
      <w:widowControl/>
      <w:autoSpaceDE/>
      <w:autoSpaceDN/>
      <w:ind w:left="1440" w:hanging="360"/>
    </w:pPr>
    <w:rPr>
      <w:rFonts w:ascii="Arial" w:eastAsia="Times New Roman" w:hAnsi="Arial" w:cs="Times New Roman"/>
      <w:sz w:val="24"/>
      <w:szCs w:val="24"/>
    </w:rPr>
  </w:style>
  <w:style w:type="paragraph" w:styleId="55">
    <w:name w:val="List 5"/>
    <w:basedOn w:val="a1"/>
    <w:pPr>
      <w:widowControl/>
      <w:autoSpaceDE/>
      <w:autoSpaceDN/>
      <w:ind w:left="1800" w:hanging="360"/>
    </w:pPr>
    <w:rPr>
      <w:rFonts w:ascii="Arial" w:eastAsia="Times New Roman" w:hAnsi="Arial" w:cs="Times New Roman"/>
      <w:sz w:val="24"/>
      <w:szCs w:val="24"/>
    </w:rPr>
  </w:style>
  <w:style w:type="paragraph" w:styleId="30">
    <w:name w:val="List Bullet 3"/>
    <w:basedOn w:val="a1"/>
    <w:pPr>
      <w:widowControl/>
      <w:numPr>
        <w:numId w:val="9"/>
      </w:numPr>
      <w:autoSpaceDE/>
      <w:autoSpaceDN/>
    </w:pPr>
    <w:rPr>
      <w:rFonts w:ascii="Arial" w:eastAsia="Times New Roman" w:hAnsi="Arial" w:cs="Times New Roman"/>
      <w:sz w:val="24"/>
      <w:szCs w:val="24"/>
    </w:rPr>
  </w:style>
  <w:style w:type="paragraph" w:styleId="40">
    <w:name w:val="List Bullet 4"/>
    <w:basedOn w:val="a1"/>
    <w:pPr>
      <w:widowControl/>
      <w:numPr>
        <w:numId w:val="10"/>
      </w:numPr>
      <w:autoSpaceDE/>
      <w:autoSpaceDN/>
    </w:pPr>
    <w:rPr>
      <w:rFonts w:ascii="Arial" w:eastAsia="Times New Roman" w:hAnsi="Arial" w:cs="Times New Roman"/>
      <w:sz w:val="24"/>
      <w:szCs w:val="24"/>
    </w:rPr>
  </w:style>
  <w:style w:type="paragraph" w:styleId="5">
    <w:name w:val="List Bullet 5"/>
    <w:basedOn w:val="a1"/>
    <w:pPr>
      <w:widowControl/>
      <w:numPr>
        <w:numId w:val="11"/>
      </w:numPr>
      <w:autoSpaceDE/>
      <w:autoSpaceDN/>
    </w:pPr>
    <w:rPr>
      <w:rFonts w:ascii="Arial" w:eastAsia="Times New Roman" w:hAnsi="Arial" w:cs="Times New Roman"/>
      <w:sz w:val="24"/>
      <w:szCs w:val="24"/>
    </w:rPr>
  </w:style>
  <w:style w:type="paragraph" w:styleId="afff9">
    <w:name w:val="List Continue"/>
    <w:basedOn w:val="a1"/>
    <w:pPr>
      <w:widowControl/>
      <w:autoSpaceDE/>
      <w:autoSpaceDN/>
      <w:spacing w:after="120"/>
      <w:ind w:left="360"/>
    </w:pPr>
    <w:rPr>
      <w:rFonts w:ascii="Arial" w:eastAsia="Times New Roman" w:hAnsi="Arial" w:cs="Times New Roman"/>
      <w:sz w:val="24"/>
      <w:szCs w:val="24"/>
    </w:rPr>
  </w:style>
  <w:style w:type="paragraph" w:styleId="2d">
    <w:name w:val="List Continue 2"/>
    <w:basedOn w:val="a1"/>
    <w:pPr>
      <w:widowControl/>
      <w:autoSpaceDE/>
      <w:autoSpaceDN/>
      <w:spacing w:after="120"/>
      <w:ind w:left="720"/>
    </w:pPr>
    <w:rPr>
      <w:rFonts w:ascii="Arial" w:eastAsia="Times New Roman" w:hAnsi="Arial" w:cs="Times New Roman"/>
      <w:sz w:val="24"/>
      <w:szCs w:val="24"/>
    </w:rPr>
  </w:style>
  <w:style w:type="paragraph" w:styleId="3a">
    <w:name w:val="List Continue 3"/>
    <w:basedOn w:val="a1"/>
    <w:pPr>
      <w:widowControl/>
      <w:autoSpaceDE/>
      <w:autoSpaceDN/>
      <w:spacing w:after="120"/>
      <w:ind w:left="1080"/>
    </w:pPr>
    <w:rPr>
      <w:rFonts w:ascii="Arial" w:eastAsia="Times New Roman" w:hAnsi="Arial" w:cs="Times New Roman"/>
      <w:sz w:val="24"/>
      <w:szCs w:val="24"/>
    </w:rPr>
  </w:style>
  <w:style w:type="paragraph" w:styleId="46">
    <w:name w:val="List Continue 4"/>
    <w:basedOn w:val="a1"/>
    <w:pPr>
      <w:widowControl/>
      <w:autoSpaceDE/>
      <w:autoSpaceDN/>
      <w:spacing w:after="120"/>
      <w:ind w:left="1440"/>
    </w:pPr>
    <w:rPr>
      <w:rFonts w:ascii="Arial" w:eastAsia="Times New Roman" w:hAnsi="Arial" w:cs="Times New Roman"/>
      <w:sz w:val="24"/>
      <w:szCs w:val="24"/>
    </w:rPr>
  </w:style>
  <w:style w:type="paragraph" w:styleId="56">
    <w:name w:val="List Continue 5"/>
    <w:basedOn w:val="a1"/>
    <w:pPr>
      <w:widowControl/>
      <w:autoSpaceDE/>
      <w:autoSpaceDN/>
      <w:spacing w:after="120"/>
      <w:ind w:left="1800"/>
    </w:pPr>
    <w:rPr>
      <w:rFonts w:ascii="Arial" w:eastAsia="Times New Roman" w:hAnsi="Arial" w:cs="Times New Roman"/>
      <w:sz w:val="24"/>
      <w:szCs w:val="24"/>
    </w:rPr>
  </w:style>
  <w:style w:type="paragraph" w:styleId="a">
    <w:name w:val="List Number"/>
    <w:basedOn w:val="a1"/>
    <w:pPr>
      <w:widowControl/>
      <w:numPr>
        <w:numId w:val="12"/>
      </w:numPr>
      <w:autoSpaceDE/>
      <w:autoSpaceDN/>
    </w:pPr>
    <w:rPr>
      <w:rFonts w:ascii="Arial" w:eastAsia="Times New Roman" w:hAnsi="Arial" w:cs="Times New Roman"/>
      <w:sz w:val="24"/>
      <w:szCs w:val="24"/>
    </w:rPr>
  </w:style>
  <w:style w:type="paragraph" w:styleId="2">
    <w:name w:val="List Number 2"/>
    <w:basedOn w:val="a1"/>
    <w:pPr>
      <w:widowControl/>
      <w:numPr>
        <w:numId w:val="13"/>
      </w:numPr>
      <w:autoSpaceDE/>
      <w:autoSpaceDN/>
    </w:pPr>
    <w:rPr>
      <w:rFonts w:ascii="Arial" w:eastAsia="Times New Roman" w:hAnsi="Arial" w:cs="Times New Roman"/>
      <w:sz w:val="24"/>
      <w:szCs w:val="24"/>
    </w:rPr>
  </w:style>
  <w:style w:type="paragraph" w:styleId="3">
    <w:name w:val="List Number 3"/>
    <w:basedOn w:val="a1"/>
    <w:pPr>
      <w:widowControl/>
      <w:numPr>
        <w:numId w:val="14"/>
      </w:numPr>
      <w:autoSpaceDE/>
      <w:autoSpaceDN/>
    </w:pPr>
    <w:rPr>
      <w:rFonts w:ascii="Arial" w:eastAsia="Times New Roman" w:hAnsi="Arial" w:cs="Times New Roman"/>
      <w:sz w:val="24"/>
      <w:szCs w:val="24"/>
    </w:rPr>
  </w:style>
  <w:style w:type="paragraph" w:styleId="4">
    <w:name w:val="List Number 4"/>
    <w:basedOn w:val="a1"/>
    <w:pPr>
      <w:widowControl/>
      <w:numPr>
        <w:numId w:val="15"/>
      </w:numPr>
      <w:autoSpaceDE/>
      <w:autoSpaceDN/>
    </w:pPr>
    <w:rPr>
      <w:rFonts w:ascii="Arial" w:eastAsia="Times New Roman" w:hAnsi="Arial" w:cs="Times New Roman"/>
      <w:sz w:val="24"/>
      <w:szCs w:val="24"/>
    </w:rPr>
  </w:style>
  <w:style w:type="paragraph" w:styleId="50">
    <w:name w:val="List Number 5"/>
    <w:basedOn w:val="a1"/>
    <w:pPr>
      <w:widowControl/>
      <w:numPr>
        <w:numId w:val="16"/>
      </w:numPr>
      <w:autoSpaceDE/>
      <w:autoSpaceDN/>
    </w:pPr>
    <w:rPr>
      <w:rFonts w:ascii="Arial" w:eastAsia="Times New Roman" w:hAnsi="Arial" w:cs="Times New Roman"/>
      <w:sz w:val="24"/>
      <w:szCs w:val="24"/>
    </w:rPr>
  </w:style>
  <w:style w:type="paragraph" w:styleId="afffa">
    <w:name w:val="macro"/>
    <w:link w:val="afffb"/>
    <w:pPr>
      <w:widowControl/>
      <w:tabs>
        <w:tab w:val="left" w:pos="480"/>
        <w:tab w:val="left" w:pos="960"/>
        <w:tab w:val="left" w:pos="1440"/>
        <w:tab w:val="left" w:pos="1920"/>
        <w:tab w:val="left" w:pos="2400"/>
        <w:tab w:val="left" w:pos="2880"/>
        <w:tab w:val="left" w:pos="3360"/>
        <w:tab w:val="left" w:pos="3840"/>
        <w:tab w:val="left" w:pos="4320"/>
      </w:tabs>
      <w:autoSpaceDE/>
      <w:autoSpaceDN/>
    </w:pPr>
    <w:rPr>
      <w:rFonts w:ascii="Courier New" w:eastAsia="Times New Roman" w:hAnsi="Courier New" w:cs="Courier New"/>
      <w:sz w:val="20"/>
      <w:szCs w:val="20"/>
    </w:rPr>
  </w:style>
  <w:style w:type="character" w:customStyle="1" w:styleId="afffb">
    <w:name w:val="Текст макроса Знак"/>
    <w:basedOn w:val="a2"/>
    <w:link w:val="afffa"/>
    <w:rPr>
      <w:rFonts w:ascii="Courier New" w:eastAsia="Times New Roman" w:hAnsi="Courier New" w:cs="Courier New"/>
      <w:sz w:val="20"/>
      <w:szCs w:val="20"/>
    </w:rPr>
  </w:style>
  <w:style w:type="paragraph" w:styleId="afffc">
    <w:name w:val="Message Header"/>
    <w:basedOn w:val="a1"/>
    <w:link w:val="afffd"/>
    <w:pPr>
      <w:widowControl/>
      <w:pBdr>
        <w:top w:val="single" w:sz="6" w:space="1" w:color="auto"/>
        <w:left w:val="single" w:sz="6" w:space="1" w:color="auto"/>
        <w:bottom w:val="single" w:sz="6" w:space="1" w:color="auto"/>
        <w:right w:val="single" w:sz="6" w:space="1" w:color="auto"/>
      </w:pBdr>
      <w:shd w:val="pct20" w:color="auto" w:fill="auto"/>
      <w:autoSpaceDE/>
      <w:autoSpaceDN/>
      <w:ind w:left="1080" w:hanging="1080"/>
    </w:pPr>
    <w:rPr>
      <w:rFonts w:ascii="Arial" w:eastAsia="Times New Roman" w:hAnsi="Arial" w:cs="Arial"/>
      <w:sz w:val="24"/>
      <w:szCs w:val="24"/>
    </w:rPr>
  </w:style>
  <w:style w:type="character" w:customStyle="1" w:styleId="afffd">
    <w:name w:val="Шапка Знак"/>
    <w:basedOn w:val="a2"/>
    <w:link w:val="afffc"/>
    <w:rPr>
      <w:rFonts w:ascii="Arial" w:eastAsia="Times New Roman" w:hAnsi="Arial" w:cs="Arial"/>
      <w:sz w:val="24"/>
      <w:szCs w:val="24"/>
      <w:shd w:val="pct20" w:color="auto" w:fill="auto"/>
    </w:rPr>
  </w:style>
  <w:style w:type="paragraph" w:styleId="afffe">
    <w:name w:val="Normal Indent"/>
    <w:basedOn w:val="a1"/>
    <w:pPr>
      <w:widowControl/>
      <w:autoSpaceDE/>
      <w:autoSpaceDN/>
      <w:ind w:left="720"/>
    </w:pPr>
    <w:rPr>
      <w:rFonts w:ascii="Arial" w:eastAsia="Times New Roman" w:hAnsi="Arial" w:cs="Times New Roman"/>
      <w:sz w:val="24"/>
      <w:szCs w:val="24"/>
    </w:rPr>
  </w:style>
  <w:style w:type="paragraph" w:styleId="affff">
    <w:name w:val="Note Heading"/>
    <w:basedOn w:val="a1"/>
    <w:next w:val="a1"/>
    <w:link w:val="affff0"/>
    <w:pPr>
      <w:widowControl/>
      <w:autoSpaceDE/>
      <w:autoSpaceDN/>
      <w:spacing w:after="280"/>
    </w:pPr>
    <w:rPr>
      <w:rFonts w:ascii="Arial" w:eastAsia="Times New Roman" w:hAnsi="Arial" w:cs="Times New Roman"/>
      <w:i/>
      <w:sz w:val="20"/>
      <w:szCs w:val="24"/>
    </w:rPr>
  </w:style>
  <w:style w:type="character" w:customStyle="1" w:styleId="affff0">
    <w:name w:val="Заголовок записки Знак"/>
    <w:basedOn w:val="a2"/>
    <w:link w:val="affff"/>
    <w:rPr>
      <w:rFonts w:ascii="Arial" w:eastAsia="Times New Roman" w:hAnsi="Arial" w:cs="Times New Roman"/>
      <w:i/>
      <w:sz w:val="20"/>
      <w:szCs w:val="24"/>
    </w:rPr>
  </w:style>
  <w:style w:type="paragraph" w:styleId="affff1">
    <w:name w:val="Plain Text"/>
    <w:basedOn w:val="a1"/>
    <w:link w:val="affff2"/>
    <w:pPr>
      <w:widowControl/>
      <w:autoSpaceDE/>
      <w:autoSpaceDN/>
    </w:pPr>
    <w:rPr>
      <w:rFonts w:ascii="Courier New" w:eastAsia="Times New Roman" w:hAnsi="Courier New" w:cs="Courier New"/>
      <w:sz w:val="20"/>
      <w:szCs w:val="20"/>
    </w:rPr>
  </w:style>
  <w:style w:type="character" w:customStyle="1" w:styleId="affff2">
    <w:name w:val="Текст Знак"/>
    <w:basedOn w:val="a2"/>
    <w:link w:val="affff1"/>
    <w:rPr>
      <w:rFonts w:ascii="Courier New" w:eastAsia="Times New Roman" w:hAnsi="Courier New" w:cs="Courier New"/>
      <w:sz w:val="20"/>
      <w:szCs w:val="20"/>
    </w:rPr>
  </w:style>
  <w:style w:type="paragraph" w:styleId="affff3">
    <w:name w:val="Salutation"/>
    <w:basedOn w:val="a1"/>
    <w:next w:val="a1"/>
    <w:link w:val="affff4"/>
    <w:pPr>
      <w:widowControl/>
      <w:autoSpaceDE/>
      <w:autoSpaceDN/>
    </w:pPr>
    <w:rPr>
      <w:rFonts w:ascii="Arial" w:eastAsia="Times New Roman" w:hAnsi="Arial" w:cs="Times New Roman"/>
      <w:sz w:val="24"/>
      <w:szCs w:val="24"/>
    </w:rPr>
  </w:style>
  <w:style w:type="character" w:customStyle="1" w:styleId="affff4">
    <w:name w:val="Приветствие Знак"/>
    <w:basedOn w:val="a2"/>
    <w:link w:val="affff3"/>
    <w:rPr>
      <w:rFonts w:ascii="Arial" w:eastAsia="Times New Roman" w:hAnsi="Arial" w:cs="Times New Roman"/>
      <w:sz w:val="24"/>
      <w:szCs w:val="24"/>
    </w:rPr>
  </w:style>
  <w:style w:type="paragraph" w:styleId="affff5">
    <w:name w:val="Signature"/>
    <w:basedOn w:val="a1"/>
    <w:link w:val="affff6"/>
    <w:pPr>
      <w:widowControl/>
      <w:autoSpaceDE/>
      <w:autoSpaceDN/>
      <w:ind w:left="4320"/>
    </w:pPr>
    <w:rPr>
      <w:rFonts w:ascii="Arial" w:eastAsia="Times New Roman" w:hAnsi="Arial" w:cs="Times New Roman"/>
      <w:sz w:val="24"/>
      <w:szCs w:val="24"/>
    </w:rPr>
  </w:style>
  <w:style w:type="character" w:customStyle="1" w:styleId="affff6">
    <w:name w:val="Подпись Знак"/>
    <w:basedOn w:val="a2"/>
    <w:link w:val="affff5"/>
    <w:rPr>
      <w:rFonts w:ascii="Arial" w:eastAsia="Times New Roman" w:hAnsi="Arial" w:cs="Times New Roman"/>
      <w:sz w:val="24"/>
      <w:szCs w:val="24"/>
    </w:rPr>
  </w:style>
  <w:style w:type="paragraph" w:styleId="affff7">
    <w:name w:val="table of authorities"/>
    <w:basedOn w:val="a1"/>
    <w:next w:val="a1"/>
    <w:pPr>
      <w:widowControl/>
      <w:autoSpaceDE/>
      <w:autoSpaceDN/>
      <w:ind w:left="220" w:hanging="220"/>
    </w:pPr>
    <w:rPr>
      <w:rFonts w:ascii="Arial" w:eastAsia="Times New Roman" w:hAnsi="Arial" w:cs="Times New Roman"/>
      <w:sz w:val="24"/>
      <w:szCs w:val="24"/>
    </w:rPr>
  </w:style>
  <w:style w:type="paragraph" w:styleId="affff8">
    <w:name w:val="toa heading"/>
    <w:basedOn w:val="a1"/>
    <w:next w:val="a1"/>
    <w:pPr>
      <w:widowControl/>
      <w:autoSpaceDE/>
      <w:autoSpaceDN/>
      <w:spacing w:before="120"/>
    </w:pPr>
    <w:rPr>
      <w:rFonts w:ascii="Arial" w:eastAsia="Times New Roman" w:hAnsi="Arial" w:cs="Arial"/>
      <w:b/>
      <w:bCs/>
      <w:sz w:val="24"/>
      <w:szCs w:val="24"/>
    </w:rPr>
  </w:style>
  <w:style w:type="paragraph" w:customStyle="1" w:styleId="TA1">
    <w:name w:val="TA1"/>
    <w:pPr>
      <w:widowControl/>
      <w:autoSpaceDE/>
      <w:autoSpaceDN/>
      <w:jc w:val="both"/>
    </w:pPr>
    <w:rPr>
      <w:rFonts w:ascii="Arial" w:eastAsia="Times New Roman" w:hAnsi="Arial" w:cs="Times New Roman"/>
      <w:szCs w:val="20"/>
    </w:rPr>
  </w:style>
  <w:style w:type="paragraph" w:customStyle="1" w:styleId="NumberedBodyText">
    <w:name w:val="Numbered Body Text"/>
    <w:basedOn w:val="a5"/>
    <w:pPr>
      <w:widowControl/>
      <w:tabs>
        <w:tab w:val="left" w:pos="720"/>
        <w:tab w:val="left" w:pos="1440"/>
      </w:tabs>
      <w:autoSpaceDE/>
      <w:autoSpaceDN/>
      <w:spacing w:after="240"/>
    </w:pPr>
    <w:rPr>
      <w:rFonts w:ascii="Arial" w:eastAsia="Times New Roman" w:hAnsi="Arial" w:cs="Arial"/>
      <w:sz w:val="24"/>
      <w:szCs w:val="24"/>
    </w:rPr>
  </w:style>
  <w:style w:type="paragraph" w:customStyle="1" w:styleId="Bodynumbered">
    <w:name w:val="Body numbered"/>
    <w:basedOn w:val="af0"/>
    <w:pPr>
      <w:numPr>
        <w:numId w:val="17"/>
      </w:numPr>
      <w:ind w:left="410"/>
    </w:pPr>
    <w:rPr>
      <w:szCs w:val="20"/>
    </w:rPr>
  </w:style>
  <w:style w:type="paragraph" w:customStyle="1" w:styleId="xl24">
    <w:name w:val="xl24"/>
    <w:basedOn w:val="a1"/>
    <w:pPr>
      <w:widowControl/>
      <w:autoSpaceDE/>
      <w:autoSpaceDN/>
      <w:spacing w:before="100" w:beforeAutospacing="1" w:after="100" w:afterAutospacing="1"/>
    </w:pPr>
    <w:rPr>
      <w:rFonts w:ascii="Arial" w:eastAsia="Arial Unicode MS" w:hAnsi="Arial" w:cs="Arial"/>
      <w:sz w:val="16"/>
      <w:szCs w:val="16"/>
    </w:rPr>
  </w:style>
  <w:style w:type="character" w:styleId="affff9">
    <w:name w:val="line number"/>
    <w:basedOn w:val="a2"/>
    <w:uiPriority w:val="99"/>
  </w:style>
  <w:style w:type="paragraph" w:customStyle="1" w:styleId="CharCharChar2CharCharChar">
    <w:name w:val="Char Char Char2 Char Char Char"/>
    <w:basedOn w:val="a1"/>
    <w:pPr>
      <w:widowControl/>
      <w:autoSpaceDE/>
      <w:autoSpaceDN/>
      <w:spacing w:after="160" w:line="240" w:lineRule="exact"/>
    </w:pPr>
    <w:rPr>
      <w:rFonts w:ascii="Arial" w:eastAsia="Times New Roman" w:hAnsi="Arial" w:cs="Arial"/>
      <w:sz w:val="20"/>
      <w:szCs w:val="20"/>
    </w:rPr>
  </w:style>
  <w:style w:type="paragraph" w:customStyle="1" w:styleId="Default">
    <w:name w:val="Default"/>
    <w:pPr>
      <w:widowControl/>
      <w:adjustRightInd w:val="0"/>
    </w:pPr>
    <w:rPr>
      <w:rFonts w:ascii="LNOBGN+BookAntiqua" w:eastAsia="Times New Roman" w:hAnsi="LNOBGN+BookAntiqua" w:cs="LNOBGN+BookAntiqua"/>
      <w:color w:val="000000"/>
      <w:sz w:val="24"/>
      <w:szCs w:val="24"/>
    </w:rPr>
  </w:style>
  <w:style w:type="paragraph" w:customStyle="1" w:styleId="2body">
    <w:name w:val="2body"/>
    <w:basedOn w:val="Default"/>
    <w:next w:val="Default"/>
    <w:uiPriority w:val="99"/>
    <w:rPr>
      <w:rFonts w:cs="Times New Roman"/>
      <w:color w:val="auto"/>
    </w:rPr>
  </w:style>
  <w:style w:type="paragraph" w:customStyle="1" w:styleId="WW-Textkrper2">
    <w:name w:val="WW-Textkörper 2"/>
    <w:basedOn w:val="a1"/>
    <w:pPr>
      <w:suppressAutoHyphens/>
      <w:autoSpaceDE/>
      <w:autoSpaceDN/>
    </w:pPr>
    <w:rPr>
      <w:rFonts w:ascii="Tahoma" w:eastAsia="Lucida Sans Unicode" w:hAnsi="Tahoma" w:cs="Tahoma"/>
      <w:sz w:val="24"/>
      <w:szCs w:val="20"/>
      <w:lang w:val="en-GB"/>
    </w:rPr>
  </w:style>
  <w:style w:type="character" w:customStyle="1" w:styleId="ParagraphChar">
    <w:name w:val="Paragraph Char"/>
    <w:link w:val="Paragraph"/>
    <w:rPr>
      <w:rFonts w:ascii="Arial" w:eastAsia="SimSun" w:hAnsi="Arial" w:cs="Arial"/>
      <w:snapToGrid w:val="0"/>
      <w:kern w:val="2"/>
      <w:sz w:val="24"/>
      <w:lang w:eastAsia="zh-CN"/>
    </w:rPr>
  </w:style>
  <w:style w:type="paragraph" w:customStyle="1" w:styleId="TableTitle">
    <w:name w:val="Table Title"/>
    <w:basedOn w:val="a1"/>
    <w:next w:val="a1"/>
    <w:pPr>
      <w:widowControl/>
      <w:autoSpaceDE/>
      <w:autoSpaceDN/>
      <w:spacing w:before="240" w:after="240"/>
      <w:jc w:val="center"/>
    </w:pPr>
    <w:rPr>
      <w:rFonts w:ascii="Arial" w:eastAsia="SimSun" w:hAnsi="Arial" w:cs="Times New Roman"/>
      <w:b/>
      <w:sz w:val="24"/>
      <w:szCs w:val="24"/>
      <w:lang w:eastAsia="zh-CN"/>
    </w:rPr>
  </w:style>
  <w:style w:type="paragraph" w:customStyle="1" w:styleId="Bodytext10">
    <w:name w:val="Body text 1"/>
    <w:basedOn w:val="a1"/>
    <w:pPr>
      <w:widowControl/>
      <w:tabs>
        <w:tab w:val="left" w:pos="360"/>
      </w:tabs>
      <w:autoSpaceDE/>
      <w:autoSpaceDN/>
      <w:adjustRightInd w:val="0"/>
      <w:snapToGrid w:val="0"/>
      <w:spacing w:after="240"/>
      <w:ind w:left="1267" w:hanging="187"/>
    </w:pPr>
    <w:rPr>
      <w:rFonts w:ascii="Arial" w:eastAsia="SimSun" w:hAnsi="Arial" w:cs="Times New Roman"/>
      <w:kern w:val="2"/>
      <w:sz w:val="24"/>
      <w:lang w:eastAsia="zh-CN"/>
    </w:rPr>
  </w:style>
  <w:style w:type="paragraph" w:styleId="affffa">
    <w:name w:val="Revision"/>
    <w:uiPriority w:val="99"/>
    <w:pPr>
      <w:widowControl/>
      <w:autoSpaceDE/>
      <w:autoSpaceDN/>
    </w:pPr>
    <w:rPr>
      <w:rFonts w:ascii="Arial" w:eastAsia="Times New Roman" w:hAnsi="Arial" w:cs="Times New Roman"/>
      <w:szCs w:val="24"/>
    </w:rPr>
  </w:style>
  <w:style w:type="paragraph" w:customStyle="1" w:styleId="Level3Body">
    <w:name w:val="Level 3 (Body)"/>
    <w:pPr>
      <w:widowControl/>
      <w:numPr>
        <w:ilvl w:val="1"/>
        <w:numId w:val="18"/>
      </w:numPr>
      <w:tabs>
        <w:tab w:val="clear" w:pos="504"/>
      </w:tabs>
      <w:autoSpaceDE/>
      <w:autoSpaceDN/>
      <w:spacing w:line="270" w:lineRule="atLeast"/>
      <w:ind w:left="1502" w:hanging="425"/>
      <w:jc w:val="both"/>
    </w:pPr>
    <w:rPr>
      <w:rFonts w:ascii="Optima" w:eastAsia="Times New Roman" w:hAnsi="Optima" w:cs="Times New Roman"/>
      <w:szCs w:val="20"/>
    </w:rPr>
  </w:style>
  <w:style w:type="paragraph" w:customStyle="1" w:styleId="B1b">
    <w:name w:val="B1b"/>
    <w:basedOn w:val="a1"/>
    <w:pPr>
      <w:widowControl/>
      <w:tabs>
        <w:tab w:val="right" w:pos="9356"/>
      </w:tabs>
      <w:autoSpaceDE/>
      <w:autoSpaceDN/>
      <w:spacing w:line="360" w:lineRule="atLeast"/>
      <w:ind w:left="1418"/>
    </w:pPr>
    <w:rPr>
      <w:rFonts w:ascii="Arial" w:eastAsia="Times New Roman" w:hAnsi="Arial" w:cs="Arial"/>
      <w:sz w:val="24"/>
      <w:lang w:val="de-DE" w:eastAsia="de-DE"/>
    </w:rPr>
  </w:style>
  <w:style w:type="paragraph" w:customStyle="1" w:styleId="EdittedParagraph14pt">
    <w:name w:val="Editted Paragraph 14pt"/>
    <w:basedOn w:val="BodyText1"/>
    <w:link w:val="EdittedParagraph14ptChar"/>
    <w:qFormat/>
  </w:style>
  <w:style w:type="paragraph" w:customStyle="1" w:styleId="FigureCaption">
    <w:name w:val="Figure Caption"/>
    <w:basedOn w:val="BodyText1"/>
    <w:qFormat/>
    <w:pPr>
      <w:jc w:val="center"/>
    </w:pPr>
    <w:rPr>
      <w:b/>
    </w:rPr>
  </w:style>
  <w:style w:type="character" w:customStyle="1" w:styleId="BodytextChar0">
    <w:name w:val="Body text Char"/>
    <w:link w:val="BodyText1"/>
    <w:rPr>
      <w:rFonts w:ascii="Arial" w:eastAsia="SimSun" w:hAnsi="Arial" w:cs="Times New Roman"/>
      <w:sz w:val="24"/>
      <w:lang w:eastAsia="zh-CN"/>
    </w:rPr>
  </w:style>
  <w:style w:type="character" w:customStyle="1" w:styleId="EdittedParagraph14ptChar">
    <w:name w:val="Editted Paragraph 14pt Char"/>
    <w:link w:val="EdittedParagraph14pt"/>
    <w:rPr>
      <w:rFonts w:ascii="Arial" w:eastAsia="SimSun" w:hAnsi="Arial" w:cs="Times New Roman"/>
      <w:sz w:val="24"/>
      <w:lang w:eastAsia="zh-CN"/>
    </w:rPr>
  </w:style>
  <w:style w:type="paragraph" w:customStyle="1" w:styleId="diamondbullet14pt02tab">
    <w:name w:val="diamond bullet 14pt 0.2 tab"/>
    <w:basedOn w:val="BodyText1"/>
    <w:link w:val="diamondbullet14pt02tabChar"/>
    <w:qFormat/>
    <w:pPr>
      <w:numPr>
        <w:numId w:val="19"/>
      </w:numPr>
      <w:suppressAutoHyphens/>
      <w:jc w:val="both"/>
    </w:pPr>
    <w:rPr>
      <w:rFonts w:cs="Arial"/>
      <w:b/>
      <w:i/>
      <w:szCs w:val="24"/>
    </w:rPr>
  </w:style>
  <w:style w:type="character" w:customStyle="1" w:styleId="diamondbullet14pt02tabChar">
    <w:name w:val="diamond bullet 14pt 0.2 tab Char"/>
    <w:link w:val="diamondbullet14pt02tab"/>
    <w:rPr>
      <w:rFonts w:ascii="Arial" w:eastAsia="SimSun" w:hAnsi="Arial" w:cs="Arial"/>
      <w:b/>
      <w:i/>
      <w:sz w:val="24"/>
      <w:szCs w:val="24"/>
      <w:lang w:eastAsia="zh-CN"/>
    </w:rPr>
  </w:style>
  <w:style w:type="paragraph" w:customStyle="1" w:styleId="Sources10font">
    <w:name w:val="Sources 10font"/>
    <w:aliases w:val="14pt space,Arial2"/>
    <w:basedOn w:val="BodyText1"/>
  </w:style>
  <w:style w:type="paragraph" w:customStyle="1" w:styleId="Sources10font1">
    <w:name w:val="Sources 10font1"/>
    <w:aliases w:val="14pt space1,Arial1,italics"/>
    <w:basedOn w:val="Sources10font"/>
    <w:rPr>
      <w:i/>
    </w:rPr>
  </w:style>
  <w:style w:type="paragraph" w:customStyle="1" w:styleId="SourceCitation10ptsize">
    <w:name w:val="Source Citation 10pt size"/>
    <w:aliases w:val="14 pt after space"/>
    <w:basedOn w:val="a1"/>
    <w:link w:val="SourceCitation10ptsizeChar"/>
    <w:qFormat/>
    <w:pPr>
      <w:widowControl/>
      <w:autoSpaceDE/>
      <w:autoSpaceDN/>
      <w:spacing w:after="280"/>
    </w:pPr>
    <w:rPr>
      <w:rFonts w:ascii="Arial" w:eastAsia="Times New Roman" w:hAnsi="Arial" w:cs="Times New Roman"/>
      <w:i/>
      <w:sz w:val="20"/>
      <w:szCs w:val="24"/>
    </w:rPr>
  </w:style>
  <w:style w:type="paragraph" w:customStyle="1" w:styleId="CaptionforFigure">
    <w:name w:val="Caption for Figure"/>
    <w:aliases w:val="bold,2pt before,14pt after,center,11pt size,Final 5road paragraph,0pt before"/>
    <w:basedOn w:val="ad"/>
    <w:link w:val="CaptionforFigureChar"/>
    <w:qFormat/>
    <w:rsid w:val="008B2893"/>
    <w:pPr>
      <w:widowControl/>
      <w:autoSpaceDE/>
      <w:autoSpaceDN/>
      <w:snapToGrid w:val="0"/>
      <w:spacing w:after="0"/>
      <w:ind w:left="115"/>
      <w:jc w:val="both"/>
    </w:pPr>
    <w:rPr>
      <w:rFonts w:ascii="Arial Bold" w:eastAsia="Times New Roman" w:hAnsi="Arial Bold" w:cs="Arial"/>
      <w:b/>
      <w:bCs/>
      <w:i w:val="0"/>
      <w:iCs w:val="0"/>
      <w:color w:val="auto"/>
      <w:sz w:val="24"/>
      <w:szCs w:val="20"/>
    </w:rPr>
  </w:style>
  <w:style w:type="character" w:customStyle="1" w:styleId="SourceCitation10ptsizeChar">
    <w:name w:val="Source Citation 10pt size Char"/>
    <w:aliases w:val="14 pt after space Char"/>
    <w:link w:val="SourceCitation10ptsize"/>
    <w:rPr>
      <w:rFonts w:ascii="Arial" w:eastAsia="Times New Roman" w:hAnsi="Arial" w:cs="Times New Roman"/>
      <w:i/>
      <w:sz w:val="20"/>
      <w:szCs w:val="24"/>
    </w:rPr>
  </w:style>
  <w:style w:type="paragraph" w:customStyle="1" w:styleId="FirstLevelbullet">
    <w:name w:val="First Level bullet"/>
    <w:basedOn w:val="Bulletlist14ptspace2ndlevel"/>
    <w:link w:val="FirstLevelbulletChar"/>
    <w:qFormat/>
    <w:pPr>
      <w:numPr>
        <w:numId w:val="20"/>
      </w:numPr>
    </w:pPr>
  </w:style>
  <w:style w:type="character" w:customStyle="1" w:styleId="ae">
    <w:name w:val="Название объекта Знак"/>
    <w:aliases w:val="Caption-Table Знак,Caption for Figures Знак"/>
    <w:link w:val="ad"/>
    <w:uiPriority w:val="35"/>
    <w:qFormat/>
    <w:rPr>
      <w:rFonts w:ascii="Verdana" w:eastAsia="Verdana" w:hAnsi="Verdana" w:cs="Verdana"/>
      <w:i/>
      <w:iCs/>
      <w:color w:val="1F497D"/>
      <w:sz w:val="18"/>
      <w:szCs w:val="18"/>
    </w:rPr>
  </w:style>
  <w:style w:type="character" w:customStyle="1" w:styleId="CaptionforFigureChar">
    <w:name w:val="Caption for Figure Char"/>
    <w:aliases w:val="bold Char,2pt before Char,14pt after Char,center Char,11pt size Char,Final 5road paragraph Char,0pt before Char"/>
    <w:link w:val="CaptionforFigure"/>
    <w:rsid w:val="008B2893"/>
    <w:rPr>
      <w:rFonts w:ascii="Arial Bold" w:eastAsia="Times New Roman" w:hAnsi="Arial Bold" w:cs="Arial"/>
      <w:b/>
      <w:bCs/>
      <w:sz w:val="24"/>
      <w:szCs w:val="20"/>
    </w:rPr>
  </w:style>
  <w:style w:type="paragraph" w:customStyle="1" w:styleId="SecondLevelarrowhead">
    <w:name w:val="Second Level arrowhead"/>
    <w:basedOn w:val="BodyText1"/>
    <w:link w:val="SecondLevelarrowheadChar"/>
    <w:qFormat/>
    <w:pPr>
      <w:numPr>
        <w:numId w:val="21"/>
      </w:numPr>
      <w:ind w:left="1440"/>
    </w:pPr>
  </w:style>
  <w:style w:type="character" w:customStyle="1" w:styleId="af1">
    <w:name w:val="Маркированный список Знак"/>
    <w:aliases w:val="List Bullet 14pt par space Знак"/>
    <w:link w:val="af0"/>
    <w:rPr>
      <w:rFonts w:ascii="Arial" w:eastAsia="Times New Roman" w:hAnsi="Arial" w:cs="Times New Roman"/>
      <w:sz w:val="24"/>
      <w:szCs w:val="24"/>
    </w:rPr>
  </w:style>
  <w:style w:type="character" w:customStyle="1" w:styleId="Bulletlist14ptspace2ndlevelChar">
    <w:name w:val="Bullet list 14pt space 2nd level Char"/>
    <w:link w:val="Bulletlist14ptspace2ndlevel"/>
    <w:rPr>
      <w:rFonts w:ascii="Arial" w:eastAsia="Times New Roman" w:hAnsi="Arial" w:cs="Times New Roman"/>
      <w:sz w:val="24"/>
      <w:szCs w:val="24"/>
    </w:rPr>
  </w:style>
  <w:style w:type="character" w:customStyle="1" w:styleId="FirstLevelbulletChar">
    <w:name w:val="First Level bullet Char"/>
    <w:link w:val="FirstLevelbullet"/>
    <w:rPr>
      <w:rFonts w:ascii="Arial" w:eastAsia="Times New Roman" w:hAnsi="Arial" w:cs="Times New Roman"/>
      <w:sz w:val="24"/>
      <w:szCs w:val="24"/>
    </w:rPr>
  </w:style>
  <w:style w:type="paragraph" w:customStyle="1" w:styleId="Heading">
    <w:name w:val="Heading"/>
    <w:basedOn w:val="a1"/>
    <w:next w:val="a1"/>
    <w:pPr>
      <w:widowControl/>
      <w:suppressLineNumbers/>
      <w:tabs>
        <w:tab w:val="left" w:pos="1287"/>
      </w:tabs>
      <w:autoSpaceDE/>
      <w:autoSpaceDN/>
      <w:spacing w:before="240" w:after="120"/>
      <w:ind w:left="1136" w:hanging="569"/>
    </w:pPr>
    <w:rPr>
      <w:rFonts w:ascii="Arial" w:eastAsia="Times New Roman" w:hAnsi="Arial" w:cs="Times New Roman"/>
      <w:b/>
      <w:smallCaps/>
      <w:sz w:val="28"/>
      <w:szCs w:val="20"/>
    </w:rPr>
  </w:style>
  <w:style w:type="character" w:customStyle="1" w:styleId="SecondLevelarrowheadChar">
    <w:name w:val="Second Level arrowhead Char"/>
    <w:link w:val="SecondLevelarrowhead"/>
    <w:rPr>
      <w:rFonts w:ascii="Arial" w:eastAsia="SimSun" w:hAnsi="Arial" w:cs="Times New Roman"/>
      <w:sz w:val="24"/>
      <w:lang w:eastAsia="zh-CN"/>
    </w:rPr>
  </w:style>
  <w:style w:type="paragraph" w:customStyle="1" w:styleId="B0AbsatzBlock">
    <w:name w:val="B0 Absatz Block"/>
    <w:basedOn w:val="a1"/>
    <w:pPr>
      <w:keepLines/>
      <w:widowControl/>
      <w:tabs>
        <w:tab w:val="right" w:pos="9356"/>
      </w:tabs>
      <w:autoSpaceDE/>
      <w:autoSpaceDN/>
      <w:spacing w:line="360" w:lineRule="atLeast"/>
    </w:pPr>
    <w:rPr>
      <w:rFonts w:ascii="Arial" w:eastAsia="Times New Roman" w:hAnsi="Arial" w:cs="Times New Roman"/>
      <w:sz w:val="24"/>
      <w:szCs w:val="20"/>
      <w:lang w:val="en-GB" w:eastAsia="de-DE"/>
    </w:rPr>
  </w:style>
  <w:style w:type="paragraph" w:customStyle="1" w:styleId="Style5">
    <w:name w:val="Style 5"/>
    <w:basedOn w:val="a1"/>
    <w:pPr>
      <w:suppressAutoHyphens/>
      <w:autoSpaceDE/>
      <w:autoSpaceDN/>
      <w:spacing w:line="480" w:lineRule="exact"/>
      <w:jc w:val="center"/>
    </w:pPr>
    <w:rPr>
      <w:rFonts w:ascii="Times New Roman" w:eastAsia="Times New Roman" w:hAnsi="Times New Roman" w:cs="Times New Roman"/>
      <w:sz w:val="24"/>
      <w:szCs w:val="20"/>
      <w:lang w:eastAsia="de-DE"/>
    </w:rPr>
  </w:style>
  <w:style w:type="paragraph" w:customStyle="1" w:styleId="aufgezhltsehreng">
    <w:name w:val="aufgezählt sehr eng"/>
    <w:basedOn w:val="a1"/>
    <w:pPr>
      <w:widowControl/>
      <w:numPr>
        <w:numId w:val="22"/>
      </w:numPr>
      <w:autoSpaceDE/>
      <w:autoSpaceDN/>
      <w:spacing w:before="40" w:after="20"/>
    </w:pPr>
    <w:rPr>
      <w:rFonts w:ascii="Arial" w:eastAsia="Times New Roman" w:hAnsi="Arial" w:cs="Times New Roman"/>
      <w:sz w:val="24"/>
      <w:szCs w:val="20"/>
      <w:lang w:val="en-GB" w:eastAsia="de-DE"/>
    </w:rPr>
  </w:style>
  <w:style w:type="paragraph" w:customStyle="1" w:styleId="Frecciasinistra6sopra">
    <w:name w:val="Freccia sinistra + 6 sopra"/>
    <w:basedOn w:val="a1"/>
    <w:pPr>
      <w:widowControl/>
      <w:numPr>
        <w:numId w:val="23"/>
      </w:numPr>
      <w:adjustRightInd w:val="0"/>
    </w:pPr>
    <w:rPr>
      <w:rFonts w:ascii="Calibri" w:eastAsia="Times New Roman" w:hAnsi="Calibri" w:cs="Calibri"/>
      <w:color w:val="000000"/>
      <w:sz w:val="24"/>
      <w:szCs w:val="24"/>
      <w:lang w:val="en-GB" w:eastAsia="it-IT"/>
    </w:rPr>
  </w:style>
  <w:style w:type="paragraph" w:customStyle="1" w:styleId="corsivo">
    <w:name w:val="corsivo"/>
    <w:basedOn w:val="a1"/>
    <w:qFormat/>
    <w:pPr>
      <w:widowControl/>
      <w:adjustRightInd w:val="0"/>
      <w:spacing w:before="120"/>
    </w:pPr>
    <w:rPr>
      <w:rFonts w:ascii="Calibri" w:eastAsia="Calibri" w:hAnsi="Calibri" w:cs="Arial Narrow"/>
      <w:i/>
      <w:iCs/>
      <w:sz w:val="24"/>
      <w:szCs w:val="24"/>
      <w:lang w:val="en-GB" w:eastAsia="it-IT"/>
    </w:rPr>
  </w:style>
  <w:style w:type="paragraph" w:customStyle="1" w:styleId="grassettosottolineato">
    <w:name w:val="grassetto sottolineato"/>
    <w:basedOn w:val="a1"/>
    <w:qFormat/>
    <w:pPr>
      <w:widowControl/>
      <w:autoSpaceDE/>
      <w:autoSpaceDN/>
      <w:spacing w:before="120"/>
    </w:pPr>
    <w:rPr>
      <w:rFonts w:ascii="Calibri" w:eastAsia="Calibri" w:hAnsi="Calibri" w:cs="Calibri"/>
      <w:b/>
      <w:sz w:val="24"/>
      <w:szCs w:val="24"/>
      <w:u w:val="single"/>
      <w:lang w:val="en-GB" w:eastAsia="it-IT"/>
    </w:rPr>
  </w:style>
  <w:style w:type="paragraph" w:customStyle="1" w:styleId="BodyText2">
    <w:name w:val="Body Text2"/>
    <w:basedOn w:val="a1"/>
    <w:pPr>
      <w:widowControl/>
      <w:autoSpaceDE/>
      <w:autoSpaceDN/>
      <w:spacing w:after="280"/>
    </w:pPr>
    <w:rPr>
      <w:rFonts w:ascii="Arial" w:eastAsia="SimSun" w:hAnsi="Arial" w:cs="Arial"/>
      <w:sz w:val="24"/>
      <w:lang w:eastAsia="zh-CN"/>
    </w:rPr>
  </w:style>
  <w:style w:type="paragraph" w:customStyle="1" w:styleId="BodyText3">
    <w:name w:val="Body Text3"/>
    <w:basedOn w:val="a1"/>
    <w:pPr>
      <w:widowControl/>
      <w:autoSpaceDE/>
      <w:autoSpaceDN/>
      <w:jc w:val="center"/>
    </w:pPr>
    <w:rPr>
      <w:rFonts w:ascii="Arial" w:eastAsia="SimSun" w:hAnsi="Arial" w:cs="Times New Roman"/>
      <w:b/>
      <w:sz w:val="24"/>
      <w:lang w:eastAsia="zh-CN"/>
    </w:rPr>
  </w:style>
  <w:style w:type="paragraph" w:customStyle="1" w:styleId="KeinLeerraum">
    <w:name w:val="Kein Leerraum"/>
    <w:pPr>
      <w:widowControl/>
      <w:autoSpaceDE/>
      <w:autoSpaceDN/>
    </w:pPr>
    <w:rPr>
      <w:rFonts w:ascii="Cambria" w:eastAsia="MS ??" w:hAnsi="Cambria" w:cs="Times New Roman"/>
      <w:sz w:val="24"/>
      <w:szCs w:val="24"/>
    </w:rPr>
  </w:style>
  <w:style w:type="table" w:customStyle="1" w:styleId="TableGrid1">
    <w:name w:val="Table Grid1"/>
    <w:basedOn w:val="a3"/>
    <w:next w:val="af"/>
    <w:uiPriority w:val="59"/>
    <w:pPr>
      <w:widowControl/>
      <w:autoSpaceDE/>
      <w:autoSpaceDN/>
    </w:pPr>
    <w:rPr>
      <w:rFonts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text">
    <w:name w:val="Standard text"/>
    <w:basedOn w:val="a1"/>
    <w:qFormat/>
    <w:pPr>
      <w:widowControl/>
      <w:tabs>
        <w:tab w:val="left" w:pos="851"/>
      </w:tabs>
      <w:autoSpaceDE/>
      <w:autoSpaceDN/>
      <w:spacing w:before="120" w:after="60"/>
      <w:ind w:left="851"/>
    </w:pPr>
    <w:rPr>
      <w:rFonts w:ascii="Times New Roman" w:eastAsia="Times New Roman" w:hAnsi="Times New Roman" w:cs="Times New Roman"/>
      <w:sz w:val="24"/>
      <w:lang w:val="en-GB"/>
    </w:rPr>
  </w:style>
  <w:style w:type="paragraph" w:customStyle="1" w:styleId="Caption-Photos">
    <w:name w:val="Caption-Photos"/>
    <w:basedOn w:val="ad"/>
    <w:link w:val="Caption-PhotosChar"/>
    <w:qFormat/>
    <w:pPr>
      <w:widowControl/>
      <w:autoSpaceDE/>
      <w:autoSpaceDN/>
      <w:snapToGrid w:val="0"/>
      <w:spacing w:after="0"/>
      <w:ind w:left="115"/>
      <w:jc w:val="center"/>
    </w:pPr>
    <w:rPr>
      <w:rFonts w:ascii="Arial" w:eastAsia="Times New Roman" w:hAnsi="Arial" w:cs="Arial"/>
      <w:b/>
      <w:bCs/>
      <w:i w:val="0"/>
      <w:iCs w:val="0"/>
      <w:sz w:val="20"/>
      <w:szCs w:val="20"/>
    </w:rPr>
  </w:style>
  <w:style w:type="character" w:customStyle="1" w:styleId="Caption-PhotosChar">
    <w:name w:val="Caption-Photos Char"/>
    <w:basedOn w:val="ae"/>
    <w:link w:val="Caption-Photos"/>
    <w:rPr>
      <w:rFonts w:ascii="Arial" w:eastAsia="Times New Roman" w:hAnsi="Arial" w:cs="Arial"/>
      <w:b/>
      <w:bCs/>
      <w:i w:val="0"/>
      <w:iCs w:val="0"/>
      <w:color w:val="1F497D"/>
      <w:sz w:val="20"/>
      <w:szCs w:val="20"/>
    </w:rPr>
  </w:style>
  <w:style w:type="character" w:styleId="affffb">
    <w:name w:val="Strong"/>
    <w:basedOn w:val="a2"/>
    <w:uiPriority w:val="22"/>
    <w:qFormat/>
    <w:rPr>
      <w:rFonts w:ascii="Arial" w:hAnsi="Arial" w:cs="Arial"/>
      <w:b/>
      <w:sz w:val="24"/>
      <w:szCs w:val="24"/>
    </w:rPr>
  </w:style>
  <w:style w:type="paragraph" w:customStyle="1" w:styleId="Numbereditems">
    <w:name w:val="Numbered items"/>
    <w:basedOn w:val="a0"/>
    <w:link w:val="NumbereditemsChar"/>
    <w:qFormat/>
    <w:pPr>
      <w:widowControl/>
      <w:numPr>
        <w:ilvl w:val="3"/>
        <w:numId w:val="24"/>
      </w:numPr>
      <w:tabs>
        <w:tab w:val="left" w:pos="9180"/>
      </w:tabs>
      <w:autoSpaceDE/>
      <w:autoSpaceDN/>
      <w:spacing w:after="120"/>
      <w:ind w:left="720" w:right="4"/>
    </w:pPr>
    <w:rPr>
      <w:rFonts w:eastAsia="SimSun"/>
      <w:b/>
      <w:szCs w:val="20"/>
      <w:u w:val="single"/>
      <w:lang w:eastAsia="zh-CN"/>
    </w:rPr>
  </w:style>
  <w:style w:type="character" w:customStyle="1" w:styleId="NumbereditemsChar">
    <w:name w:val="Numbered items Char"/>
    <w:basedOn w:val="a9"/>
    <w:link w:val="Numbereditems"/>
    <w:rPr>
      <w:rFonts w:ascii="Arial" w:eastAsia="SimSun" w:hAnsi="Arial" w:cs="Arial"/>
      <w:b/>
      <w:color w:val="1C1C1C"/>
      <w:sz w:val="24"/>
      <w:szCs w:val="20"/>
      <w:u w:val="single"/>
      <w:lang w:eastAsia="zh-CN"/>
    </w:rPr>
  </w:style>
  <w:style w:type="paragraph" w:customStyle="1" w:styleId="Dash3">
    <w:name w:val="Dash 3"/>
    <w:basedOn w:val="DashBullet"/>
    <w:link w:val="Dash3Char"/>
    <w:qFormat/>
    <w:pPr>
      <w:numPr>
        <w:ilvl w:val="0"/>
        <w:numId w:val="25"/>
      </w:numPr>
      <w:ind w:left="2835"/>
    </w:pPr>
  </w:style>
  <w:style w:type="character" w:customStyle="1" w:styleId="Dash3Char">
    <w:name w:val="Dash 3 Char"/>
    <w:basedOn w:val="DashBulletChar"/>
    <w:link w:val="Dash3"/>
    <w:rPr>
      <w:rFonts w:ascii="Arial" w:eastAsia="SimSun" w:hAnsi="Arial" w:cs="Arial"/>
      <w:bCs/>
      <w:color w:val="1C1C1C"/>
      <w:sz w:val="24"/>
      <w:szCs w:val="20"/>
      <w:lang w:eastAsia="zh-CN"/>
    </w:rPr>
  </w:style>
  <w:style w:type="character" w:customStyle="1" w:styleId="UnresolvedMention1">
    <w:name w:val="Unresolved Mention1"/>
    <w:basedOn w:val="a2"/>
    <w:uiPriority w:val="99"/>
    <w:rPr>
      <w:color w:val="605E5C"/>
      <w:shd w:val="clear" w:color="auto" w:fill="E1DFDD"/>
    </w:rPr>
  </w:style>
  <w:style w:type="table" w:customStyle="1" w:styleId="GridTable4-Accent51">
    <w:name w:val="Grid Table 4 - Accent 51"/>
    <w:basedOn w:val="a3"/>
    <w:next w:val="GridTable4-Accent52"/>
    <w:uiPriority w:val="49"/>
    <w:pPr>
      <w:widowControl/>
      <w:autoSpaceDE/>
      <w:autoSpaceDN/>
    </w:pPr>
    <w:rPr>
      <w:rFonts w:cs="DaunPenh"/>
    </w:rPr>
    <w:tblPr>
      <w:tblStyleRowBandSize w:val="1"/>
      <w:tblStyleColBandSize w:val="1"/>
      <w:tblBorders>
        <w:top w:val="single" w:sz="4" w:space="0" w:color="7EC492"/>
        <w:left w:val="single" w:sz="4" w:space="0" w:color="7EC492"/>
        <w:bottom w:val="single" w:sz="4" w:space="0" w:color="7EC492"/>
        <w:right w:val="single" w:sz="4" w:space="0" w:color="7EC492"/>
        <w:insideH w:val="single" w:sz="4" w:space="0" w:color="7EC492"/>
        <w:insideV w:val="single" w:sz="4" w:space="0" w:color="7EC492"/>
      </w:tblBorders>
    </w:tblPr>
    <w:tblStylePr w:type="firstRow">
      <w:rPr>
        <w:b/>
        <w:bCs/>
        <w:color w:val="FFFFFF"/>
      </w:rPr>
      <w:tblPr/>
      <w:tcPr>
        <w:tcBorders>
          <w:top w:val="single" w:sz="4" w:space="0" w:color="3E8853"/>
          <w:left w:val="single" w:sz="4" w:space="0" w:color="3E8853"/>
          <w:bottom w:val="single" w:sz="4" w:space="0" w:color="3E8853"/>
          <w:right w:val="single" w:sz="4" w:space="0" w:color="3E8853"/>
          <w:insideH w:val="nil"/>
          <w:insideV w:val="nil"/>
        </w:tcBorders>
        <w:shd w:val="clear" w:color="auto" w:fill="3E8853"/>
      </w:tcPr>
    </w:tblStylePr>
    <w:tblStylePr w:type="lastRow">
      <w:rPr>
        <w:b/>
        <w:bCs/>
      </w:rPr>
      <w:tblPr/>
      <w:tcPr>
        <w:tcBorders>
          <w:top w:val="double" w:sz="4" w:space="0" w:color="3E8853"/>
        </w:tcBorders>
      </w:tcPr>
    </w:tblStylePr>
    <w:tblStylePr w:type="firstCol">
      <w:rPr>
        <w:b/>
        <w:bCs/>
      </w:rPr>
    </w:tblStylePr>
    <w:tblStylePr w:type="lastCol">
      <w:rPr>
        <w:b/>
        <w:bCs/>
      </w:rPr>
    </w:tblStylePr>
    <w:tblStylePr w:type="band1Vert">
      <w:tblPr/>
      <w:tcPr>
        <w:shd w:val="clear" w:color="auto" w:fill="D3EBDA"/>
      </w:tcPr>
    </w:tblStylePr>
    <w:tblStylePr w:type="band1Horz">
      <w:tblPr/>
      <w:tcPr>
        <w:shd w:val="clear" w:color="auto" w:fill="D3EBDA"/>
      </w:tcPr>
    </w:tblStylePr>
  </w:style>
  <w:style w:type="table" w:customStyle="1" w:styleId="GridTable4-Accent52">
    <w:name w:val="Grid Table 4 - Accent 52"/>
    <w:basedOn w:val="a3"/>
    <w:uiPriority w:val="49"/>
    <w:pPr>
      <w:widowControl/>
      <w:autoSpaceDE/>
      <w:autoSpaceDN/>
    </w:pPr>
    <w:rPr>
      <w:rFonts w:ascii="Times New Roman" w:eastAsia="Times New Roman" w:hAnsi="Times New Roman" w:cs="Times New Roman"/>
      <w:sz w:val="20"/>
      <w:szCs w:val="20"/>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customStyle="1" w:styleId="Body">
    <w:name w:val="Body"/>
    <w:basedOn w:val="a1"/>
    <w:qFormat/>
    <w:pPr>
      <w:widowControl/>
      <w:autoSpaceDE/>
      <w:autoSpaceDN/>
      <w:spacing w:before="120" w:after="120" w:line="300" w:lineRule="atLeast"/>
    </w:pPr>
    <w:rPr>
      <w:rFonts w:ascii="Arial" w:eastAsia="Times New Roman" w:hAnsi="Arial" w:cs="Times New Roman"/>
      <w:szCs w:val="20"/>
      <w:lang w:eastAsia="de-DE"/>
    </w:rPr>
  </w:style>
  <w:style w:type="character" w:customStyle="1" w:styleId="IRDSPEABodyTextChar">
    <w:name w:val="IRD SPEA Body Text Char"/>
    <w:link w:val="IRDSPEABodyText"/>
    <w:rPr>
      <w:color w:val="000000"/>
      <w:shd w:val="clear" w:color="auto" w:fill="FFFFFF"/>
      <w:lang w:eastAsia="fr-BE"/>
    </w:rPr>
  </w:style>
  <w:style w:type="paragraph" w:customStyle="1" w:styleId="IRDSPEABodyText">
    <w:name w:val="IRD SPEA Body Text"/>
    <w:basedOn w:val="a1"/>
    <w:link w:val="IRDSPEABodyTextChar"/>
    <w:pPr>
      <w:widowControl/>
      <w:shd w:val="clear" w:color="auto" w:fill="FFFFFF"/>
      <w:autoSpaceDE/>
      <w:autoSpaceDN/>
      <w:spacing w:before="120" w:after="120" w:line="276" w:lineRule="auto"/>
      <w:jc w:val="both"/>
    </w:pPr>
    <w:rPr>
      <w:rFonts w:ascii="Calibri" w:eastAsia="Calibri" w:hAnsi="Calibri" w:cs="SimSun"/>
      <w:color w:val="000000"/>
      <w:lang w:eastAsia="fr-BE"/>
    </w:rPr>
  </w:style>
  <w:style w:type="character" w:customStyle="1" w:styleId="IRDSPEATitle3Char">
    <w:name w:val="IRD SPEA Title 3 Char"/>
    <w:link w:val="IRDSPEATitle3"/>
    <w:rPr>
      <w:rFonts w:eastAsia="SimSun"/>
      <w:iCs/>
      <w:spacing w:val="2"/>
      <w:sz w:val="24"/>
      <w:szCs w:val="24"/>
      <w:lang w:val="en-GB"/>
    </w:rPr>
  </w:style>
  <w:style w:type="paragraph" w:customStyle="1" w:styleId="IRDSPEATitle3">
    <w:name w:val="IRD SPEA Title 3"/>
    <w:basedOn w:val="31"/>
    <w:next w:val="a1"/>
    <w:link w:val="IRDSPEATitle3Char"/>
    <w:pPr>
      <w:numPr>
        <w:ilvl w:val="0"/>
        <w:numId w:val="0"/>
      </w:numPr>
      <w:tabs>
        <w:tab w:val="center" w:pos="993"/>
      </w:tabs>
      <w:spacing w:before="240" w:after="200" w:line="240" w:lineRule="atLeast"/>
      <w:ind w:left="720" w:hanging="360"/>
      <w:outlineLvl w:val="3"/>
    </w:pPr>
    <w:rPr>
      <w:rFonts w:ascii="Calibri" w:eastAsia="SimSun" w:hAnsi="Calibri" w:cs="SimSun"/>
      <w:b w:val="0"/>
      <w:iCs/>
      <w:spacing w:val="2"/>
      <w:lang w:val="en-GB"/>
    </w:rPr>
  </w:style>
  <w:style w:type="character" w:customStyle="1" w:styleId="IRDSpeaTitle2Char">
    <w:name w:val="IRD Spea Title 2 Char"/>
    <w:link w:val="IRDSpeaTitle2"/>
    <w:rPr>
      <w:rFonts w:ascii="SimSun" w:eastAsia="SimSun" w:hAnsi="SimSun"/>
      <w:iCs/>
      <w:color w:val="1C1C1C"/>
      <w:sz w:val="26"/>
      <w:szCs w:val="28"/>
      <w:shd w:val="clear" w:color="auto" w:fill="BFBFBF"/>
      <w:lang w:val="en-GB"/>
    </w:rPr>
  </w:style>
  <w:style w:type="paragraph" w:customStyle="1" w:styleId="IRDSpeaTitle2">
    <w:name w:val="IRD Spea Title 2"/>
    <w:basedOn w:val="20"/>
    <w:link w:val="IRDSpeaTitle2Char"/>
    <w:pPr>
      <w:numPr>
        <w:ilvl w:val="0"/>
        <w:numId w:val="0"/>
      </w:numPr>
      <w:pBdr>
        <w:top w:val="single" w:sz="4" w:space="4" w:color="FFFFFF"/>
        <w:left w:val="single" w:sz="4" w:space="1" w:color="FFFFFF"/>
        <w:bottom w:val="single" w:sz="4" w:space="4" w:color="FFFFFF"/>
        <w:right w:val="single" w:sz="4" w:space="1" w:color="FFFFFF"/>
      </w:pBdr>
      <w:shd w:val="clear" w:color="auto" w:fill="BFBFBF"/>
      <w:spacing w:before="200" w:after="100"/>
      <w:ind w:left="720" w:hanging="360"/>
      <w:outlineLvl w:val="2"/>
    </w:pPr>
    <w:rPr>
      <w:rFonts w:ascii="SimSun" w:eastAsia="SimSun" w:hAnsi="SimSun" w:cs="SimSun"/>
      <w:b w:val="0"/>
      <w:iCs/>
      <w:sz w:val="26"/>
      <w:szCs w:val="28"/>
      <w:lang w:val="en-GB"/>
    </w:rPr>
  </w:style>
  <w:style w:type="paragraph" w:customStyle="1" w:styleId="IRDSPEATitle1">
    <w:name w:val="IRD SPEA Title 1"/>
    <w:pPr>
      <w:keepNext/>
      <w:keepLines/>
      <w:widowControl/>
      <w:numPr>
        <w:numId w:val="26"/>
      </w:numPr>
      <w:suppressLineNumbers/>
      <w:pBdr>
        <w:top w:val="single" w:sz="4" w:space="5" w:color="FFFFFF"/>
        <w:left w:val="single" w:sz="4" w:space="1" w:color="FFFFFF"/>
        <w:bottom w:val="single" w:sz="4" w:space="5" w:color="FFFFFF"/>
        <w:right w:val="single" w:sz="4" w:space="1" w:color="FFFFFF"/>
      </w:pBdr>
      <w:shd w:val="clear" w:color="auto" w:fill="1F497D"/>
      <w:suppressAutoHyphens/>
      <w:autoSpaceDE/>
      <w:autoSpaceDN/>
      <w:spacing w:before="100" w:after="100"/>
      <w:outlineLvl w:val="1"/>
    </w:pPr>
    <w:rPr>
      <w:rFonts w:eastAsia="SimSun" w:cs="Times New Roman"/>
      <w:b/>
      <w:bCs/>
      <w:iCs/>
      <w:caps/>
      <w:color w:val="FFFFFF"/>
      <w:sz w:val="28"/>
      <w:szCs w:val="32"/>
      <w:lang w:val="en-GB" w:eastAsia="ru-RU"/>
    </w:rPr>
  </w:style>
  <w:style w:type="paragraph" w:customStyle="1" w:styleId="IRDSPEATitle4">
    <w:name w:val="IRD SPEA Title4"/>
    <w:basedOn w:val="41"/>
    <w:pPr>
      <w:keepLines/>
      <w:numPr>
        <w:numId w:val="26"/>
      </w:numPr>
      <w:tabs>
        <w:tab w:val="left" w:pos="360"/>
      </w:tabs>
      <w:ind w:left="0" w:firstLine="0"/>
      <w:jc w:val="both"/>
    </w:pPr>
    <w:rPr>
      <w:rFonts w:ascii="Calibri" w:eastAsia="SimSun" w:hAnsi="Calibri"/>
      <w:i/>
      <w:sz w:val="26"/>
    </w:rPr>
  </w:style>
  <w:style w:type="paragraph" w:customStyle="1" w:styleId="ReportParagraphText">
    <w:name w:val="Report Paragraph Text"/>
    <w:basedOn w:val="a1"/>
    <w:link w:val="ReportParagraphTextChar"/>
    <w:pPr>
      <w:widowControl/>
      <w:suppressAutoHyphens/>
      <w:autoSpaceDE/>
      <w:autoSpaceDN/>
      <w:jc w:val="both"/>
    </w:pPr>
    <w:rPr>
      <w:rFonts w:ascii="Arial" w:eastAsia="SimSun" w:hAnsi="Arial" w:cs="Times New Roman"/>
      <w:sz w:val="24"/>
      <w:szCs w:val="24"/>
      <w:lang w:eastAsia="zh-CN"/>
    </w:rPr>
  </w:style>
  <w:style w:type="character" w:customStyle="1" w:styleId="ReportParagraphTextChar">
    <w:name w:val="Report Paragraph Text Char"/>
    <w:basedOn w:val="a2"/>
    <w:link w:val="ReportParagraphText"/>
    <w:rPr>
      <w:rFonts w:ascii="Arial" w:eastAsia="SimSun" w:hAnsi="Arial" w:cs="Times New Roman"/>
      <w:sz w:val="24"/>
      <w:szCs w:val="24"/>
      <w:lang w:eastAsia="zh-CN"/>
    </w:rPr>
  </w:style>
  <w:style w:type="character" w:customStyle="1" w:styleId="fontstyle31">
    <w:name w:val="fontstyle31"/>
    <w:basedOn w:val="a2"/>
    <w:rPr>
      <w:rFonts w:ascii="Arial" w:hAnsi="Arial" w:cs="Arial" w:hint="default"/>
      <w:b/>
      <w:bCs/>
      <w:i w:val="0"/>
      <w:iCs w:val="0"/>
      <w:color w:val="000000"/>
      <w:sz w:val="20"/>
      <w:szCs w:val="20"/>
    </w:rPr>
  </w:style>
  <w:style w:type="paragraph" w:customStyle="1" w:styleId="Newbullet">
    <w:name w:val="New bullet"/>
    <w:basedOn w:val="a0"/>
    <w:link w:val="NewbulletChar"/>
    <w:qFormat/>
    <w:pPr>
      <w:widowControl/>
      <w:numPr>
        <w:numId w:val="27"/>
      </w:numPr>
      <w:tabs>
        <w:tab w:val="left" w:pos="9180"/>
      </w:tabs>
      <w:autoSpaceDE/>
      <w:autoSpaceDN/>
      <w:ind w:right="4"/>
    </w:pPr>
    <w:rPr>
      <w:rFonts w:eastAsia="SimSun"/>
      <w:bCs/>
      <w:lang w:eastAsia="zh-CN"/>
    </w:rPr>
  </w:style>
  <w:style w:type="character" w:customStyle="1" w:styleId="NewbulletChar">
    <w:name w:val="New bullet Char"/>
    <w:basedOn w:val="a9"/>
    <w:link w:val="Newbullet"/>
    <w:rPr>
      <w:rFonts w:ascii="Arial" w:eastAsia="SimSun" w:hAnsi="Arial" w:cs="Arial"/>
      <w:bCs/>
      <w:color w:val="1C1C1C"/>
      <w:sz w:val="24"/>
      <w:szCs w:val="24"/>
      <w:lang w:eastAsia="zh-CN"/>
    </w:rPr>
  </w:style>
  <w:style w:type="paragraph" w:customStyle="1" w:styleId="Sam1">
    <w:name w:val="Sam 1"/>
    <w:basedOn w:val="9"/>
    <w:link w:val="Sam1Char"/>
    <w:qFormat/>
    <w:pPr>
      <w:numPr>
        <w:numId w:val="28"/>
      </w:numPr>
    </w:pPr>
    <w:rPr>
      <w:rFonts w:cs="Arial"/>
      <w:sz w:val="24"/>
    </w:rPr>
  </w:style>
  <w:style w:type="character" w:customStyle="1" w:styleId="Sam1Char">
    <w:name w:val="Sam 1 Char"/>
    <w:basedOn w:val="a2"/>
    <w:link w:val="Sam1"/>
    <w:rPr>
      <w:rFonts w:ascii="Arial" w:eastAsia="Times New Roman" w:hAnsi="Arial" w:cs="Arial"/>
      <w:b/>
      <w:snapToGrid w:val="0"/>
      <w:color w:val="000000"/>
      <w:sz w:val="24"/>
      <w:szCs w:val="24"/>
    </w:rPr>
  </w:style>
  <w:style w:type="paragraph" w:customStyle="1" w:styleId="bulletPara">
    <w:name w:val="bullet Para"/>
    <w:basedOn w:val="a0"/>
    <w:link w:val="bulletParaChar"/>
    <w:qFormat/>
    <w:pPr>
      <w:widowControl/>
      <w:tabs>
        <w:tab w:val="left" w:pos="9180"/>
      </w:tabs>
      <w:autoSpaceDE/>
      <w:autoSpaceDN/>
      <w:ind w:left="463" w:right="4" w:hanging="360"/>
    </w:pPr>
    <w:rPr>
      <w:rFonts w:eastAsia="SimSun"/>
      <w:bCs/>
      <w:szCs w:val="20"/>
      <w:lang w:eastAsia="zh-CN"/>
    </w:rPr>
  </w:style>
  <w:style w:type="character" w:customStyle="1" w:styleId="bulletParaChar">
    <w:name w:val="bullet Para Char"/>
    <w:basedOn w:val="a9"/>
    <w:link w:val="bulletPara"/>
    <w:rPr>
      <w:rFonts w:ascii="Arial" w:eastAsia="SimSun" w:hAnsi="Arial" w:cs="Arial"/>
      <w:bCs/>
      <w:color w:val="1C1C1C"/>
      <w:sz w:val="24"/>
      <w:szCs w:val="20"/>
      <w:lang w:eastAsia="zh-CN"/>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a1"/>
    <w:next w:val="a1"/>
    <w:link w:val="FootnoteCharacters"/>
    <w:uiPriority w:val="99"/>
    <w:qFormat/>
    <w:pPr>
      <w:widowControl/>
      <w:autoSpaceDE/>
      <w:autoSpaceDN/>
      <w:spacing w:after="160" w:line="240" w:lineRule="exact"/>
      <w:ind w:firstLine="360"/>
      <w:jc w:val="both"/>
    </w:pPr>
    <w:rPr>
      <w:rFonts w:ascii="Times New Roman" w:eastAsia="Times New Roman" w:hAnsi="Times New Roman" w:cs="Times New Roman"/>
      <w:sz w:val="20"/>
      <w:szCs w:val="20"/>
      <w:vertAlign w:val="superscript"/>
    </w:rPr>
  </w:style>
  <w:style w:type="paragraph" w:customStyle="1" w:styleId="NumberedlistinPar">
    <w:name w:val="Numbered list in Par"/>
    <w:basedOn w:val="a0"/>
    <w:link w:val="NumberedlistinParChar"/>
    <w:qFormat/>
    <w:pPr>
      <w:widowControl/>
      <w:numPr>
        <w:numId w:val="29"/>
      </w:numPr>
      <w:tabs>
        <w:tab w:val="left" w:pos="9180"/>
      </w:tabs>
      <w:autoSpaceDE/>
      <w:autoSpaceDN/>
      <w:ind w:left="630" w:right="4"/>
    </w:pPr>
    <w:rPr>
      <w:rFonts w:eastAsia="SimSun"/>
      <w:bCs/>
      <w:color w:val="000000"/>
      <w:lang w:eastAsia="zh-CN"/>
    </w:rPr>
  </w:style>
  <w:style w:type="character" w:customStyle="1" w:styleId="NumberedlistinParChar">
    <w:name w:val="Numbered list in Par Char"/>
    <w:basedOn w:val="a2"/>
    <w:link w:val="NumberedlistinPar"/>
    <w:rPr>
      <w:rFonts w:ascii="Arial" w:eastAsia="SimSun" w:hAnsi="Arial" w:cs="Arial"/>
      <w:bCs/>
      <w:color w:val="000000"/>
      <w:sz w:val="24"/>
      <w:szCs w:val="24"/>
      <w:lang w:eastAsia="zh-CN"/>
    </w:rPr>
  </w:style>
  <w:style w:type="paragraph" w:customStyle="1" w:styleId="BulletPar">
    <w:name w:val="Bullet Par"/>
    <w:basedOn w:val="ReportBodyTextNogap"/>
    <w:link w:val="BulletParChar"/>
    <w:qFormat/>
    <w:pPr>
      <w:numPr>
        <w:numId w:val="30"/>
      </w:numPr>
    </w:pPr>
  </w:style>
  <w:style w:type="paragraph" w:customStyle="1" w:styleId="BulletinPar">
    <w:name w:val="Bullet in Par"/>
    <w:basedOn w:val="a0"/>
    <w:link w:val="BulletinParChar"/>
    <w:qFormat/>
    <w:pPr>
      <w:widowControl/>
      <w:numPr>
        <w:ilvl w:val="2"/>
        <w:numId w:val="31"/>
      </w:numPr>
      <w:tabs>
        <w:tab w:val="left" w:pos="9180"/>
      </w:tabs>
      <w:autoSpaceDE/>
      <w:autoSpaceDN/>
      <w:ind w:left="1138" w:right="4"/>
    </w:pPr>
    <w:rPr>
      <w:rFonts w:eastAsia="SimSun"/>
      <w:bCs/>
      <w:lang w:eastAsia="zh-CN"/>
    </w:rPr>
  </w:style>
  <w:style w:type="character" w:customStyle="1" w:styleId="BulletParChar">
    <w:name w:val="Bullet Par Char"/>
    <w:basedOn w:val="ReportBodyTextNogapChar"/>
    <w:link w:val="BulletPar"/>
    <w:rPr>
      <w:rFonts w:ascii="Arial" w:eastAsia="Calibri" w:hAnsi="Arial" w:cs="Arial"/>
      <w:sz w:val="24"/>
      <w:szCs w:val="24"/>
      <w:lang w:eastAsia="en-GB"/>
    </w:rPr>
  </w:style>
  <w:style w:type="character" w:customStyle="1" w:styleId="BulletinParChar">
    <w:name w:val="Bullet in Par Char"/>
    <w:basedOn w:val="a2"/>
    <w:link w:val="BulletinPar"/>
    <w:rPr>
      <w:rFonts w:ascii="Arial" w:eastAsia="SimSun" w:hAnsi="Arial" w:cs="Arial"/>
      <w:bCs/>
      <w:color w:val="1C1C1C"/>
      <w:sz w:val="24"/>
      <w:szCs w:val="24"/>
      <w:lang w:eastAsia="zh-CN"/>
    </w:rPr>
  </w:style>
  <w:style w:type="paragraph" w:customStyle="1" w:styleId="BodyLettereditems">
    <w:name w:val="Body Lettered items"/>
    <w:basedOn w:val="ReportBody"/>
    <w:link w:val="BodyLettereditemsChar"/>
    <w:qFormat/>
    <w:pPr>
      <w:numPr>
        <w:ilvl w:val="2"/>
        <w:numId w:val="32"/>
      </w:numPr>
      <w:tabs>
        <w:tab w:val="left" w:pos="360"/>
      </w:tabs>
      <w:ind w:left="1080" w:hanging="360"/>
    </w:pPr>
  </w:style>
  <w:style w:type="character" w:customStyle="1" w:styleId="BodyLettereditemsChar">
    <w:name w:val="Body Lettered items Char"/>
    <w:basedOn w:val="ReportBodyChar"/>
    <w:link w:val="BodyLettereditems"/>
    <w:rPr>
      <w:rFonts w:ascii="Arial" w:eastAsia="Times New Roman" w:hAnsi="Arial" w:cs="Times New Roman"/>
      <w:sz w:val="24"/>
      <w:szCs w:val="24"/>
    </w:rPr>
  </w:style>
  <w:style w:type="paragraph" w:customStyle="1" w:styleId="MARKER1">
    <w:name w:val="**MARKER _1"/>
    <w:basedOn w:val="a1"/>
    <w:link w:val="MARKER1Char"/>
    <w:pPr>
      <w:widowControl/>
      <w:numPr>
        <w:numId w:val="33"/>
      </w:numPr>
      <w:tabs>
        <w:tab w:val="left" w:pos="454"/>
      </w:tabs>
      <w:autoSpaceDE/>
      <w:autoSpaceDN/>
      <w:spacing w:after="120"/>
      <w:jc w:val="both"/>
    </w:pPr>
    <w:rPr>
      <w:rFonts w:ascii="Arial" w:eastAsia="Times New Roman" w:hAnsi="Arial" w:cs="Arial"/>
      <w:sz w:val="20"/>
      <w:lang w:eastAsia="ru-RU"/>
    </w:rPr>
  </w:style>
  <w:style w:type="paragraph" w:customStyle="1" w:styleId="pj">
    <w:name w:val="pj"/>
    <w:basedOn w:val="a1"/>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0">
    <w:name w:val="s0"/>
    <w:basedOn w:val="a2"/>
  </w:style>
  <w:style w:type="character" w:customStyle="1" w:styleId="fontstyle41">
    <w:name w:val="fontstyle41"/>
    <w:basedOn w:val="a2"/>
    <w:rPr>
      <w:rFonts w:ascii="BookAntiqua-BoldItalic" w:hAnsi="BookAntiqua-BoldItalic" w:hint="default"/>
      <w:b/>
      <w:bCs/>
      <w:i/>
      <w:iCs/>
      <w:color w:val="000000"/>
      <w:sz w:val="22"/>
      <w:szCs w:val="22"/>
    </w:rPr>
  </w:style>
  <w:style w:type="character" w:customStyle="1" w:styleId="UnresolvedMention2">
    <w:name w:val="Unresolved Mention2"/>
    <w:basedOn w:val="a2"/>
    <w:uiPriority w:val="99"/>
    <w:rPr>
      <w:color w:val="605E5C"/>
      <w:shd w:val="clear" w:color="auto" w:fill="E1DFDD"/>
    </w:rPr>
  </w:style>
  <w:style w:type="paragraph" w:customStyle="1" w:styleId="DashList">
    <w:name w:val="Dash List"/>
    <w:basedOn w:val="MARKER1"/>
    <w:link w:val="DashListChar"/>
    <w:qFormat/>
    <w:pPr>
      <w:numPr>
        <w:numId w:val="34"/>
      </w:numPr>
      <w:tabs>
        <w:tab w:val="clear" w:pos="454"/>
      </w:tabs>
      <w:spacing w:after="0"/>
      <w:ind w:left="461" w:hanging="346"/>
    </w:pPr>
    <w:rPr>
      <w:sz w:val="24"/>
      <w:szCs w:val="24"/>
    </w:rPr>
  </w:style>
  <w:style w:type="paragraph" w:customStyle="1" w:styleId="Number1">
    <w:name w:val="Number 1)"/>
    <w:basedOn w:val="NumberedlistinPar"/>
    <w:link w:val="Number1Char"/>
    <w:qFormat/>
    <w:pPr>
      <w:numPr>
        <w:numId w:val="35"/>
      </w:numPr>
    </w:pPr>
  </w:style>
  <w:style w:type="character" w:customStyle="1" w:styleId="MARKER1Char">
    <w:name w:val="**MARKER _1 Char"/>
    <w:basedOn w:val="a2"/>
    <w:link w:val="MARKER1"/>
    <w:rPr>
      <w:rFonts w:ascii="Arial" w:eastAsia="Times New Roman" w:hAnsi="Arial" w:cs="Arial"/>
      <w:sz w:val="20"/>
      <w:lang w:eastAsia="ru-RU"/>
    </w:rPr>
  </w:style>
  <w:style w:type="character" w:customStyle="1" w:styleId="DashListChar">
    <w:name w:val="Dash List Char"/>
    <w:basedOn w:val="MARKER1Char"/>
    <w:link w:val="DashList"/>
    <w:rPr>
      <w:rFonts w:ascii="Arial" w:eastAsia="Times New Roman" w:hAnsi="Arial" w:cs="Arial"/>
      <w:sz w:val="24"/>
      <w:szCs w:val="24"/>
      <w:lang w:eastAsia="ru-RU"/>
    </w:rPr>
  </w:style>
  <w:style w:type="character" w:customStyle="1" w:styleId="Number1Char">
    <w:name w:val="Number 1) Char"/>
    <w:basedOn w:val="NumberedlistinParChar"/>
    <w:link w:val="Number1"/>
    <w:rPr>
      <w:rFonts w:ascii="Arial" w:eastAsia="SimSun" w:hAnsi="Arial" w:cs="Arial"/>
      <w:bCs/>
      <w:color w:val="000000"/>
      <w:sz w:val="24"/>
      <w:szCs w:val="24"/>
      <w:lang w:eastAsia="zh-CN"/>
    </w:rPr>
  </w:style>
  <w:style w:type="character" w:customStyle="1" w:styleId="hgkelc">
    <w:name w:val="hgkelc"/>
    <w:basedOn w:val="a2"/>
  </w:style>
  <w:style w:type="paragraph" w:customStyle="1" w:styleId="ALetteritems">
    <w:name w:val="A. Letter items"/>
    <w:basedOn w:val="ReportParagraphText"/>
    <w:link w:val="ALetteritemsChar"/>
    <w:qFormat/>
    <w:pPr>
      <w:numPr>
        <w:ilvl w:val="2"/>
        <w:numId w:val="36"/>
      </w:numPr>
      <w:tabs>
        <w:tab w:val="left" w:pos="360"/>
      </w:tabs>
    </w:pPr>
    <w:rPr>
      <w:b/>
    </w:rPr>
  </w:style>
  <w:style w:type="character" w:customStyle="1" w:styleId="ALetteritemsChar">
    <w:name w:val="A. Letter items Char"/>
    <w:basedOn w:val="ReportParagraphTextChar"/>
    <w:link w:val="ALetteritems"/>
    <w:rPr>
      <w:rFonts w:ascii="Arial" w:eastAsia="SimSun" w:hAnsi="Arial" w:cs="Times New Roman"/>
      <w:b/>
      <w:sz w:val="24"/>
      <w:szCs w:val="24"/>
      <w:lang w:eastAsia="zh-CN"/>
    </w:rPr>
  </w:style>
  <w:style w:type="table" w:customStyle="1" w:styleId="TableGrid2">
    <w:name w:val="Table Grid2"/>
    <w:basedOn w:val="a3"/>
    <w:uiPriority w:val="39"/>
    <w:pPr>
      <w:widowControl/>
      <w:suppressAutoHyphens/>
      <w:autoSpaceDE/>
      <w:autoSpaceDN/>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Characters">
    <w:name w:val="Footnote Characters"/>
    <w:link w:val="CharChar1CharCharCharChar1CharCharCharCharCharCharCharChar"/>
    <w:uiPriority w:val="99"/>
    <w:qFormat/>
    <w:rPr>
      <w:rFonts w:ascii="Times New Roman" w:eastAsia="Times New Roman" w:hAnsi="Times New Roman" w:cs="Times New Roman"/>
      <w:sz w:val="20"/>
      <w:szCs w:val="20"/>
      <w:vertAlign w:val="superscript"/>
    </w:rPr>
  </w:style>
  <w:style w:type="character" w:customStyle="1" w:styleId="FootnoteAnchor">
    <w:name w:val="Footnote Anchor"/>
    <w:rPr>
      <w:vertAlign w:val="superscript"/>
    </w:rPr>
  </w:style>
  <w:style w:type="character" w:styleId="affffc">
    <w:name w:val="Emphasis"/>
    <w:basedOn w:val="a2"/>
    <w:uiPriority w:val="20"/>
    <w:qFormat/>
    <w:rPr>
      <w:i/>
      <w:iCs/>
    </w:rPr>
  </w:style>
  <w:style w:type="paragraph" w:customStyle="1" w:styleId="DashedItems">
    <w:name w:val="Dashed Items"/>
    <w:basedOn w:val="a0"/>
    <w:link w:val="DashedItemsChar"/>
    <w:qFormat/>
    <w:pPr>
      <w:widowControl/>
      <w:numPr>
        <w:ilvl w:val="1"/>
        <w:numId w:val="37"/>
      </w:numPr>
      <w:tabs>
        <w:tab w:val="left" w:pos="9180"/>
      </w:tabs>
      <w:autoSpaceDE/>
      <w:autoSpaceDN/>
      <w:ind w:right="4"/>
    </w:pPr>
    <w:rPr>
      <w:rFonts w:eastAsia="SimSun"/>
      <w:bCs/>
      <w:color w:val="000000"/>
      <w:lang w:eastAsia="zh-CN"/>
    </w:rPr>
  </w:style>
  <w:style w:type="character" w:customStyle="1" w:styleId="DashedItemsChar">
    <w:name w:val="Dashed Items Char"/>
    <w:basedOn w:val="a2"/>
    <w:link w:val="DashedItems"/>
    <w:rPr>
      <w:rFonts w:ascii="Arial" w:eastAsia="SimSun" w:hAnsi="Arial" w:cs="Arial"/>
      <w:bCs/>
      <w:color w:val="000000"/>
      <w:sz w:val="24"/>
      <w:szCs w:val="24"/>
      <w:lang w:eastAsia="zh-CN"/>
    </w:rPr>
  </w:style>
  <w:style w:type="paragraph" w:customStyle="1" w:styleId="romannotbold">
    <w:name w:val="roman not bold"/>
    <w:basedOn w:val="a0"/>
    <w:link w:val="romannotboldChar"/>
    <w:qFormat/>
    <w:pPr>
      <w:widowControl/>
      <w:numPr>
        <w:ilvl w:val="3"/>
        <w:numId w:val="38"/>
      </w:numPr>
      <w:tabs>
        <w:tab w:val="left" w:pos="9180"/>
      </w:tabs>
      <w:autoSpaceDE/>
      <w:autoSpaceDN/>
      <w:ind w:left="1170" w:right="4"/>
    </w:pPr>
    <w:rPr>
      <w:rFonts w:eastAsia="SimSun"/>
      <w:bCs/>
      <w:lang w:eastAsia="zh-CN"/>
    </w:rPr>
  </w:style>
  <w:style w:type="character" w:customStyle="1" w:styleId="romannotboldChar">
    <w:name w:val="roman not bold Char"/>
    <w:basedOn w:val="a2"/>
    <w:link w:val="romannotbold"/>
    <w:rPr>
      <w:rFonts w:ascii="Arial" w:eastAsia="SimSun" w:hAnsi="Arial" w:cs="Arial"/>
      <w:bCs/>
      <w:color w:val="1C1C1C"/>
      <w:sz w:val="24"/>
      <w:szCs w:val="24"/>
      <w:lang w:eastAsia="zh-CN"/>
    </w:rPr>
  </w:style>
  <w:style w:type="paragraph" w:customStyle="1" w:styleId="12Dash">
    <w:name w:val="12 Dash"/>
    <w:basedOn w:val="DashBullet"/>
    <w:link w:val="12DashChar"/>
    <w:qFormat/>
    <w:pPr>
      <w:numPr>
        <w:ilvl w:val="0"/>
        <w:numId w:val="0"/>
      </w:numPr>
      <w:ind w:left="1530" w:hanging="360"/>
    </w:pPr>
    <w:rPr>
      <w:b/>
      <w:szCs w:val="24"/>
      <w:lang w:val="en-AU"/>
    </w:rPr>
  </w:style>
  <w:style w:type="character" w:customStyle="1" w:styleId="12DashChar">
    <w:name w:val="12 Dash Char"/>
    <w:basedOn w:val="DashBulletChar"/>
    <w:link w:val="12Dash"/>
    <w:rPr>
      <w:rFonts w:ascii="Arial" w:eastAsia="SimSun" w:hAnsi="Arial" w:cs="Arial"/>
      <w:b/>
      <w:bCs/>
      <w:color w:val="1C1C1C"/>
      <w:sz w:val="24"/>
      <w:szCs w:val="24"/>
      <w:lang w:val="en-AU" w:eastAsia="zh-CN"/>
    </w:rPr>
  </w:style>
  <w:style w:type="paragraph" w:customStyle="1" w:styleId="2ndlistpar">
    <w:name w:val="2nd list par"/>
    <w:basedOn w:val="a0"/>
    <w:link w:val="2ndlistparChar"/>
    <w:qFormat/>
    <w:pPr>
      <w:widowControl/>
      <w:tabs>
        <w:tab w:val="left" w:pos="9180"/>
      </w:tabs>
      <w:autoSpaceDE/>
      <w:autoSpaceDN/>
      <w:ind w:left="1530" w:right="4" w:hanging="360"/>
    </w:pPr>
    <w:rPr>
      <w:rFonts w:eastAsia="SimSun"/>
      <w:bCs/>
      <w:color w:val="000000"/>
      <w:szCs w:val="20"/>
      <w:lang w:eastAsia="zh-CN"/>
    </w:rPr>
  </w:style>
  <w:style w:type="character" w:customStyle="1" w:styleId="2ndlistparChar">
    <w:name w:val="2nd list par Char"/>
    <w:basedOn w:val="a9"/>
    <w:link w:val="2ndlistpar"/>
    <w:rPr>
      <w:rFonts w:ascii="Arial" w:eastAsia="SimSun" w:hAnsi="Arial" w:cs="Arial"/>
      <w:bCs/>
      <w:color w:val="000000"/>
      <w:sz w:val="24"/>
      <w:szCs w:val="20"/>
      <w:lang w:eastAsia="zh-CN"/>
    </w:rPr>
  </w:style>
  <w:style w:type="paragraph" w:customStyle="1" w:styleId="-Dash2">
    <w:name w:val="-Dash 2"/>
    <w:basedOn w:val="DashBullet"/>
    <w:link w:val="-Dash2Char"/>
    <w:qFormat/>
    <w:pPr>
      <w:numPr>
        <w:ilvl w:val="0"/>
        <w:numId w:val="0"/>
      </w:numPr>
      <w:ind w:left="1530" w:hanging="360"/>
    </w:pPr>
    <w:rPr>
      <w:lang w:val="en-PH"/>
    </w:rPr>
  </w:style>
  <w:style w:type="paragraph" w:customStyle="1" w:styleId="DiaList12">
    <w:name w:val="Dia List 12"/>
    <w:basedOn w:val="ReportBodyTextNogap"/>
    <w:link w:val="DiaList12Char"/>
    <w:qFormat/>
    <w:pPr>
      <w:numPr>
        <w:numId w:val="39"/>
      </w:numPr>
    </w:pPr>
    <w:rPr>
      <w:b/>
    </w:rPr>
  </w:style>
  <w:style w:type="character" w:customStyle="1" w:styleId="-Dash2Char">
    <w:name w:val="-Dash 2 Char"/>
    <w:basedOn w:val="DashBulletChar"/>
    <w:link w:val="-Dash2"/>
    <w:rPr>
      <w:rFonts w:ascii="Arial" w:eastAsia="SimSun" w:hAnsi="Arial" w:cs="Arial"/>
      <w:bCs/>
      <w:color w:val="1C1C1C"/>
      <w:sz w:val="24"/>
      <w:szCs w:val="20"/>
      <w:lang w:val="en-PH" w:eastAsia="zh-CN"/>
    </w:rPr>
  </w:style>
  <w:style w:type="paragraph" w:customStyle="1" w:styleId="LetterCAP">
    <w:name w:val="Letter CAP"/>
    <w:basedOn w:val="ReportBodyTextNogap"/>
    <w:link w:val="LetterCAPChar"/>
    <w:qFormat/>
    <w:pPr>
      <w:numPr>
        <w:numId w:val="40"/>
      </w:numPr>
    </w:pPr>
  </w:style>
  <w:style w:type="character" w:customStyle="1" w:styleId="DiaList12Char">
    <w:name w:val="Dia List 12 Char"/>
    <w:basedOn w:val="ReportBodyTextNogapChar"/>
    <w:link w:val="DiaList12"/>
    <w:rPr>
      <w:rFonts w:ascii="Arial" w:eastAsia="Calibri" w:hAnsi="Arial" w:cs="Arial"/>
      <w:b/>
      <w:sz w:val="24"/>
      <w:szCs w:val="24"/>
      <w:lang w:eastAsia="en-GB"/>
    </w:rPr>
  </w:style>
  <w:style w:type="paragraph" w:customStyle="1" w:styleId="Letteredsmall">
    <w:name w:val="Lettered small"/>
    <w:basedOn w:val="ReportBodyTextNogap"/>
    <w:link w:val="LetteredsmallChar"/>
    <w:qFormat/>
    <w:pPr>
      <w:numPr>
        <w:ilvl w:val="2"/>
        <w:numId w:val="41"/>
      </w:numPr>
      <w:tabs>
        <w:tab w:val="left" w:pos="360"/>
      </w:tabs>
      <w:ind w:left="900" w:firstLine="0"/>
    </w:pPr>
  </w:style>
  <w:style w:type="character" w:customStyle="1" w:styleId="LetterCAPChar">
    <w:name w:val="Letter CAP Char"/>
    <w:basedOn w:val="ReportBodyTextNogapChar"/>
    <w:link w:val="LetterCAP"/>
    <w:rPr>
      <w:rFonts w:ascii="Arial" w:eastAsia="Calibri" w:hAnsi="Arial" w:cs="Arial"/>
      <w:sz w:val="24"/>
      <w:szCs w:val="24"/>
      <w:lang w:eastAsia="en-GB"/>
    </w:rPr>
  </w:style>
  <w:style w:type="character" w:customStyle="1" w:styleId="LetteredsmallChar">
    <w:name w:val="Lettered small Char"/>
    <w:basedOn w:val="ReportBodyTextNogapChar"/>
    <w:link w:val="Letteredsmall"/>
    <w:rPr>
      <w:rFonts w:ascii="Arial" w:eastAsia="Calibri" w:hAnsi="Arial" w:cs="Arial"/>
      <w:sz w:val="24"/>
      <w:szCs w:val="24"/>
      <w:lang w:eastAsia="en-GB"/>
    </w:rPr>
  </w:style>
  <w:style w:type="paragraph" w:customStyle="1" w:styleId="Normal-PRsubhead">
    <w:name w:val="Normal-PR subhead"/>
    <w:basedOn w:val="a1"/>
    <w:next w:val="a1"/>
    <w:qFormat/>
    <w:pPr>
      <w:keepLines/>
      <w:tabs>
        <w:tab w:val="left" w:pos="113"/>
      </w:tabs>
      <w:autoSpaceDE/>
      <w:autoSpaceDN/>
    </w:pPr>
    <w:rPr>
      <w:rFonts w:ascii="Calibri" w:eastAsia="Calibri" w:hAnsi="Calibri" w:cs="Calibri"/>
      <w:noProof/>
      <w:color w:val="000000"/>
      <w:lang w:val="en-GB"/>
    </w:rPr>
  </w:style>
  <w:style w:type="paragraph" w:customStyle="1" w:styleId="bullet120">
    <w:name w:val="bullet 12"/>
    <w:basedOn w:val="a1"/>
    <w:link w:val="bullet12Char0"/>
    <w:qFormat/>
    <w:pPr>
      <w:widowControl/>
      <w:tabs>
        <w:tab w:val="left" w:pos="0"/>
      </w:tabs>
      <w:suppressAutoHyphens/>
      <w:autoSpaceDE/>
      <w:autoSpaceDN/>
      <w:ind w:left="2700" w:hanging="720"/>
      <w:jc w:val="both"/>
    </w:pPr>
    <w:rPr>
      <w:rFonts w:ascii="Arial" w:eastAsia="Times New Roman" w:hAnsi="Arial" w:cs="Arial"/>
      <w:sz w:val="24"/>
      <w:szCs w:val="24"/>
      <w:lang w:val="en-GB"/>
    </w:rPr>
  </w:style>
  <w:style w:type="character" w:customStyle="1" w:styleId="bullet12Char0">
    <w:name w:val="bullet 12 Char"/>
    <w:basedOn w:val="a2"/>
    <w:link w:val="bullet120"/>
    <w:rPr>
      <w:rFonts w:ascii="Arial" w:eastAsia="Times New Roman" w:hAnsi="Arial" w:cs="Arial"/>
      <w:sz w:val="24"/>
      <w:szCs w:val="24"/>
      <w:lang w:val="en-GB"/>
    </w:rPr>
  </w:style>
  <w:style w:type="paragraph" w:customStyle="1" w:styleId="Subsection">
    <w:name w:val="Sub section"/>
    <w:basedOn w:val="a1"/>
    <w:link w:val="SubsectionChar"/>
    <w:qFormat/>
    <w:pPr>
      <w:widowControl/>
      <w:shd w:val="clear" w:color="auto" w:fill="FFFFFF"/>
      <w:autoSpaceDE/>
      <w:autoSpaceDN/>
    </w:pPr>
    <w:rPr>
      <w:rFonts w:ascii="Times New Roman" w:eastAsia="Times New Roman" w:hAnsi="Times New Roman" w:cs="Times New Roman"/>
      <w:b/>
      <w:color w:val="1A1A1A"/>
      <w:sz w:val="24"/>
      <w:szCs w:val="24"/>
      <w:lang w:eastAsia="ru-RU"/>
    </w:rPr>
  </w:style>
  <w:style w:type="character" w:customStyle="1" w:styleId="SubsectionChar">
    <w:name w:val="Sub section Char"/>
    <w:basedOn w:val="a2"/>
    <w:link w:val="Subsection"/>
    <w:rPr>
      <w:rFonts w:ascii="Times New Roman" w:eastAsia="Times New Roman" w:hAnsi="Times New Roman" w:cs="Times New Roman"/>
      <w:b/>
      <w:color w:val="1A1A1A"/>
      <w:sz w:val="24"/>
      <w:szCs w:val="24"/>
      <w:shd w:val="clear" w:color="auto" w:fill="FFFFFF"/>
      <w:lang w:eastAsia="ru-RU"/>
    </w:rPr>
  </w:style>
  <w:style w:type="paragraph" w:customStyle="1" w:styleId="UnderlineBold">
    <w:name w:val="Underline Bold"/>
    <w:basedOn w:val="ReportBodyTextNogap"/>
    <w:link w:val="UnderlineBoldChar"/>
    <w:qFormat/>
    <w:rPr>
      <w:b/>
      <w:u w:val="single"/>
    </w:rPr>
  </w:style>
  <w:style w:type="paragraph" w:customStyle="1" w:styleId="ADBbullets">
    <w:name w:val="ADB bullets"/>
    <w:basedOn w:val="a1"/>
    <w:link w:val="ADBbullets0"/>
    <w:qFormat/>
    <w:pPr>
      <w:numPr>
        <w:numId w:val="42"/>
      </w:numPr>
      <w:tabs>
        <w:tab w:val="left" w:pos="0"/>
        <w:tab w:val="left" w:pos="709"/>
      </w:tabs>
      <w:autoSpaceDE/>
      <w:autoSpaceDN/>
      <w:adjustRightInd w:val="0"/>
      <w:snapToGrid w:val="0"/>
      <w:spacing w:before="120" w:after="120"/>
      <w:contextualSpacing/>
      <w:jc w:val="both"/>
    </w:pPr>
    <w:rPr>
      <w:rFonts w:ascii="Arial" w:eastAsia="SimSun" w:hAnsi="Arial" w:cs="Arial"/>
      <w:bCs/>
      <w:iCs/>
      <w:spacing w:val="2"/>
      <w:kern w:val="32"/>
      <w:szCs w:val="18"/>
      <w:lang w:val="en-PH" w:eastAsia="zh-CN" w:bidi="en-US"/>
    </w:rPr>
  </w:style>
  <w:style w:type="character" w:customStyle="1" w:styleId="UnderlineBoldChar">
    <w:name w:val="Underline Bold Char"/>
    <w:basedOn w:val="ReportBodyTextNogapChar"/>
    <w:link w:val="UnderlineBold"/>
    <w:rPr>
      <w:rFonts w:ascii="Arial" w:eastAsia="Calibri" w:hAnsi="Arial" w:cs="Arial"/>
      <w:b/>
      <w:sz w:val="24"/>
      <w:szCs w:val="24"/>
      <w:u w:val="single"/>
      <w:lang w:eastAsia="en-GB"/>
    </w:rPr>
  </w:style>
  <w:style w:type="character" w:customStyle="1" w:styleId="ADBbullets0">
    <w:name w:val="ADB bullets Знак"/>
    <w:basedOn w:val="a2"/>
    <w:link w:val="ADBbullets"/>
    <w:rPr>
      <w:rFonts w:ascii="Arial" w:eastAsia="SimSun" w:hAnsi="Arial" w:cs="Arial"/>
      <w:bCs/>
      <w:iCs/>
      <w:spacing w:val="2"/>
      <w:kern w:val="32"/>
      <w:szCs w:val="18"/>
      <w:lang w:val="en-PH" w:eastAsia="zh-CN" w:bidi="en-US"/>
    </w:rPr>
  </w:style>
  <w:style w:type="paragraph" w:customStyle="1" w:styleId="ADBNum">
    <w:name w:val="ADB Num"/>
    <w:basedOn w:val="a1"/>
    <w:link w:val="ADBNum0"/>
    <w:qFormat/>
    <w:pPr>
      <w:numPr>
        <w:numId w:val="43"/>
      </w:numPr>
      <w:tabs>
        <w:tab w:val="left" w:pos="0"/>
        <w:tab w:val="left" w:pos="567"/>
      </w:tabs>
      <w:autoSpaceDE/>
      <w:autoSpaceDN/>
      <w:adjustRightInd w:val="0"/>
      <w:snapToGrid w:val="0"/>
      <w:spacing w:before="120" w:after="120"/>
      <w:ind w:left="0" w:firstLine="0"/>
      <w:jc w:val="both"/>
    </w:pPr>
    <w:rPr>
      <w:rFonts w:ascii="Arial" w:eastAsia="SimSun" w:hAnsi="Arial" w:cs="Arial"/>
      <w:bCs/>
      <w:iCs/>
      <w:spacing w:val="2"/>
      <w:kern w:val="32"/>
      <w:szCs w:val="18"/>
      <w:lang w:val="en-PH" w:eastAsia="zh-CN" w:bidi="en-US"/>
    </w:rPr>
  </w:style>
  <w:style w:type="character" w:customStyle="1" w:styleId="ADBNum0">
    <w:name w:val="ADB Num Знак"/>
    <w:basedOn w:val="a2"/>
    <w:link w:val="ADBNum"/>
    <w:rPr>
      <w:rFonts w:ascii="Arial" w:eastAsia="SimSun" w:hAnsi="Arial" w:cs="Arial"/>
      <w:bCs/>
      <w:iCs/>
      <w:spacing w:val="2"/>
      <w:kern w:val="32"/>
      <w:szCs w:val="18"/>
      <w:lang w:val="en-PH" w:eastAsia="zh-CN" w:bidi="en-US"/>
    </w:rPr>
  </w:style>
  <w:style w:type="paragraph" w:customStyle="1" w:styleId="BulletBold">
    <w:name w:val="Bullet Bold"/>
    <w:basedOn w:val="BulletinPar"/>
    <w:link w:val="BulletBoldChar"/>
    <w:qFormat/>
    <w:pPr>
      <w:ind w:left="5220"/>
    </w:pPr>
    <w:rPr>
      <w:b/>
    </w:rPr>
  </w:style>
  <w:style w:type="character" w:customStyle="1" w:styleId="BulletBoldChar">
    <w:name w:val="Bullet Bold Char"/>
    <w:basedOn w:val="BulletinParChar"/>
    <w:link w:val="BulletBold"/>
    <w:rPr>
      <w:rFonts w:ascii="Arial" w:eastAsia="SimSun" w:hAnsi="Arial" w:cs="Arial"/>
      <w:b/>
      <w:bCs/>
      <w:color w:val="1C1C1C"/>
      <w:sz w:val="24"/>
      <w:szCs w:val="24"/>
      <w:lang w:eastAsia="zh-CN"/>
    </w:rPr>
  </w:style>
  <w:style w:type="paragraph" w:customStyle="1" w:styleId="Squarelist">
    <w:name w:val="Square list"/>
    <w:basedOn w:val="ReportBodyTextNogap"/>
    <w:link w:val="SquarelistChar"/>
    <w:qFormat/>
    <w:pPr>
      <w:numPr>
        <w:numId w:val="44"/>
      </w:numPr>
      <w:ind w:left="2160"/>
    </w:pPr>
  </w:style>
  <w:style w:type="paragraph" w:customStyle="1" w:styleId="Underline2">
    <w:name w:val="Underline 2"/>
    <w:basedOn w:val="BulletinPar"/>
    <w:link w:val="Underline2Char"/>
    <w:qFormat/>
    <w:pPr>
      <w:numPr>
        <w:ilvl w:val="0"/>
        <w:numId w:val="0"/>
      </w:numPr>
      <w:ind w:left="1138"/>
    </w:pPr>
    <w:rPr>
      <w:u w:val="single"/>
      <w:lang w:val="en-PH"/>
    </w:rPr>
  </w:style>
  <w:style w:type="character" w:customStyle="1" w:styleId="SquarelistChar">
    <w:name w:val="Square list Char"/>
    <w:basedOn w:val="ReportBodyTextNogapChar"/>
    <w:link w:val="Squarelist"/>
    <w:rPr>
      <w:rFonts w:ascii="Arial" w:eastAsia="Calibri" w:hAnsi="Arial" w:cs="Arial"/>
      <w:sz w:val="24"/>
      <w:szCs w:val="24"/>
      <w:lang w:eastAsia="en-GB"/>
    </w:rPr>
  </w:style>
  <w:style w:type="character" w:customStyle="1" w:styleId="DashChar">
    <w:name w:val="Dash Char"/>
    <w:basedOn w:val="a2"/>
    <w:link w:val="Dash"/>
    <w:rPr>
      <w:rFonts w:ascii="Arial" w:eastAsia="TimesNewRomanPSMT" w:hAnsi="Arial" w:cs="Arial"/>
      <w:color w:val="000000"/>
      <w:sz w:val="24"/>
      <w:szCs w:val="24"/>
    </w:rPr>
  </w:style>
  <w:style w:type="character" w:customStyle="1" w:styleId="Underline2Char">
    <w:name w:val="Underline 2 Char"/>
    <w:basedOn w:val="BulletinParChar"/>
    <w:link w:val="Underline2"/>
    <w:rPr>
      <w:rFonts w:ascii="Arial" w:eastAsia="SimSun" w:hAnsi="Arial" w:cs="Arial"/>
      <w:bCs/>
      <w:color w:val="1C1C1C"/>
      <w:sz w:val="24"/>
      <w:szCs w:val="24"/>
      <w:u w:val="single"/>
      <w:lang w:val="en-PH" w:eastAsia="zh-CN"/>
    </w:rPr>
  </w:style>
  <w:style w:type="paragraph" w:customStyle="1" w:styleId="Dash">
    <w:name w:val="Dash"/>
    <w:basedOn w:val="a1"/>
    <w:link w:val="DashChar"/>
    <w:qFormat/>
    <w:pPr>
      <w:widowControl/>
      <w:numPr>
        <w:numId w:val="45"/>
      </w:numPr>
      <w:autoSpaceDE/>
      <w:autoSpaceDN/>
      <w:spacing w:line="288" w:lineRule="auto"/>
      <w:jc w:val="both"/>
    </w:pPr>
    <w:rPr>
      <w:rFonts w:ascii="Arial" w:eastAsia="TimesNewRomanPSMT" w:hAnsi="Arial" w:cs="Arial"/>
      <w:color w:val="000000"/>
      <w:sz w:val="24"/>
      <w:szCs w:val="24"/>
    </w:rPr>
  </w:style>
  <w:style w:type="character" w:customStyle="1" w:styleId="BulletChar">
    <w:name w:val="Bullet Char"/>
    <w:basedOn w:val="DashChar"/>
    <w:link w:val="Bullet"/>
    <w:rPr>
      <w:rFonts w:ascii="Arial" w:eastAsia="TimesNewRomanPSMT" w:hAnsi="Arial" w:cs="Arial"/>
      <w:color w:val="000000"/>
      <w:sz w:val="24"/>
      <w:szCs w:val="24"/>
    </w:rPr>
  </w:style>
  <w:style w:type="paragraph" w:customStyle="1" w:styleId="Bullet">
    <w:name w:val="Bullet"/>
    <w:basedOn w:val="Dash"/>
    <w:link w:val="BulletChar"/>
    <w:qFormat/>
    <w:pPr>
      <w:numPr>
        <w:numId w:val="46"/>
      </w:numPr>
      <w:spacing w:line="240" w:lineRule="auto"/>
      <w:ind w:left="332" w:hanging="274"/>
    </w:pPr>
    <w:rPr>
      <w:rFonts w:eastAsia="Calibri"/>
    </w:rPr>
  </w:style>
  <w:style w:type="character" w:customStyle="1" w:styleId="CirlceBulletChar">
    <w:name w:val="Cirlce Bullet Char"/>
    <w:basedOn w:val="a2"/>
    <w:link w:val="CirlceBullet"/>
    <w:rPr>
      <w:rFonts w:ascii="Arial" w:eastAsia="TimesNewRomanPSMT" w:hAnsi="Arial" w:cs="Arial"/>
      <w:color w:val="000000"/>
      <w:sz w:val="24"/>
      <w:szCs w:val="24"/>
    </w:rPr>
  </w:style>
  <w:style w:type="paragraph" w:customStyle="1" w:styleId="CirlceBullet">
    <w:name w:val="Cirlce Bullet"/>
    <w:basedOn w:val="a0"/>
    <w:link w:val="CirlceBulletChar"/>
    <w:qFormat/>
    <w:pPr>
      <w:widowControl/>
      <w:numPr>
        <w:ilvl w:val="1"/>
        <w:numId w:val="47"/>
      </w:numPr>
      <w:autoSpaceDE/>
      <w:autoSpaceDN/>
      <w:spacing w:line="288" w:lineRule="auto"/>
      <w:ind w:left="690" w:right="4"/>
      <w:contextualSpacing/>
    </w:pPr>
    <w:rPr>
      <w:rFonts w:eastAsia="TimesNewRomanPSMT"/>
      <w:color w:val="000000"/>
    </w:rPr>
  </w:style>
  <w:style w:type="character" w:customStyle="1" w:styleId="TextinTableChar">
    <w:name w:val="Text in Table Char"/>
    <w:basedOn w:val="a2"/>
    <w:link w:val="TextinTable"/>
    <w:rPr>
      <w:rFonts w:ascii="Arial" w:hAnsi="Arial" w:cs="Arial"/>
      <w:color w:val="000000"/>
      <w:sz w:val="24"/>
      <w:szCs w:val="24"/>
    </w:rPr>
  </w:style>
  <w:style w:type="paragraph" w:customStyle="1" w:styleId="TextinTable">
    <w:name w:val="Text in Table"/>
    <w:basedOn w:val="a1"/>
    <w:link w:val="TextinTableChar"/>
    <w:qFormat/>
    <w:pPr>
      <w:widowControl/>
      <w:autoSpaceDE/>
      <w:autoSpaceDN/>
      <w:spacing w:line="288" w:lineRule="auto"/>
      <w:ind w:left="340" w:hanging="270"/>
      <w:jc w:val="both"/>
    </w:pPr>
    <w:rPr>
      <w:rFonts w:ascii="Arial" w:eastAsia="Calibri" w:hAnsi="Arial" w:cs="Arial"/>
      <w:color w:val="000000"/>
      <w:sz w:val="24"/>
      <w:szCs w:val="24"/>
    </w:rPr>
  </w:style>
  <w:style w:type="paragraph" w:customStyle="1" w:styleId="BulletTable">
    <w:name w:val="Bullet (Table)"/>
    <w:basedOn w:val="a0"/>
    <w:link w:val="BulletTableChar"/>
    <w:qFormat/>
    <w:pPr>
      <w:widowControl/>
      <w:numPr>
        <w:ilvl w:val="3"/>
        <w:numId w:val="48"/>
      </w:numPr>
      <w:shd w:val="clear" w:color="auto" w:fill="FFFFFF"/>
      <w:tabs>
        <w:tab w:val="left" w:pos="9180"/>
      </w:tabs>
      <w:suppressAutoHyphens/>
      <w:autoSpaceDE/>
      <w:autoSpaceDN/>
      <w:ind w:left="317" w:right="34"/>
    </w:pPr>
    <w:rPr>
      <w:rFonts w:eastAsia="Calibri"/>
      <w:bCs/>
      <w:color w:val="000000"/>
      <w:sz w:val="18"/>
      <w:szCs w:val="18"/>
      <w:lang w:eastAsia="zh-CN"/>
    </w:rPr>
  </w:style>
  <w:style w:type="character" w:customStyle="1" w:styleId="BulletTableChar">
    <w:name w:val="Bullet (Table) Char"/>
    <w:basedOn w:val="a2"/>
    <w:link w:val="BulletTable"/>
    <w:rPr>
      <w:rFonts w:ascii="Arial" w:hAnsi="Arial" w:cs="Arial"/>
      <w:bCs/>
      <w:color w:val="000000"/>
      <w:sz w:val="18"/>
      <w:szCs w:val="18"/>
      <w:shd w:val="clear" w:color="auto" w:fill="FFFFFF"/>
      <w:lang w:eastAsia="zh-CN"/>
    </w:rPr>
  </w:style>
  <w:style w:type="paragraph" w:customStyle="1" w:styleId="BoldTableTitle">
    <w:name w:val="Bold Table Title"/>
    <w:basedOn w:val="BulletTable"/>
    <w:link w:val="BoldTableTitleChar"/>
    <w:qFormat/>
    <w:pPr>
      <w:numPr>
        <w:ilvl w:val="0"/>
        <w:numId w:val="0"/>
      </w:numPr>
      <w:ind w:left="356" w:hanging="356"/>
    </w:pPr>
    <w:rPr>
      <w:b/>
    </w:rPr>
  </w:style>
  <w:style w:type="character" w:customStyle="1" w:styleId="BoldTableTitleChar">
    <w:name w:val="Bold Table Title Char"/>
    <w:basedOn w:val="BulletTableChar"/>
    <w:link w:val="BoldTableTitle"/>
    <w:rPr>
      <w:rFonts w:ascii="Arial" w:eastAsia="Calibri" w:hAnsi="Arial" w:cs="Arial"/>
      <w:b/>
      <w:bCs/>
      <w:color w:val="000000"/>
      <w:sz w:val="18"/>
      <w:szCs w:val="18"/>
      <w:shd w:val="clear" w:color="auto" w:fill="FFFFFF"/>
      <w:lang w:eastAsia="zh-CN"/>
    </w:rPr>
  </w:style>
  <w:style w:type="paragraph" w:customStyle="1" w:styleId="CapitalLetters12nospace">
    <w:name w:val="Capital Letters (12) no space"/>
    <w:basedOn w:val="ReportBodyPar"/>
    <w:link w:val="CapitalLetters12nospaceChar"/>
    <w:qFormat/>
    <w:rPr>
      <w:b/>
    </w:rPr>
  </w:style>
  <w:style w:type="character" w:customStyle="1" w:styleId="CapitalLetters12nospaceChar">
    <w:name w:val="Capital Letters (12) no space Char"/>
    <w:basedOn w:val="ReportBodyParChar"/>
    <w:link w:val="CapitalLetters12nospace"/>
    <w:rPr>
      <w:rFonts w:ascii="Arial" w:eastAsia="Calibri" w:hAnsi="Arial" w:cs="Arial"/>
      <w:b/>
      <w:sz w:val="24"/>
      <w:szCs w:val="24"/>
      <w:lang w:eastAsia="en-GB"/>
    </w:rPr>
  </w:style>
  <w:style w:type="paragraph" w:customStyle="1" w:styleId="BulletinTable">
    <w:name w:val="Bullet in Table"/>
    <w:basedOn w:val="a1"/>
    <w:link w:val="BulletinTableChar"/>
    <w:qFormat/>
    <w:pPr>
      <w:widowControl/>
      <w:numPr>
        <w:numId w:val="49"/>
      </w:numPr>
      <w:autoSpaceDE/>
      <w:autoSpaceDN/>
      <w:spacing w:line="276" w:lineRule="auto"/>
      <w:contextualSpacing/>
      <w:jc w:val="both"/>
    </w:pPr>
    <w:rPr>
      <w:rFonts w:ascii="Arial" w:eastAsia="Calibri" w:hAnsi="Arial" w:cs="Arial"/>
      <w:sz w:val="20"/>
      <w:szCs w:val="20"/>
    </w:rPr>
  </w:style>
  <w:style w:type="paragraph" w:customStyle="1" w:styleId="Dash2Table">
    <w:name w:val="Dash (2) Table"/>
    <w:basedOn w:val="DashinTable"/>
    <w:link w:val="Dash2TableChar"/>
    <w:qFormat/>
    <w:pPr>
      <w:framePr w:wrap="around"/>
      <w:numPr>
        <w:ilvl w:val="0"/>
        <w:numId w:val="50"/>
      </w:numPr>
      <w:ind w:left="610"/>
    </w:pPr>
  </w:style>
  <w:style w:type="character" w:customStyle="1" w:styleId="BulletinTableChar">
    <w:name w:val="Bullet in Table Char"/>
    <w:basedOn w:val="a2"/>
    <w:link w:val="BulletinTable"/>
    <w:rPr>
      <w:rFonts w:ascii="Arial" w:hAnsi="Arial" w:cs="Arial"/>
      <w:sz w:val="20"/>
      <w:szCs w:val="20"/>
    </w:rPr>
  </w:style>
  <w:style w:type="character" w:customStyle="1" w:styleId="Dash2TableChar">
    <w:name w:val="Dash (2) Table Char"/>
    <w:basedOn w:val="DashinTableChar"/>
    <w:link w:val="Dash2Table"/>
    <w:rPr>
      <w:rFonts w:ascii="Arial" w:eastAsia="SimSun" w:hAnsi="Arial" w:cs="Arial"/>
      <w:bCs/>
      <w:color w:val="1C1C1C"/>
      <w:sz w:val="20"/>
      <w:szCs w:val="20"/>
      <w:lang w:eastAsia="zh-CN"/>
    </w:rPr>
  </w:style>
  <w:style w:type="paragraph" w:customStyle="1" w:styleId="ftrefChar1">
    <w:name w:val="ftref Char1"/>
    <w:aliases w:val="ftref Знак Char,ftref Char Знак Char,ftref Char Car Char Car Char Car Car Char Car Car Char Знак Char,BVI fnr Char Car Char Car Char Car Car Char Car Car Car Car Car Car Car Car Car Char Знак Знак Char Cha"/>
    <w:basedOn w:val="a1"/>
    <w:uiPriority w:val="99"/>
    <w:pPr>
      <w:widowControl/>
      <w:autoSpaceDE/>
      <w:autoSpaceDN/>
      <w:spacing w:before="120" w:after="160" w:line="240" w:lineRule="exact"/>
      <w:jc w:val="both"/>
    </w:pPr>
    <w:rPr>
      <w:rFonts w:ascii="Times New Roman" w:eastAsia="Calibri" w:hAnsi="Times New Roman" w:cs="SimSun"/>
      <w:sz w:val="24"/>
      <w:vertAlign w:val="superscript"/>
    </w:rPr>
  </w:style>
  <w:style w:type="character" w:styleId="affffd">
    <w:name w:val="Intense Emphasis"/>
    <w:aliases w:val="Table Header"/>
    <w:basedOn w:val="affffc"/>
    <w:uiPriority w:val="21"/>
    <w:qFormat/>
    <w:rPr>
      <w:rFonts w:ascii="Arial" w:hAnsi="Arial"/>
      <w:b/>
      <w:i/>
      <w:iCs/>
      <w:sz w:val="20"/>
    </w:rPr>
  </w:style>
  <w:style w:type="paragraph" w:customStyle="1" w:styleId="msonormalmrcssattr">
    <w:name w:val="msonormal_mr_css_attr"/>
    <w:basedOn w:val="a1"/>
    <w:pPr>
      <w:widowControl/>
      <w:autoSpaceDE/>
      <w:autoSpaceDN/>
      <w:spacing w:before="100" w:beforeAutospacing="1" w:after="100" w:afterAutospacing="1"/>
    </w:pPr>
    <w:rPr>
      <w:rFonts w:ascii="Times New Roman" w:eastAsia="Calibri" w:hAnsi="Times New Roman" w:cs="Times New Roman"/>
      <w:sz w:val="24"/>
      <w:szCs w:val="24"/>
    </w:rPr>
  </w:style>
  <w:style w:type="character" w:customStyle="1" w:styleId="Mention1">
    <w:name w:val="Mention1"/>
    <w:basedOn w:val="a2"/>
    <w:uiPriority w:val="99"/>
    <w:rPr>
      <w:color w:val="2B579A"/>
      <w:shd w:val="clear" w:color="auto" w:fill="E6E6E6"/>
    </w:rPr>
  </w:style>
  <w:style w:type="paragraph" w:customStyle="1" w:styleId="Numberinpara">
    <w:name w:val="Number in para"/>
    <w:basedOn w:val="NumberedlistinPar"/>
    <w:link w:val="NumberinparaChar"/>
    <w:qFormat/>
    <w:pPr>
      <w:numPr>
        <w:numId w:val="51"/>
      </w:numPr>
      <w:ind w:left="720"/>
    </w:pPr>
  </w:style>
  <w:style w:type="character" w:customStyle="1" w:styleId="NumberinparaChar">
    <w:name w:val="Number in para Char"/>
    <w:basedOn w:val="NumberedlistinParChar"/>
    <w:link w:val="Numberinpara"/>
    <w:rPr>
      <w:rFonts w:ascii="Arial" w:eastAsia="SimSun" w:hAnsi="Arial" w:cs="Arial"/>
      <w:bCs/>
      <w:color w:val="000000"/>
      <w:sz w:val="24"/>
      <w:szCs w:val="24"/>
      <w:lang w:eastAsia="zh-CN"/>
    </w:rPr>
  </w:style>
  <w:style w:type="paragraph" w:customStyle="1" w:styleId="ReportParagraph">
    <w:name w:val="Report Paragraph"/>
    <w:basedOn w:val="a1"/>
    <w:link w:val="ReportParagraphChar"/>
    <w:qFormat/>
    <w:pPr>
      <w:widowControl/>
      <w:autoSpaceDE/>
      <w:autoSpaceDN/>
      <w:jc w:val="both"/>
    </w:pPr>
    <w:rPr>
      <w:rFonts w:ascii="Arial" w:eastAsia="Arial" w:hAnsi="Arial" w:cs="Arial"/>
      <w:sz w:val="24"/>
      <w:szCs w:val="24"/>
      <w:lang w:eastAsia="en-PH"/>
    </w:rPr>
  </w:style>
  <w:style w:type="character" w:customStyle="1" w:styleId="ReportParagraphChar">
    <w:name w:val="Report Paragraph Char"/>
    <w:basedOn w:val="a2"/>
    <w:link w:val="ReportParagraph"/>
    <w:rPr>
      <w:rFonts w:ascii="Arial" w:eastAsia="Arial" w:hAnsi="Arial" w:cs="Arial"/>
      <w:sz w:val="24"/>
      <w:szCs w:val="24"/>
      <w:lang w:eastAsia="en-PH"/>
    </w:rPr>
  </w:style>
  <w:style w:type="paragraph" w:customStyle="1" w:styleId="TableCaption">
    <w:name w:val="Table Caption"/>
    <w:basedOn w:val="ad"/>
    <w:link w:val="TableCaptionChar"/>
    <w:qFormat/>
    <w:pPr>
      <w:widowControl/>
      <w:autoSpaceDE/>
      <w:autoSpaceDN/>
      <w:snapToGrid w:val="0"/>
      <w:spacing w:after="0"/>
      <w:ind w:left="115"/>
      <w:jc w:val="center"/>
    </w:pPr>
    <w:rPr>
      <w:rFonts w:ascii="Arial" w:eastAsia="Times New Roman" w:hAnsi="Arial" w:cs="Arial"/>
      <w:b/>
      <w:bCs/>
      <w:i w:val="0"/>
      <w:iCs w:val="0"/>
      <w:color w:val="auto"/>
      <w:sz w:val="24"/>
    </w:rPr>
  </w:style>
  <w:style w:type="character" w:customStyle="1" w:styleId="TableCaptionChar">
    <w:name w:val="Table Caption Char"/>
    <w:basedOn w:val="ae"/>
    <w:link w:val="TableCaption"/>
    <w:rPr>
      <w:rFonts w:ascii="Arial" w:eastAsia="Times New Roman" w:hAnsi="Arial" w:cs="Arial"/>
      <w:b/>
      <w:bCs/>
      <w:i w:val="0"/>
      <w:iCs w:val="0"/>
      <w:color w:val="1F497D"/>
      <w:sz w:val="24"/>
      <w:szCs w:val="18"/>
    </w:rPr>
  </w:style>
  <w:style w:type="paragraph" w:customStyle="1" w:styleId="1111Heading">
    <w:name w:val="1.1.1.1 Heading"/>
    <w:basedOn w:val="20"/>
    <w:link w:val="1111HeadingChar"/>
    <w:qFormat/>
    <w:pPr>
      <w:keepNext/>
      <w:keepLines/>
      <w:numPr>
        <w:ilvl w:val="3"/>
        <w:numId w:val="52"/>
      </w:numPr>
      <w:tabs>
        <w:tab w:val="left" w:pos="1110"/>
      </w:tabs>
      <w:spacing w:before="240"/>
      <w:ind w:left="1109" w:hanging="965"/>
    </w:pPr>
    <w:rPr>
      <w:b w:val="0"/>
      <w:color w:val="000000"/>
    </w:rPr>
  </w:style>
  <w:style w:type="character" w:customStyle="1" w:styleId="1111HeadingChar">
    <w:name w:val="1.1.1.1 Heading Char"/>
    <w:basedOn w:val="60"/>
    <w:link w:val="1111Heading"/>
    <w:rPr>
      <w:rFonts w:ascii="Arial" w:eastAsia="Verdana" w:hAnsi="Arial" w:cs="Arial"/>
      <w:color w:val="000000"/>
      <w:sz w:val="24"/>
      <w:szCs w:val="24"/>
    </w:rPr>
  </w:style>
  <w:style w:type="paragraph" w:customStyle="1" w:styleId="Maye1">
    <w:name w:val="Maye 1"/>
    <w:basedOn w:val="31"/>
    <w:link w:val="Maye1Char"/>
    <w:qFormat/>
    <w:pPr>
      <w:numPr>
        <w:ilvl w:val="3"/>
        <w:numId w:val="0"/>
      </w:numPr>
    </w:pPr>
  </w:style>
  <w:style w:type="character" w:customStyle="1" w:styleId="Maye1Char">
    <w:name w:val="Maye 1 Char"/>
    <w:basedOn w:val="32"/>
    <w:link w:val="Maye1"/>
    <w:rPr>
      <w:rFonts w:ascii="Arial" w:eastAsia="Verdana" w:hAnsi="Arial" w:cs="Arial"/>
      <w:b/>
      <w:sz w:val="24"/>
      <w:szCs w:val="24"/>
      <w:lang w:eastAsia="en-PH"/>
    </w:rPr>
  </w:style>
  <w:style w:type="character" w:customStyle="1" w:styleId="relative">
    <w:name w:val="relative"/>
    <w:basedOn w:val="a2"/>
  </w:style>
  <w:style w:type="character" w:customStyle="1" w:styleId="ms-1">
    <w:name w:val="ms-1"/>
    <w:basedOn w:val="a2"/>
  </w:style>
  <w:style w:type="character" w:customStyle="1" w:styleId="max-w-full">
    <w:name w:val="max-w-full"/>
    <w:basedOn w:val="a2"/>
  </w:style>
  <w:style w:type="character" w:customStyle="1" w:styleId="-me-1">
    <w:name w:val="-me-1"/>
    <w:basedOn w:val="a2"/>
  </w:style>
  <w:style w:type="paragraph" w:customStyle="1" w:styleId="numbereditemsinpar">
    <w:name w:val="numbered items in par"/>
    <w:basedOn w:val="a0"/>
    <w:qFormat/>
    <w:pPr>
      <w:widowControl/>
      <w:numPr>
        <w:numId w:val="53"/>
      </w:numPr>
      <w:tabs>
        <w:tab w:val="clear" w:pos="540"/>
        <w:tab w:val="clear" w:pos="542"/>
      </w:tabs>
      <w:autoSpaceDE/>
      <w:autoSpaceDN/>
      <w:ind w:right="0"/>
    </w:pPr>
    <w:rPr>
      <w:rFonts w:eastAsia="SimSun"/>
      <w:color w:val="auto"/>
      <w:szCs w:val="22"/>
      <w:lang w:eastAsia="zh-CN"/>
    </w:rPr>
  </w:style>
  <w:style w:type="paragraph" w:customStyle="1" w:styleId="Appnumbereditems">
    <w:name w:val="App numbered items"/>
    <w:basedOn w:val="a5"/>
    <w:qFormat/>
    <w:pPr>
      <w:widowControl/>
      <w:numPr>
        <w:numId w:val="54"/>
      </w:numPr>
      <w:tabs>
        <w:tab w:val="left" w:pos="360"/>
        <w:tab w:val="left" w:pos="1440"/>
      </w:tabs>
      <w:autoSpaceDE/>
      <w:autoSpaceDN/>
      <w:ind w:left="878" w:hanging="518"/>
    </w:pPr>
    <w:rPr>
      <w:rFonts w:ascii="Arial" w:eastAsia="Arial" w:hAnsi="Arial" w:cs="Arial"/>
      <w:sz w:val="24"/>
      <w:szCs w:val="24"/>
      <w:lang w:eastAsia="en-PH"/>
    </w:rPr>
  </w:style>
  <w:style w:type="paragraph" w:customStyle="1" w:styleId="Simple">
    <w:name w:val="Simple"/>
    <w:basedOn w:val="a1"/>
    <w:link w:val="SimpleChar"/>
    <w:qFormat/>
    <w:pPr>
      <w:widowControl/>
      <w:autoSpaceDE/>
      <w:autoSpaceDN/>
      <w:jc w:val="both"/>
    </w:pPr>
    <w:rPr>
      <w:rFonts w:ascii="Arial" w:eastAsia="Arial" w:hAnsi="Arial" w:cs="Arial"/>
      <w:noProof/>
      <w:sz w:val="24"/>
      <w:szCs w:val="24"/>
      <w:lang w:eastAsia="en-PH"/>
    </w:rPr>
  </w:style>
  <w:style w:type="character" w:customStyle="1" w:styleId="SimpleChar">
    <w:name w:val="Simple Char"/>
    <w:basedOn w:val="a2"/>
    <w:link w:val="Simple"/>
    <w:rPr>
      <w:rFonts w:ascii="Arial" w:eastAsia="Arial" w:hAnsi="Arial" w:cs="Arial"/>
      <w:noProof/>
      <w:sz w:val="24"/>
      <w:szCs w:val="24"/>
      <w:lang w:eastAsia="en-PH"/>
    </w:rPr>
  </w:style>
  <w:style w:type="paragraph" w:customStyle="1" w:styleId="2ndParaBody">
    <w:name w:val="2nd Para Body"/>
    <w:basedOn w:val="ReportParagraph"/>
    <w:link w:val="2ndParaBodyChar"/>
    <w:qFormat/>
    <w:pPr>
      <w:ind w:left="360"/>
    </w:pPr>
  </w:style>
  <w:style w:type="character" w:customStyle="1" w:styleId="2ndParaBodyChar">
    <w:name w:val="2nd Para Body Char"/>
    <w:basedOn w:val="ReportParagraphChar"/>
    <w:link w:val="2ndParaBody"/>
    <w:rPr>
      <w:rFonts w:ascii="Arial" w:eastAsia="Arial" w:hAnsi="Arial" w:cs="Arial"/>
      <w:sz w:val="24"/>
      <w:szCs w:val="24"/>
      <w:lang w:eastAsia="en-PH"/>
    </w:rPr>
  </w:style>
  <w:style w:type="character" w:styleId="affffe">
    <w:name w:val="Unresolved Mention"/>
    <w:basedOn w:val="a2"/>
    <w:uiPriority w:val="99"/>
    <w:semiHidden/>
    <w:unhideWhenUsed/>
    <w:rsid w:val="00290873"/>
    <w:rPr>
      <w:color w:val="605E5C"/>
      <w:shd w:val="clear" w:color="auto" w:fill="E1DFDD"/>
    </w:rPr>
  </w:style>
  <w:style w:type="paragraph" w:customStyle="1" w:styleId="TableofTables">
    <w:name w:val="Table of Tables"/>
    <w:basedOn w:val="aff4"/>
    <w:link w:val="TableofTablesChar"/>
    <w:qFormat/>
    <w:rsid w:val="00D47A5F"/>
    <w:rPr>
      <w:rFonts w:cs="Arial"/>
      <w:szCs w:val="28"/>
    </w:rPr>
  </w:style>
  <w:style w:type="character" w:customStyle="1" w:styleId="aff5">
    <w:name w:val="Перечень рисунков Знак"/>
    <w:basedOn w:val="a2"/>
    <w:link w:val="aff4"/>
    <w:uiPriority w:val="99"/>
    <w:rsid w:val="00D47A5F"/>
    <w:rPr>
      <w:rFonts w:ascii="Arial" w:eastAsia="Times New Roman" w:hAnsi="Arial" w:cs="Times New Roman"/>
      <w:sz w:val="24"/>
    </w:rPr>
  </w:style>
  <w:style w:type="character" w:customStyle="1" w:styleId="TableofTablesChar">
    <w:name w:val="Table of Tables Char"/>
    <w:basedOn w:val="aff5"/>
    <w:link w:val="TableofTables"/>
    <w:rsid w:val="00D47A5F"/>
    <w:rPr>
      <w:rFonts w:ascii="Arial" w:eastAsia="Times New Roman" w:hAnsi="Arial" w:cs="Arial"/>
      <w:sz w:val="24"/>
      <w:szCs w:val="28"/>
    </w:rPr>
  </w:style>
  <w:style w:type="paragraph" w:styleId="afffff">
    <w:name w:val="TOC Heading"/>
    <w:basedOn w:val="1"/>
    <w:next w:val="a1"/>
    <w:uiPriority w:val="39"/>
    <w:unhideWhenUsed/>
    <w:qFormat/>
    <w:rsid w:val="00A62879"/>
    <w:pPr>
      <w:keepNext/>
      <w:keepLines/>
      <w:widowControl/>
      <w:autoSpaceDE/>
      <w:autoSpaceDN/>
      <w:spacing w:before="240" w:line="259" w:lineRule="auto"/>
      <w:outlineLvl w:val="9"/>
    </w:pPr>
    <w:rPr>
      <w:rFonts w:asciiTheme="majorHAnsi" w:eastAsiaTheme="majorEastAsia" w:hAnsiTheme="majorHAnsi" w:cstheme="majorBidi"/>
      <w:b w:val="0"/>
      <w:color w:val="365F91" w:themeColor="accent1" w:themeShade="BF"/>
      <w:szCs w:val="32"/>
    </w:rPr>
  </w:style>
  <w:style w:type="table" w:styleId="-45">
    <w:name w:val="Grid Table 4 Accent 5"/>
    <w:basedOn w:val="a3"/>
    <w:uiPriority w:val="49"/>
    <w:rsid w:val="00B947A4"/>
    <w:pPr>
      <w:widowControl/>
      <w:autoSpaceDE/>
      <w:autoSpaceDN/>
    </w:pPr>
    <w:rPr>
      <w:rFonts w:ascii="Times New Roman" w:eastAsia="Times New Roman" w:hAnsi="Times New Roman" w:cs="Times New Roman"/>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afffff0">
    <w:name w:val="Mention"/>
    <w:basedOn w:val="a2"/>
    <w:uiPriority w:val="99"/>
    <w:unhideWhenUsed/>
    <w:rsid w:val="00B947A4"/>
    <w:rPr>
      <w:color w:val="2B579A"/>
      <w:shd w:val="clear" w:color="auto" w:fill="E6E6E6"/>
    </w:rPr>
  </w:style>
  <w:style w:type="character" w:customStyle="1" w:styleId="SpaceChar">
    <w:name w:val="Space Char"/>
    <w:basedOn w:val="a2"/>
    <w:link w:val="Space"/>
    <w:locked/>
    <w:rsid w:val="00A53C28"/>
    <w:rPr>
      <w:rFonts w:cstheme="minorHAnsi"/>
      <w:b/>
      <w:bCs/>
      <w:sz w:val="28"/>
      <w:szCs w:val="28"/>
      <w:lang w:val="en-GB"/>
    </w:rPr>
  </w:style>
  <w:style w:type="paragraph" w:customStyle="1" w:styleId="Space">
    <w:name w:val="Space"/>
    <w:basedOn w:val="a1"/>
    <w:link w:val="SpaceChar"/>
    <w:qFormat/>
    <w:rsid w:val="00A53C28"/>
    <w:pPr>
      <w:widowControl/>
      <w:autoSpaceDE/>
      <w:autoSpaceDN/>
      <w:jc w:val="both"/>
    </w:pPr>
    <w:rPr>
      <w:rFonts w:ascii="Calibri" w:eastAsia="Calibri" w:hAnsi="Calibri" w:cstheme="minorHAnsi"/>
      <w:b/>
      <w:bCs/>
      <w:sz w:val="28"/>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6944">
      <w:bodyDiv w:val="1"/>
      <w:marLeft w:val="0"/>
      <w:marRight w:val="0"/>
      <w:marTop w:val="0"/>
      <w:marBottom w:val="0"/>
      <w:divBdr>
        <w:top w:val="none" w:sz="0" w:space="0" w:color="auto"/>
        <w:left w:val="none" w:sz="0" w:space="0" w:color="auto"/>
        <w:bottom w:val="none" w:sz="0" w:space="0" w:color="auto"/>
        <w:right w:val="none" w:sz="0" w:space="0" w:color="auto"/>
      </w:divBdr>
    </w:div>
    <w:div w:id="12728158">
      <w:bodyDiv w:val="1"/>
      <w:marLeft w:val="0"/>
      <w:marRight w:val="0"/>
      <w:marTop w:val="0"/>
      <w:marBottom w:val="0"/>
      <w:divBdr>
        <w:top w:val="none" w:sz="0" w:space="0" w:color="auto"/>
        <w:left w:val="none" w:sz="0" w:space="0" w:color="auto"/>
        <w:bottom w:val="none" w:sz="0" w:space="0" w:color="auto"/>
        <w:right w:val="none" w:sz="0" w:space="0" w:color="auto"/>
      </w:divBdr>
    </w:div>
    <w:div w:id="18891991">
      <w:bodyDiv w:val="1"/>
      <w:marLeft w:val="0"/>
      <w:marRight w:val="0"/>
      <w:marTop w:val="0"/>
      <w:marBottom w:val="0"/>
      <w:divBdr>
        <w:top w:val="none" w:sz="0" w:space="0" w:color="auto"/>
        <w:left w:val="none" w:sz="0" w:space="0" w:color="auto"/>
        <w:bottom w:val="none" w:sz="0" w:space="0" w:color="auto"/>
        <w:right w:val="none" w:sz="0" w:space="0" w:color="auto"/>
      </w:divBdr>
    </w:div>
    <w:div w:id="27148460">
      <w:bodyDiv w:val="1"/>
      <w:marLeft w:val="0"/>
      <w:marRight w:val="0"/>
      <w:marTop w:val="0"/>
      <w:marBottom w:val="0"/>
      <w:divBdr>
        <w:top w:val="none" w:sz="0" w:space="0" w:color="auto"/>
        <w:left w:val="none" w:sz="0" w:space="0" w:color="auto"/>
        <w:bottom w:val="none" w:sz="0" w:space="0" w:color="auto"/>
        <w:right w:val="none" w:sz="0" w:space="0" w:color="auto"/>
      </w:divBdr>
    </w:div>
    <w:div w:id="42873708">
      <w:bodyDiv w:val="1"/>
      <w:marLeft w:val="0"/>
      <w:marRight w:val="0"/>
      <w:marTop w:val="0"/>
      <w:marBottom w:val="0"/>
      <w:divBdr>
        <w:top w:val="none" w:sz="0" w:space="0" w:color="auto"/>
        <w:left w:val="none" w:sz="0" w:space="0" w:color="auto"/>
        <w:bottom w:val="none" w:sz="0" w:space="0" w:color="auto"/>
        <w:right w:val="none" w:sz="0" w:space="0" w:color="auto"/>
      </w:divBdr>
    </w:div>
    <w:div w:id="43216652">
      <w:bodyDiv w:val="1"/>
      <w:marLeft w:val="0"/>
      <w:marRight w:val="0"/>
      <w:marTop w:val="0"/>
      <w:marBottom w:val="0"/>
      <w:divBdr>
        <w:top w:val="none" w:sz="0" w:space="0" w:color="auto"/>
        <w:left w:val="none" w:sz="0" w:space="0" w:color="auto"/>
        <w:bottom w:val="none" w:sz="0" w:space="0" w:color="auto"/>
        <w:right w:val="none" w:sz="0" w:space="0" w:color="auto"/>
      </w:divBdr>
    </w:div>
    <w:div w:id="54859426">
      <w:bodyDiv w:val="1"/>
      <w:marLeft w:val="0"/>
      <w:marRight w:val="0"/>
      <w:marTop w:val="0"/>
      <w:marBottom w:val="0"/>
      <w:divBdr>
        <w:top w:val="none" w:sz="0" w:space="0" w:color="auto"/>
        <w:left w:val="none" w:sz="0" w:space="0" w:color="auto"/>
        <w:bottom w:val="none" w:sz="0" w:space="0" w:color="auto"/>
        <w:right w:val="none" w:sz="0" w:space="0" w:color="auto"/>
      </w:divBdr>
    </w:div>
    <w:div w:id="65343512">
      <w:bodyDiv w:val="1"/>
      <w:marLeft w:val="0"/>
      <w:marRight w:val="0"/>
      <w:marTop w:val="0"/>
      <w:marBottom w:val="0"/>
      <w:divBdr>
        <w:top w:val="none" w:sz="0" w:space="0" w:color="auto"/>
        <w:left w:val="none" w:sz="0" w:space="0" w:color="auto"/>
        <w:bottom w:val="none" w:sz="0" w:space="0" w:color="auto"/>
        <w:right w:val="none" w:sz="0" w:space="0" w:color="auto"/>
      </w:divBdr>
    </w:div>
    <w:div w:id="89858960">
      <w:bodyDiv w:val="1"/>
      <w:marLeft w:val="0"/>
      <w:marRight w:val="0"/>
      <w:marTop w:val="0"/>
      <w:marBottom w:val="0"/>
      <w:divBdr>
        <w:top w:val="none" w:sz="0" w:space="0" w:color="auto"/>
        <w:left w:val="none" w:sz="0" w:space="0" w:color="auto"/>
        <w:bottom w:val="none" w:sz="0" w:space="0" w:color="auto"/>
        <w:right w:val="none" w:sz="0" w:space="0" w:color="auto"/>
      </w:divBdr>
    </w:div>
    <w:div w:id="90245652">
      <w:bodyDiv w:val="1"/>
      <w:marLeft w:val="0"/>
      <w:marRight w:val="0"/>
      <w:marTop w:val="0"/>
      <w:marBottom w:val="0"/>
      <w:divBdr>
        <w:top w:val="none" w:sz="0" w:space="0" w:color="auto"/>
        <w:left w:val="none" w:sz="0" w:space="0" w:color="auto"/>
        <w:bottom w:val="none" w:sz="0" w:space="0" w:color="auto"/>
        <w:right w:val="none" w:sz="0" w:space="0" w:color="auto"/>
      </w:divBdr>
    </w:div>
    <w:div w:id="104428809">
      <w:bodyDiv w:val="1"/>
      <w:marLeft w:val="0"/>
      <w:marRight w:val="0"/>
      <w:marTop w:val="0"/>
      <w:marBottom w:val="0"/>
      <w:divBdr>
        <w:top w:val="none" w:sz="0" w:space="0" w:color="auto"/>
        <w:left w:val="none" w:sz="0" w:space="0" w:color="auto"/>
        <w:bottom w:val="none" w:sz="0" w:space="0" w:color="auto"/>
        <w:right w:val="none" w:sz="0" w:space="0" w:color="auto"/>
      </w:divBdr>
    </w:div>
    <w:div w:id="108864294">
      <w:bodyDiv w:val="1"/>
      <w:marLeft w:val="0"/>
      <w:marRight w:val="0"/>
      <w:marTop w:val="0"/>
      <w:marBottom w:val="0"/>
      <w:divBdr>
        <w:top w:val="none" w:sz="0" w:space="0" w:color="auto"/>
        <w:left w:val="none" w:sz="0" w:space="0" w:color="auto"/>
        <w:bottom w:val="none" w:sz="0" w:space="0" w:color="auto"/>
        <w:right w:val="none" w:sz="0" w:space="0" w:color="auto"/>
      </w:divBdr>
    </w:div>
    <w:div w:id="109125733">
      <w:bodyDiv w:val="1"/>
      <w:marLeft w:val="0"/>
      <w:marRight w:val="0"/>
      <w:marTop w:val="0"/>
      <w:marBottom w:val="0"/>
      <w:divBdr>
        <w:top w:val="none" w:sz="0" w:space="0" w:color="auto"/>
        <w:left w:val="none" w:sz="0" w:space="0" w:color="auto"/>
        <w:bottom w:val="none" w:sz="0" w:space="0" w:color="auto"/>
        <w:right w:val="none" w:sz="0" w:space="0" w:color="auto"/>
      </w:divBdr>
    </w:div>
    <w:div w:id="140201236">
      <w:bodyDiv w:val="1"/>
      <w:marLeft w:val="0"/>
      <w:marRight w:val="0"/>
      <w:marTop w:val="0"/>
      <w:marBottom w:val="0"/>
      <w:divBdr>
        <w:top w:val="none" w:sz="0" w:space="0" w:color="auto"/>
        <w:left w:val="none" w:sz="0" w:space="0" w:color="auto"/>
        <w:bottom w:val="none" w:sz="0" w:space="0" w:color="auto"/>
        <w:right w:val="none" w:sz="0" w:space="0" w:color="auto"/>
      </w:divBdr>
    </w:div>
    <w:div w:id="144905518">
      <w:bodyDiv w:val="1"/>
      <w:marLeft w:val="0"/>
      <w:marRight w:val="0"/>
      <w:marTop w:val="0"/>
      <w:marBottom w:val="0"/>
      <w:divBdr>
        <w:top w:val="none" w:sz="0" w:space="0" w:color="auto"/>
        <w:left w:val="none" w:sz="0" w:space="0" w:color="auto"/>
        <w:bottom w:val="none" w:sz="0" w:space="0" w:color="auto"/>
        <w:right w:val="none" w:sz="0" w:space="0" w:color="auto"/>
      </w:divBdr>
    </w:div>
    <w:div w:id="146553099">
      <w:bodyDiv w:val="1"/>
      <w:marLeft w:val="0"/>
      <w:marRight w:val="0"/>
      <w:marTop w:val="0"/>
      <w:marBottom w:val="0"/>
      <w:divBdr>
        <w:top w:val="none" w:sz="0" w:space="0" w:color="auto"/>
        <w:left w:val="none" w:sz="0" w:space="0" w:color="auto"/>
        <w:bottom w:val="none" w:sz="0" w:space="0" w:color="auto"/>
        <w:right w:val="none" w:sz="0" w:space="0" w:color="auto"/>
      </w:divBdr>
    </w:div>
    <w:div w:id="150610608">
      <w:bodyDiv w:val="1"/>
      <w:marLeft w:val="0"/>
      <w:marRight w:val="0"/>
      <w:marTop w:val="0"/>
      <w:marBottom w:val="0"/>
      <w:divBdr>
        <w:top w:val="none" w:sz="0" w:space="0" w:color="auto"/>
        <w:left w:val="none" w:sz="0" w:space="0" w:color="auto"/>
        <w:bottom w:val="none" w:sz="0" w:space="0" w:color="auto"/>
        <w:right w:val="none" w:sz="0" w:space="0" w:color="auto"/>
      </w:divBdr>
    </w:div>
    <w:div w:id="151339113">
      <w:bodyDiv w:val="1"/>
      <w:marLeft w:val="0"/>
      <w:marRight w:val="0"/>
      <w:marTop w:val="0"/>
      <w:marBottom w:val="0"/>
      <w:divBdr>
        <w:top w:val="none" w:sz="0" w:space="0" w:color="auto"/>
        <w:left w:val="none" w:sz="0" w:space="0" w:color="auto"/>
        <w:bottom w:val="none" w:sz="0" w:space="0" w:color="auto"/>
        <w:right w:val="none" w:sz="0" w:space="0" w:color="auto"/>
      </w:divBdr>
    </w:div>
    <w:div w:id="152915654">
      <w:bodyDiv w:val="1"/>
      <w:marLeft w:val="0"/>
      <w:marRight w:val="0"/>
      <w:marTop w:val="0"/>
      <w:marBottom w:val="0"/>
      <w:divBdr>
        <w:top w:val="none" w:sz="0" w:space="0" w:color="auto"/>
        <w:left w:val="none" w:sz="0" w:space="0" w:color="auto"/>
        <w:bottom w:val="none" w:sz="0" w:space="0" w:color="auto"/>
        <w:right w:val="none" w:sz="0" w:space="0" w:color="auto"/>
      </w:divBdr>
    </w:div>
    <w:div w:id="164171860">
      <w:bodyDiv w:val="1"/>
      <w:marLeft w:val="0"/>
      <w:marRight w:val="0"/>
      <w:marTop w:val="0"/>
      <w:marBottom w:val="0"/>
      <w:divBdr>
        <w:top w:val="none" w:sz="0" w:space="0" w:color="auto"/>
        <w:left w:val="none" w:sz="0" w:space="0" w:color="auto"/>
        <w:bottom w:val="none" w:sz="0" w:space="0" w:color="auto"/>
        <w:right w:val="none" w:sz="0" w:space="0" w:color="auto"/>
      </w:divBdr>
    </w:div>
    <w:div w:id="179665744">
      <w:bodyDiv w:val="1"/>
      <w:marLeft w:val="0"/>
      <w:marRight w:val="0"/>
      <w:marTop w:val="0"/>
      <w:marBottom w:val="0"/>
      <w:divBdr>
        <w:top w:val="none" w:sz="0" w:space="0" w:color="auto"/>
        <w:left w:val="none" w:sz="0" w:space="0" w:color="auto"/>
        <w:bottom w:val="none" w:sz="0" w:space="0" w:color="auto"/>
        <w:right w:val="none" w:sz="0" w:space="0" w:color="auto"/>
      </w:divBdr>
    </w:div>
    <w:div w:id="195237422">
      <w:bodyDiv w:val="1"/>
      <w:marLeft w:val="0"/>
      <w:marRight w:val="0"/>
      <w:marTop w:val="0"/>
      <w:marBottom w:val="0"/>
      <w:divBdr>
        <w:top w:val="none" w:sz="0" w:space="0" w:color="auto"/>
        <w:left w:val="none" w:sz="0" w:space="0" w:color="auto"/>
        <w:bottom w:val="none" w:sz="0" w:space="0" w:color="auto"/>
        <w:right w:val="none" w:sz="0" w:space="0" w:color="auto"/>
      </w:divBdr>
    </w:div>
    <w:div w:id="214121741">
      <w:bodyDiv w:val="1"/>
      <w:marLeft w:val="0"/>
      <w:marRight w:val="0"/>
      <w:marTop w:val="0"/>
      <w:marBottom w:val="0"/>
      <w:divBdr>
        <w:top w:val="none" w:sz="0" w:space="0" w:color="auto"/>
        <w:left w:val="none" w:sz="0" w:space="0" w:color="auto"/>
        <w:bottom w:val="none" w:sz="0" w:space="0" w:color="auto"/>
        <w:right w:val="none" w:sz="0" w:space="0" w:color="auto"/>
      </w:divBdr>
    </w:div>
    <w:div w:id="218563709">
      <w:bodyDiv w:val="1"/>
      <w:marLeft w:val="0"/>
      <w:marRight w:val="0"/>
      <w:marTop w:val="0"/>
      <w:marBottom w:val="0"/>
      <w:divBdr>
        <w:top w:val="none" w:sz="0" w:space="0" w:color="auto"/>
        <w:left w:val="none" w:sz="0" w:space="0" w:color="auto"/>
        <w:bottom w:val="none" w:sz="0" w:space="0" w:color="auto"/>
        <w:right w:val="none" w:sz="0" w:space="0" w:color="auto"/>
      </w:divBdr>
    </w:div>
    <w:div w:id="231354114">
      <w:bodyDiv w:val="1"/>
      <w:marLeft w:val="0"/>
      <w:marRight w:val="0"/>
      <w:marTop w:val="0"/>
      <w:marBottom w:val="0"/>
      <w:divBdr>
        <w:top w:val="none" w:sz="0" w:space="0" w:color="auto"/>
        <w:left w:val="none" w:sz="0" w:space="0" w:color="auto"/>
        <w:bottom w:val="none" w:sz="0" w:space="0" w:color="auto"/>
        <w:right w:val="none" w:sz="0" w:space="0" w:color="auto"/>
      </w:divBdr>
    </w:div>
    <w:div w:id="257375787">
      <w:bodyDiv w:val="1"/>
      <w:marLeft w:val="0"/>
      <w:marRight w:val="0"/>
      <w:marTop w:val="0"/>
      <w:marBottom w:val="0"/>
      <w:divBdr>
        <w:top w:val="none" w:sz="0" w:space="0" w:color="auto"/>
        <w:left w:val="none" w:sz="0" w:space="0" w:color="auto"/>
        <w:bottom w:val="none" w:sz="0" w:space="0" w:color="auto"/>
        <w:right w:val="none" w:sz="0" w:space="0" w:color="auto"/>
      </w:divBdr>
    </w:div>
    <w:div w:id="262492045">
      <w:bodyDiv w:val="1"/>
      <w:marLeft w:val="0"/>
      <w:marRight w:val="0"/>
      <w:marTop w:val="0"/>
      <w:marBottom w:val="0"/>
      <w:divBdr>
        <w:top w:val="none" w:sz="0" w:space="0" w:color="auto"/>
        <w:left w:val="none" w:sz="0" w:space="0" w:color="auto"/>
        <w:bottom w:val="none" w:sz="0" w:space="0" w:color="auto"/>
        <w:right w:val="none" w:sz="0" w:space="0" w:color="auto"/>
      </w:divBdr>
    </w:div>
    <w:div w:id="264271153">
      <w:bodyDiv w:val="1"/>
      <w:marLeft w:val="0"/>
      <w:marRight w:val="0"/>
      <w:marTop w:val="0"/>
      <w:marBottom w:val="0"/>
      <w:divBdr>
        <w:top w:val="none" w:sz="0" w:space="0" w:color="auto"/>
        <w:left w:val="none" w:sz="0" w:space="0" w:color="auto"/>
        <w:bottom w:val="none" w:sz="0" w:space="0" w:color="auto"/>
        <w:right w:val="none" w:sz="0" w:space="0" w:color="auto"/>
      </w:divBdr>
    </w:div>
    <w:div w:id="268395003">
      <w:bodyDiv w:val="1"/>
      <w:marLeft w:val="0"/>
      <w:marRight w:val="0"/>
      <w:marTop w:val="0"/>
      <w:marBottom w:val="0"/>
      <w:divBdr>
        <w:top w:val="none" w:sz="0" w:space="0" w:color="auto"/>
        <w:left w:val="none" w:sz="0" w:space="0" w:color="auto"/>
        <w:bottom w:val="none" w:sz="0" w:space="0" w:color="auto"/>
        <w:right w:val="none" w:sz="0" w:space="0" w:color="auto"/>
      </w:divBdr>
      <w:divsChild>
        <w:div w:id="1698266204">
          <w:marLeft w:val="0"/>
          <w:marRight w:val="0"/>
          <w:marTop w:val="0"/>
          <w:marBottom w:val="0"/>
          <w:divBdr>
            <w:top w:val="none" w:sz="0" w:space="0" w:color="auto"/>
            <w:left w:val="none" w:sz="0" w:space="0" w:color="auto"/>
            <w:bottom w:val="none" w:sz="0" w:space="0" w:color="auto"/>
            <w:right w:val="none" w:sz="0" w:space="0" w:color="auto"/>
          </w:divBdr>
          <w:divsChild>
            <w:div w:id="1611820322">
              <w:marLeft w:val="0"/>
              <w:marRight w:val="0"/>
              <w:marTop w:val="0"/>
              <w:marBottom w:val="0"/>
              <w:divBdr>
                <w:top w:val="none" w:sz="0" w:space="0" w:color="auto"/>
                <w:left w:val="none" w:sz="0" w:space="0" w:color="auto"/>
                <w:bottom w:val="none" w:sz="0" w:space="0" w:color="auto"/>
                <w:right w:val="none" w:sz="0" w:space="0" w:color="auto"/>
              </w:divBdr>
            </w:div>
            <w:div w:id="166573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859067">
      <w:bodyDiv w:val="1"/>
      <w:marLeft w:val="0"/>
      <w:marRight w:val="0"/>
      <w:marTop w:val="0"/>
      <w:marBottom w:val="0"/>
      <w:divBdr>
        <w:top w:val="none" w:sz="0" w:space="0" w:color="auto"/>
        <w:left w:val="none" w:sz="0" w:space="0" w:color="auto"/>
        <w:bottom w:val="none" w:sz="0" w:space="0" w:color="auto"/>
        <w:right w:val="none" w:sz="0" w:space="0" w:color="auto"/>
      </w:divBdr>
    </w:div>
    <w:div w:id="275985662">
      <w:bodyDiv w:val="1"/>
      <w:marLeft w:val="0"/>
      <w:marRight w:val="0"/>
      <w:marTop w:val="0"/>
      <w:marBottom w:val="0"/>
      <w:divBdr>
        <w:top w:val="none" w:sz="0" w:space="0" w:color="auto"/>
        <w:left w:val="none" w:sz="0" w:space="0" w:color="auto"/>
        <w:bottom w:val="none" w:sz="0" w:space="0" w:color="auto"/>
        <w:right w:val="none" w:sz="0" w:space="0" w:color="auto"/>
      </w:divBdr>
    </w:div>
    <w:div w:id="295257808">
      <w:bodyDiv w:val="1"/>
      <w:marLeft w:val="0"/>
      <w:marRight w:val="0"/>
      <w:marTop w:val="0"/>
      <w:marBottom w:val="0"/>
      <w:divBdr>
        <w:top w:val="none" w:sz="0" w:space="0" w:color="auto"/>
        <w:left w:val="none" w:sz="0" w:space="0" w:color="auto"/>
        <w:bottom w:val="none" w:sz="0" w:space="0" w:color="auto"/>
        <w:right w:val="none" w:sz="0" w:space="0" w:color="auto"/>
      </w:divBdr>
    </w:div>
    <w:div w:id="296765526">
      <w:bodyDiv w:val="1"/>
      <w:marLeft w:val="0"/>
      <w:marRight w:val="0"/>
      <w:marTop w:val="0"/>
      <w:marBottom w:val="0"/>
      <w:divBdr>
        <w:top w:val="none" w:sz="0" w:space="0" w:color="auto"/>
        <w:left w:val="none" w:sz="0" w:space="0" w:color="auto"/>
        <w:bottom w:val="none" w:sz="0" w:space="0" w:color="auto"/>
        <w:right w:val="none" w:sz="0" w:space="0" w:color="auto"/>
      </w:divBdr>
    </w:div>
    <w:div w:id="346442500">
      <w:bodyDiv w:val="1"/>
      <w:marLeft w:val="0"/>
      <w:marRight w:val="0"/>
      <w:marTop w:val="0"/>
      <w:marBottom w:val="0"/>
      <w:divBdr>
        <w:top w:val="none" w:sz="0" w:space="0" w:color="auto"/>
        <w:left w:val="none" w:sz="0" w:space="0" w:color="auto"/>
        <w:bottom w:val="none" w:sz="0" w:space="0" w:color="auto"/>
        <w:right w:val="none" w:sz="0" w:space="0" w:color="auto"/>
      </w:divBdr>
    </w:div>
    <w:div w:id="355889247">
      <w:bodyDiv w:val="1"/>
      <w:marLeft w:val="0"/>
      <w:marRight w:val="0"/>
      <w:marTop w:val="0"/>
      <w:marBottom w:val="0"/>
      <w:divBdr>
        <w:top w:val="none" w:sz="0" w:space="0" w:color="auto"/>
        <w:left w:val="none" w:sz="0" w:space="0" w:color="auto"/>
        <w:bottom w:val="none" w:sz="0" w:space="0" w:color="auto"/>
        <w:right w:val="none" w:sz="0" w:space="0" w:color="auto"/>
      </w:divBdr>
    </w:div>
    <w:div w:id="384447734">
      <w:bodyDiv w:val="1"/>
      <w:marLeft w:val="0"/>
      <w:marRight w:val="0"/>
      <w:marTop w:val="0"/>
      <w:marBottom w:val="0"/>
      <w:divBdr>
        <w:top w:val="none" w:sz="0" w:space="0" w:color="auto"/>
        <w:left w:val="none" w:sz="0" w:space="0" w:color="auto"/>
        <w:bottom w:val="none" w:sz="0" w:space="0" w:color="auto"/>
        <w:right w:val="none" w:sz="0" w:space="0" w:color="auto"/>
      </w:divBdr>
    </w:div>
    <w:div w:id="384915560">
      <w:bodyDiv w:val="1"/>
      <w:marLeft w:val="0"/>
      <w:marRight w:val="0"/>
      <w:marTop w:val="0"/>
      <w:marBottom w:val="0"/>
      <w:divBdr>
        <w:top w:val="none" w:sz="0" w:space="0" w:color="auto"/>
        <w:left w:val="none" w:sz="0" w:space="0" w:color="auto"/>
        <w:bottom w:val="none" w:sz="0" w:space="0" w:color="auto"/>
        <w:right w:val="none" w:sz="0" w:space="0" w:color="auto"/>
      </w:divBdr>
    </w:div>
    <w:div w:id="406994925">
      <w:bodyDiv w:val="1"/>
      <w:marLeft w:val="0"/>
      <w:marRight w:val="0"/>
      <w:marTop w:val="0"/>
      <w:marBottom w:val="0"/>
      <w:divBdr>
        <w:top w:val="none" w:sz="0" w:space="0" w:color="auto"/>
        <w:left w:val="none" w:sz="0" w:space="0" w:color="auto"/>
        <w:bottom w:val="none" w:sz="0" w:space="0" w:color="auto"/>
        <w:right w:val="none" w:sz="0" w:space="0" w:color="auto"/>
      </w:divBdr>
    </w:div>
    <w:div w:id="459538713">
      <w:bodyDiv w:val="1"/>
      <w:marLeft w:val="0"/>
      <w:marRight w:val="0"/>
      <w:marTop w:val="0"/>
      <w:marBottom w:val="0"/>
      <w:divBdr>
        <w:top w:val="none" w:sz="0" w:space="0" w:color="auto"/>
        <w:left w:val="none" w:sz="0" w:space="0" w:color="auto"/>
        <w:bottom w:val="none" w:sz="0" w:space="0" w:color="auto"/>
        <w:right w:val="none" w:sz="0" w:space="0" w:color="auto"/>
      </w:divBdr>
    </w:div>
    <w:div w:id="459570251">
      <w:bodyDiv w:val="1"/>
      <w:marLeft w:val="0"/>
      <w:marRight w:val="0"/>
      <w:marTop w:val="0"/>
      <w:marBottom w:val="0"/>
      <w:divBdr>
        <w:top w:val="none" w:sz="0" w:space="0" w:color="auto"/>
        <w:left w:val="none" w:sz="0" w:space="0" w:color="auto"/>
        <w:bottom w:val="none" w:sz="0" w:space="0" w:color="auto"/>
        <w:right w:val="none" w:sz="0" w:space="0" w:color="auto"/>
      </w:divBdr>
    </w:div>
    <w:div w:id="470706772">
      <w:bodyDiv w:val="1"/>
      <w:marLeft w:val="0"/>
      <w:marRight w:val="0"/>
      <w:marTop w:val="0"/>
      <w:marBottom w:val="0"/>
      <w:divBdr>
        <w:top w:val="none" w:sz="0" w:space="0" w:color="auto"/>
        <w:left w:val="none" w:sz="0" w:space="0" w:color="auto"/>
        <w:bottom w:val="none" w:sz="0" w:space="0" w:color="auto"/>
        <w:right w:val="none" w:sz="0" w:space="0" w:color="auto"/>
      </w:divBdr>
    </w:div>
    <w:div w:id="472722677">
      <w:bodyDiv w:val="1"/>
      <w:marLeft w:val="0"/>
      <w:marRight w:val="0"/>
      <w:marTop w:val="0"/>
      <w:marBottom w:val="0"/>
      <w:divBdr>
        <w:top w:val="none" w:sz="0" w:space="0" w:color="auto"/>
        <w:left w:val="none" w:sz="0" w:space="0" w:color="auto"/>
        <w:bottom w:val="none" w:sz="0" w:space="0" w:color="auto"/>
        <w:right w:val="none" w:sz="0" w:space="0" w:color="auto"/>
      </w:divBdr>
    </w:div>
    <w:div w:id="486092065">
      <w:bodyDiv w:val="1"/>
      <w:marLeft w:val="0"/>
      <w:marRight w:val="0"/>
      <w:marTop w:val="0"/>
      <w:marBottom w:val="0"/>
      <w:divBdr>
        <w:top w:val="none" w:sz="0" w:space="0" w:color="auto"/>
        <w:left w:val="none" w:sz="0" w:space="0" w:color="auto"/>
        <w:bottom w:val="none" w:sz="0" w:space="0" w:color="auto"/>
        <w:right w:val="none" w:sz="0" w:space="0" w:color="auto"/>
      </w:divBdr>
    </w:div>
    <w:div w:id="499541888">
      <w:bodyDiv w:val="1"/>
      <w:marLeft w:val="0"/>
      <w:marRight w:val="0"/>
      <w:marTop w:val="0"/>
      <w:marBottom w:val="0"/>
      <w:divBdr>
        <w:top w:val="none" w:sz="0" w:space="0" w:color="auto"/>
        <w:left w:val="none" w:sz="0" w:space="0" w:color="auto"/>
        <w:bottom w:val="none" w:sz="0" w:space="0" w:color="auto"/>
        <w:right w:val="none" w:sz="0" w:space="0" w:color="auto"/>
      </w:divBdr>
    </w:div>
    <w:div w:id="531765253">
      <w:bodyDiv w:val="1"/>
      <w:marLeft w:val="0"/>
      <w:marRight w:val="0"/>
      <w:marTop w:val="0"/>
      <w:marBottom w:val="0"/>
      <w:divBdr>
        <w:top w:val="none" w:sz="0" w:space="0" w:color="auto"/>
        <w:left w:val="none" w:sz="0" w:space="0" w:color="auto"/>
        <w:bottom w:val="none" w:sz="0" w:space="0" w:color="auto"/>
        <w:right w:val="none" w:sz="0" w:space="0" w:color="auto"/>
      </w:divBdr>
    </w:div>
    <w:div w:id="540359617">
      <w:bodyDiv w:val="1"/>
      <w:marLeft w:val="0"/>
      <w:marRight w:val="0"/>
      <w:marTop w:val="0"/>
      <w:marBottom w:val="0"/>
      <w:divBdr>
        <w:top w:val="none" w:sz="0" w:space="0" w:color="auto"/>
        <w:left w:val="none" w:sz="0" w:space="0" w:color="auto"/>
        <w:bottom w:val="none" w:sz="0" w:space="0" w:color="auto"/>
        <w:right w:val="none" w:sz="0" w:space="0" w:color="auto"/>
      </w:divBdr>
    </w:div>
    <w:div w:id="569274636">
      <w:bodyDiv w:val="1"/>
      <w:marLeft w:val="0"/>
      <w:marRight w:val="0"/>
      <w:marTop w:val="0"/>
      <w:marBottom w:val="0"/>
      <w:divBdr>
        <w:top w:val="none" w:sz="0" w:space="0" w:color="auto"/>
        <w:left w:val="none" w:sz="0" w:space="0" w:color="auto"/>
        <w:bottom w:val="none" w:sz="0" w:space="0" w:color="auto"/>
        <w:right w:val="none" w:sz="0" w:space="0" w:color="auto"/>
      </w:divBdr>
    </w:div>
    <w:div w:id="573511784">
      <w:bodyDiv w:val="1"/>
      <w:marLeft w:val="0"/>
      <w:marRight w:val="0"/>
      <w:marTop w:val="0"/>
      <w:marBottom w:val="0"/>
      <w:divBdr>
        <w:top w:val="none" w:sz="0" w:space="0" w:color="auto"/>
        <w:left w:val="none" w:sz="0" w:space="0" w:color="auto"/>
        <w:bottom w:val="none" w:sz="0" w:space="0" w:color="auto"/>
        <w:right w:val="none" w:sz="0" w:space="0" w:color="auto"/>
      </w:divBdr>
    </w:div>
    <w:div w:id="578254529">
      <w:bodyDiv w:val="1"/>
      <w:marLeft w:val="0"/>
      <w:marRight w:val="0"/>
      <w:marTop w:val="0"/>
      <w:marBottom w:val="0"/>
      <w:divBdr>
        <w:top w:val="none" w:sz="0" w:space="0" w:color="auto"/>
        <w:left w:val="none" w:sz="0" w:space="0" w:color="auto"/>
        <w:bottom w:val="none" w:sz="0" w:space="0" w:color="auto"/>
        <w:right w:val="none" w:sz="0" w:space="0" w:color="auto"/>
      </w:divBdr>
    </w:div>
    <w:div w:id="584850377">
      <w:bodyDiv w:val="1"/>
      <w:marLeft w:val="0"/>
      <w:marRight w:val="0"/>
      <w:marTop w:val="0"/>
      <w:marBottom w:val="0"/>
      <w:divBdr>
        <w:top w:val="none" w:sz="0" w:space="0" w:color="auto"/>
        <w:left w:val="none" w:sz="0" w:space="0" w:color="auto"/>
        <w:bottom w:val="none" w:sz="0" w:space="0" w:color="auto"/>
        <w:right w:val="none" w:sz="0" w:space="0" w:color="auto"/>
      </w:divBdr>
    </w:div>
    <w:div w:id="599030644">
      <w:bodyDiv w:val="1"/>
      <w:marLeft w:val="0"/>
      <w:marRight w:val="0"/>
      <w:marTop w:val="0"/>
      <w:marBottom w:val="0"/>
      <w:divBdr>
        <w:top w:val="none" w:sz="0" w:space="0" w:color="auto"/>
        <w:left w:val="none" w:sz="0" w:space="0" w:color="auto"/>
        <w:bottom w:val="none" w:sz="0" w:space="0" w:color="auto"/>
        <w:right w:val="none" w:sz="0" w:space="0" w:color="auto"/>
      </w:divBdr>
    </w:div>
    <w:div w:id="614680088">
      <w:bodyDiv w:val="1"/>
      <w:marLeft w:val="0"/>
      <w:marRight w:val="0"/>
      <w:marTop w:val="0"/>
      <w:marBottom w:val="0"/>
      <w:divBdr>
        <w:top w:val="none" w:sz="0" w:space="0" w:color="auto"/>
        <w:left w:val="none" w:sz="0" w:space="0" w:color="auto"/>
        <w:bottom w:val="none" w:sz="0" w:space="0" w:color="auto"/>
        <w:right w:val="none" w:sz="0" w:space="0" w:color="auto"/>
      </w:divBdr>
    </w:div>
    <w:div w:id="635069748">
      <w:bodyDiv w:val="1"/>
      <w:marLeft w:val="0"/>
      <w:marRight w:val="0"/>
      <w:marTop w:val="0"/>
      <w:marBottom w:val="0"/>
      <w:divBdr>
        <w:top w:val="none" w:sz="0" w:space="0" w:color="auto"/>
        <w:left w:val="none" w:sz="0" w:space="0" w:color="auto"/>
        <w:bottom w:val="none" w:sz="0" w:space="0" w:color="auto"/>
        <w:right w:val="none" w:sz="0" w:space="0" w:color="auto"/>
      </w:divBdr>
    </w:div>
    <w:div w:id="716200787">
      <w:bodyDiv w:val="1"/>
      <w:marLeft w:val="0"/>
      <w:marRight w:val="0"/>
      <w:marTop w:val="0"/>
      <w:marBottom w:val="0"/>
      <w:divBdr>
        <w:top w:val="none" w:sz="0" w:space="0" w:color="auto"/>
        <w:left w:val="none" w:sz="0" w:space="0" w:color="auto"/>
        <w:bottom w:val="none" w:sz="0" w:space="0" w:color="auto"/>
        <w:right w:val="none" w:sz="0" w:space="0" w:color="auto"/>
      </w:divBdr>
    </w:div>
    <w:div w:id="718210933">
      <w:bodyDiv w:val="1"/>
      <w:marLeft w:val="0"/>
      <w:marRight w:val="0"/>
      <w:marTop w:val="0"/>
      <w:marBottom w:val="0"/>
      <w:divBdr>
        <w:top w:val="none" w:sz="0" w:space="0" w:color="auto"/>
        <w:left w:val="none" w:sz="0" w:space="0" w:color="auto"/>
        <w:bottom w:val="none" w:sz="0" w:space="0" w:color="auto"/>
        <w:right w:val="none" w:sz="0" w:space="0" w:color="auto"/>
      </w:divBdr>
    </w:div>
    <w:div w:id="731393142">
      <w:bodyDiv w:val="1"/>
      <w:marLeft w:val="0"/>
      <w:marRight w:val="0"/>
      <w:marTop w:val="0"/>
      <w:marBottom w:val="0"/>
      <w:divBdr>
        <w:top w:val="none" w:sz="0" w:space="0" w:color="auto"/>
        <w:left w:val="none" w:sz="0" w:space="0" w:color="auto"/>
        <w:bottom w:val="none" w:sz="0" w:space="0" w:color="auto"/>
        <w:right w:val="none" w:sz="0" w:space="0" w:color="auto"/>
      </w:divBdr>
    </w:div>
    <w:div w:id="733428373">
      <w:bodyDiv w:val="1"/>
      <w:marLeft w:val="0"/>
      <w:marRight w:val="0"/>
      <w:marTop w:val="0"/>
      <w:marBottom w:val="0"/>
      <w:divBdr>
        <w:top w:val="none" w:sz="0" w:space="0" w:color="auto"/>
        <w:left w:val="none" w:sz="0" w:space="0" w:color="auto"/>
        <w:bottom w:val="none" w:sz="0" w:space="0" w:color="auto"/>
        <w:right w:val="none" w:sz="0" w:space="0" w:color="auto"/>
      </w:divBdr>
    </w:div>
    <w:div w:id="741415517">
      <w:bodyDiv w:val="1"/>
      <w:marLeft w:val="0"/>
      <w:marRight w:val="0"/>
      <w:marTop w:val="0"/>
      <w:marBottom w:val="0"/>
      <w:divBdr>
        <w:top w:val="none" w:sz="0" w:space="0" w:color="auto"/>
        <w:left w:val="none" w:sz="0" w:space="0" w:color="auto"/>
        <w:bottom w:val="none" w:sz="0" w:space="0" w:color="auto"/>
        <w:right w:val="none" w:sz="0" w:space="0" w:color="auto"/>
      </w:divBdr>
    </w:div>
    <w:div w:id="762998276">
      <w:bodyDiv w:val="1"/>
      <w:marLeft w:val="0"/>
      <w:marRight w:val="0"/>
      <w:marTop w:val="0"/>
      <w:marBottom w:val="0"/>
      <w:divBdr>
        <w:top w:val="none" w:sz="0" w:space="0" w:color="auto"/>
        <w:left w:val="none" w:sz="0" w:space="0" w:color="auto"/>
        <w:bottom w:val="none" w:sz="0" w:space="0" w:color="auto"/>
        <w:right w:val="none" w:sz="0" w:space="0" w:color="auto"/>
      </w:divBdr>
    </w:div>
    <w:div w:id="765618497">
      <w:bodyDiv w:val="1"/>
      <w:marLeft w:val="0"/>
      <w:marRight w:val="0"/>
      <w:marTop w:val="0"/>
      <w:marBottom w:val="0"/>
      <w:divBdr>
        <w:top w:val="none" w:sz="0" w:space="0" w:color="auto"/>
        <w:left w:val="none" w:sz="0" w:space="0" w:color="auto"/>
        <w:bottom w:val="none" w:sz="0" w:space="0" w:color="auto"/>
        <w:right w:val="none" w:sz="0" w:space="0" w:color="auto"/>
      </w:divBdr>
    </w:div>
    <w:div w:id="785539865">
      <w:bodyDiv w:val="1"/>
      <w:marLeft w:val="0"/>
      <w:marRight w:val="0"/>
      <w:marTop w:val="0"/>
      <w:marBottom w:val="0"/>
      <w:divBdr>
        <w:top w:val="none" w:sz="0" w:space="0" w:color="auto"/>
        <w:left w:val="none" w:sz="0" w:space="0" w:color="auto"/>
        <w:bottom w:val="none" w:sz="0" w:space="0" w:color="auto"/>
        <w:right w:val="none" w:sz="0" w:space="0" w:color="auto"/>
      </w:divBdr>
    </w:div>
    <w:div w:id="795871500">
      <w:bodyDiv w:val="1"/>
      <w:marLeft w:val="0"/>
      <w:marRight w:val="0"/>
      <w:marTop w:val="0"/>
      <w:marBottom w:val="0"/>
      <w:divBdr>
        <w:top w:val="none" w:sz="0" w:space="0" w:color="auto"/>
        <w:left w:val="none" w:sz="0" w:space="0" w:color="auto"/>
        <w:bottom w:val="none" w:sz="0" w:space="0" w:color="auto"/>
        <w:right w:val="none" w:sz="0" w:space="0" w:color="auto"/>
      </w:divBdr>
    </w:div>
    <w:div w:id="798457615">
      <w:bodyDiv w:val="1"/>
      <w:marLeft w:val="0"/>
      <w:marRight w:val="0"/>
      <w:marTop w:val="0"/>
      <w:marBottom w:val="0"/>
      <w:divBdr>
        <w:top w:val="none" w:sz="0" w:space="0" w:color="auto"/>
        <w:left w:val="none" w:sz="0" w:space="0" w:color="auto"/>
        <w:bottom w:val="none" w:sz="0" w:space="0" w:color="auto"/>
        <w:right w:val="none" w:sz="0" w:space="0" w:color="auto"/>
      </w:divBdr>
    </w:div>
    <w:div w:id="811943715">
      <w:bodyDiv w:val="1"/>
      <w:marLeft w:val="0"/>
      <w:marRight w:val="0"/>
      <w:marTop w:val="0"/>
      <w:marBottom w:val="0"/>
      <w:divBdr>
        <w:top w:val="none" w:sz="0" w:space="0" w:color="auto"/>
        <w:left w:val="none" w:sz="0" w:space="0" w:color="auto"/>
        <w:bottom w:val="none" w:sz="0" w:space="0" w:color="auto"/>
        <w:right w:val="none" w:sz="0" w:space="0" w:color="auto"/>
      </w:divBdr>
    </w:div>
    <w:div w:id="812016738">
      <w:bodyDiv w:val="1"/>
      <w:marLeft w:val="0"/>
      <w:marRight w:val="0"/>
      <w:marTop w:val="0"/>
      <w:marBottom w:val="0"/>
      <w:divBdr>
        <w:top w:val="none" w:sz="0" w:space="0" w:color="auto"/>
        <w:left w:val="none" w:sz="0" w:space="0" w:color="auto"/>
        <w:bottom w:val="none" w:sz="0" w:space="0" w:color="auto"/>
        <w:right w:val="none" w:sz="0" w:space="0" w:color="auto"/>
      </w:divBdr>
    </w:div>
    <w:div w:id="825516748">
      <w:bodyDiv w:val="1"/>
      <w:marLeft w:val="0"/>
      <w:marRight w:val="0"/>
      <w:marTop w:val="0"/>
      <w:marBottom w:val="0"/>
      <w:divBdr>
        <w:top w:val="none" w:sz="0" w:space="0" w:color="auto"/>
        <w:left w:val="none" w:sz="0" w:space="0" w:color="auto"/>
        <w:bottom w:val="none" w:sz="0" w:space="0" w:color="auto"/>
        <w:right w:val="none" w:sz="0" w:space="0" w:color="auto"/>
      </w:divBdr>
    </w:div>
    <w:div w:id="834340261">
      <w:bodyDiv w:val="1"/>
      <w:marLeft w:val="0"/>
      <w:marRight w:val="0"/>
      <w:marTop w:val="0"/>
      <w:marBottom w:val="0"/>
      <w:divBdr>
        <w:top w:val="none" w:sz="0" w:space="0" w:color="auto"/>
        <w:left w:val="none" w:sz="0" w:space="0" w:color="auto"/>
        <w:bottom w:val="none" w:sz="0" w:space="0" w:color="auto"/>
        <w:right w:val="none" w:sz="0" w:space="0" w:color="auto"/>
      </w:divBdr>
    </w:div>
    <w:div w:id="867716167">
      <w:bodyDiv w:val="1"/>
      <w:marLeft w:val="0"/>
      <w:marRight w:val="0"/>
      <w:marTop w:val="0"/>
      <w:marBottom w:val="0"/>
      <w:divBdr>
        <w:top w:val="none" w:sz="0" w:space="0" w:color="auto"/>
        <w:left w:val="none" w:sz="0" w:space="0" w:color="auto"/>
        <w:bottom w:val="none" w:sz="0" w:space="0" w:color="auto"/>
        <w:right w:val="none" w:sz="0" w:space="0" w:color="auto"/>
      </w:divBdr>
    </w:div>
    <w:div w:id="867912110">
      <w:bodyDiv w:val="1"/>
      <w:marLeft w:val="0"/>
      <w:marRight w:val="0"/>
      <w:marTop w:val="0"/>
      <w:marBottom w:val="0"/>
      <w:divBdr>
        <w:top w:val="none" w:sz="0" w:space="0" w:color="auto"/>
        <w:left w:val="none" w:sz="0" w:space="0" w:color="auto"/>
        <w:bottom w:val="none" w:sz="0" w:space="0" w:color="auto"/>
        <w:right w:val="none" w:sz="0" w:space="0" w:color="auto"/>
      </w:divBdr>
    </w:div>
    <w:div w:id="872695773">
      <w:bodyDiv w:val="1"/>
      <w:marLeft w:val="0"/>
      <w:marRight w:val="0"/>
      <w:marTop w:val="0"/>
      <w:marBottom w:val="0"/>
      <w:divBdr>
        <w:top w:val="none" w:sz="0" w:space="0" w:color="auto"/>
        <w:left w:val="none" w:sz="0" w:space="0" w:color="auto"/>
        <w:bottom w:val="none" w:sz="0" w:space="0" w:color="auto"/>
        <w:right w:val="none" w:sz="0" w:space="0" w:color="auto"/>
      </w:divBdr>
    </w:div>
    <w:div w:id="879510676">
      <w:bodyDiv w:val="1"/>
      <w:marLeft w:val="0"/>
      <w:marRight w:val="0"/>
      <w:marTop w:val="0"/>
      <w:marBottom w:val="0"/>
      <w:divBdr>
        <w:top w:val="none" w:sz="0" w:space="0" w:color="auto"/>
        <w:left w:val="none" w:sz="0" w:space="0" w:color="auto"/>
        <w:bottom w:val="none" w:sz="0" w:space="0" w:color="auto"/>
        <w:right w:val="none" w:sz="0" w:space="0" w:color="auto"/>
      </w:divBdr>
    </w:div>
    <w:div w:id="880167710">
      <w:bodyDiv w:val="1"/>
      <w:marLeft w:val="0"/>
      <w:marRight w:val="0"/>
      <w:marTop w:val="0"/>
      <w:marBottom w:val="0"/>
      <w:divBdr>
        <w:top w:val="none" w:sz="0" w:space="0" w:color="auto"/>
        <w:left w:val="none" w:sz="0" w:space="0" w:color="auto"/>
        <w:bottom w:val="none" w:sz="0" w:space="0" w:color="auto"/>
        <w:right w:val="none" w:sz="0" w:space="0" w:color="auto"/>
      </w:divBdr>
    </w:div>
    <w:div w:id="888540252">
      <w:bodyDiv w:val="1"/>
      <w:marLeft w:val="0"/>
      <w:marRight w:val="0"/>
      <w:marTop w:val="0"/>
      <w:marBottom w:val="0"/>
      <w:divBdr>
        <w:top w:val="none" w:sz="0" w:space="0" w:color="auto"/>
        <w:left w:val="none" w:sz="0" w:space="0" w:color="auto"/>
        <w:bottom w:val="none" w:sz="0" w:space="0" w:color="auto"/>
        <w:right w:val="none" w:sz="0" w:space="0" w:color="auto"/>
      </w:divBdr>
    </w:div>
    <w:div w:id="913931285">
      <w:bodyDiv w:val="1"/>
      <w:marLeft w:val="0"/>
      <w:marRight w:val="0"/>
      <w:marTop w:val="0"/>
      <w:marBottom w:val="0"/>
      <w:divBdr>
        <w:top w:val="none" w:sz="0" w:space="0" w:color="auto"/>
        <w:left w:val="none" w:sz="0" w:space="0" w:color="auto"/>
        <w:bottom w:val="none" w:sz="0" w:space="0" w:color="auto"/>
        <w:right w:val="none" w:sz="0" w:space="0" w:color="auto"/>
      </w:divBdr>
    </w:div>
    <w:div w:id="914822768">
      <w:bodyDiv w:val="1"/>
      <w:marLeft w:val="0"/>
      <w:marRight w:val="0"/>
      <w:marTop w:val="0"/>
      <w:marBottom w:val="0"/>
      <w:divBdr>
        <w:top w:val="none" w:sz="0" w:space="0" w:color="auto"/>
        <w:left w:val="none" w:sz="0" w:space="0" w:color="auto"/>
        <w:bottom w:val="none" w:sz="0" w:space="0" w:color="auto"/>
        <w:right w:val="none" w:sz="0" w:space="0" w:color="auto"/>
      </w:divBdr>
    </w:div>
    <w:div w:id="934363745">
      <w:bodyDiv w:val="1"/>
      <w:marLeft w:val="0"/>
      <w:marRight w:val="0"/>
      <w:marTop w:val="0"/>
      <w:marBottom w:val="0"/>
      <w:divBdr>
        <w:top w:val="none" w:sz="0" w:space="0" w:color="auto"/>
        <w:left w:val="none" w:sz="0" w:space="0" w:color="auto"/>
        <w:bottom w:val="none" w:sz="0" w:space="0" w:color="auto"/>
        <w:right w:val="none" w:sz="0" w:space="0" w:color="auto"/>
      </w:divBdr>
    </w:div>
    <w:div w:id="938172255">
      <w:bodyDiv w:val="1"/>
      <w:marLeft w:val="0"/>
      <w:marRight w:val="0"/>
      <w:marTop w:val="0"/>
      <w:marBottom w:val="0"/>
      <w:divBdr>
        <w:top w:val="none" w:sz="0" w:space="0" w:color="auto"/>
        <w:left w:val="none" w:sz="0" w:space="0" w:color="auto"/>
        <w:bottom w:val="none" w:sz="0" w:space="0" w:color="auto"/>
        <w:right w:val="none" w:sz="0" w:space="0" w:color="auto"/>
      </w:divBdr>
    </w:div>
    <w:div w:id="939796418">
      <w:bodyDiv w:val="1"/>
      <w:marLeft w:val="0"/>
      <w:marRight w:val="0"/>
      <w:marTop w:val="0"/>
      <w:marBottom w:val="0"/>
      <w:divBdr>
        <w:top w:val="none" w:sz="0" w:space="0" w:color="auto"/>
        <w:left w:val="none" w:sz="0" w:space="0" w:color="auto"/>
        <w:bottom w:val="none" w:sz="0" w:space="0" w:color="auto"/>
        <w:right w:val="none" w:sz="0" w:space="0" w:color="auto"/>
      </w:divBdr>
    </w:div>
    <w:div w:id="976683241">
      <w:bodyDiv w:val="1"/>
      <w:marLeft w:val="0"/>
      <w:marRight w:val="0"/>
      <w:marTop w:val="0"/>
      <w:marBottom w:val="0"/>
      <w:divBdr>
        <w:top w:val="none" w:sz="0" w:space="0" w:color="auto"/>
        <w:left w:val="none" w:sz="0" w:space="0" w:color="auto"/>
        <w:bottom w:val="none" w:sz="0" w:space="0" w:color="auto"/>
        <w:right w:val="none" w:sz="0" w:space="0" w:color="auto"/>
      </w:divBdr>
    </w:div>
    <w:div w:id="988241899">
      <w:bodyDiv w:val="1"/>
      <w:marLeft w:val="0"/>
      <w:marRight w:val="0"/>
      <w:marTop w:val="0"/>
      <w:marBottom w:val="0"/>
      <w:divBdr>
        <w:top w:val="none" w:sz="0" w:space="0" w:color="auto"/>
        <w:left w:val="none" w:sz="0" w:space="0" w:color="auto"/>
        <w:bottom w:val="none" w:sz="0" w:space="0" w:color="auto"/>
        <w:right w:val="none" w:sz="0" w:space="0" w:color="auto"/>
      </w:divBdr>
    </w:div>
    <w:div w:id="1020857138">
      <w:bodyDiv w:val="1"/>
      <w:marLeft w:val="0"/>
      <w:marRight w:val="0"/>
      <w:marTop w:val="0"/>
      <w:marBottom w:val="0"/>
      <w:divBdr>
        <w:top w:val="none" w:sz="0" w:space="0" w:color="auto"/>
        <w:left w:val="none" w:sz="0" w:space="0" w:color="auto"/>
        <w:bottom w:val="none" w:sz="0" w:space="0" w:color="auto"/>
        <w:right w:val="none" w:sz="0" w:space="0" w:color="auto"/>
      </w:divBdr>
    </w:div>
    <w:div w:id="1047871944">
      <w:bodyDiv w:val="1"/>
      <w:marLeft w:val="0"/>
      <w:marRight w:val="0"/>
      <w:marTop w:val="0"/>
      <w:marBottom w:val="0"/>
      <w:divBdr>
        <w:top w:val="none" w:sz="0" w:space="0" w:color="auto"/>
        <w:left w:val="none" w:sz="0" w:space="0" w:color="auto"/>
        <w:bottom w:val="none" w:sz="0" w:space="0" w:color="auto"/>
        <w:right w:val="none" w:sz="0" w:space="0" w:color="auto"/>
      </w:divBdr>
    </w:div>
    <w:div w:id="1053430794">
      <w:bodyDiv w:val="1"/>
      <w:marLeft w:val="0"/>
      <w:marRight w:val="0"/>
      <w:marTop w:val="0"/>
      <w:marBottom w:val="0"/>
      <w:divBdr>
        <w:top w:val="none" w:sz="0" w:space="0" w:color="auto"/>
        <w:left w:val="none" w:sz="0" w:space="0" w:color="auto"/>
        <w:bottom w:val="none" w:sz="0" w:space="0" w:color="auto"/>
        <w:right w:val="none" w:sz="0" w:space="0" w:color="auto"/>
      </w:divBdr>
    </w:div>
    <w:div w:id="1061634663">
      <w:bodyDiv w:val="1"/>
      <w:marLeft w:val="0"/>
      <w:marRight w:val="0"/>
      <w:marTop w:val="0"/>
      <w:marBottom w:val="0"/>
      <w:divBdr>
        <w:top w:val="none" w:sz="0" w:space="0" w:color="auto"/>
        <w:left w:val="none" w:sz="0" w:space="0" w:color="auto"/>
        <w:bottom w:val="none" w:sz="0" w:space="0" w:color="auto"/>
        <w:right w:val="none" w:sz="0" w:space="0" w:color="auto"/>
      </w:divBdr>
    </w:div>
    <w:div w:id="1068500568">
      <w:bodyDiv w:val="1"/>
      <w:marLeft w:val="0"/>
      <w:marRight w:val="0"/>
      <w:marTop w:val="0"/>
      <w:marBottom w:val="0"/>
      <w:divBdr>
        <w:top w:val="none" w:sz="0" w:space="0" w:color="auto"/>
        <w:left w:val="none" w:sz="0" w:space="0" w:color="auto"/>
        <w:bottom w:val="none" w:sz="0" w:space="0" w:color="auto"/>
        <w:right w:val="none" w:sz="0" w:space="0" w:color="auto"/>
      </w:divBdr>
    </w:div>
    <w:div w:id="1079064494">
      <w:bodyDiv w:val="1"/>
      <w:marLeft w:val="0"/>
      <w:marRight w:val="0"/>
      <w:marTop w:val="0"/>
      <w:marBottom w:val="0"/>
      <w:divBdr>
        <w:top w:val="none" w:sz="0" w:space="0" w:color="auto"/>
        <w:left w:val="none" w:sz="0" w:space="0" w:color="auto"/>
        <w:bottom w:val="none" w:sz="0" w:space="0" w:color="auto"/>
        <w:right w:val="none" w:sz="0" w:space="0" w:color="auto"/>
      </w:divBdr>
    </w:div>
    <w:div w:id="1082682039">
      <w:bodyDiv w:val="1"/>
      <w:marLeft w:val="0"/>
      <w:marRight w:val="0"/>
      <w:marTop w:val="0"/>
      <w:marBottom w:val="0"/>
      <w:divBdr>
        <w:top w:val="none" w:sz="0" w:space="0" w:color="auto"/>
        <w:left w:val="none" w:sz="0" w:space="0" w:color="auto"/>
        <w:bottom w:val="none" w:sz="0" w:space="0" w:color="auto"/>
        <w:right w:val="none" w:sz="0" w:space="0" w:color="auto"/>
      </w:divBdr>
    </w:div>
    <w:div w:id="1118914058">
      <w:bodyDiv w:val="1"/>
      <w:marLeft w:val="0"/>
      <w:marRight w:val="0"/>
      <w:marTop w:val="0"/>
      <w:marBottom w:val="0"/>
      <w:divBdr>
        <w:top w:val="none" w:sz="0" w:space="0" w:color="auto"/>
        <w:left w:val="none" w:sz="0" w:space="0" w:color="auto"/>
        <w:bottom w:val="none" w:sz="0" w:space="0" w:color="auto"/>
        <w:right w:val="none" w:sz="0" w:space="0" w:color="auto"/>
      </w:divBdr>
    </w:div>
    <w:div w:id="1123841000">
      <w:bodyDiv w:val="1"/>
      <w:marLeft w:val="0"/>
      <w:marRight w:val="0"/>
      <w:marTop w:val="0"/>
      <w:marBottom w:val="0"/>
      <w:divBdr>
        <w:top w:val="none" w:sz="0" w:space="0" w:color="auto"/>
        <w:left w:val="none" w:sz="0" w:space="0" w:color="auto"/>
        <w:bottom w:val="none" w:sz="0" w:space="0" w:color="auto"/>
        <w:right w:val="none" w:sz="0" w:space="0" w:color="auto"/>
      </w:divBdr>
    </w:div>
    <w:div w:id="1126505899">
      <w:bodyDiv w:val="1"/>
      <w:marLeft w:val="0"/>
      <w:marRight w:val="0"/>
      <w:marTop w:val="0"/>
      <w:marBottom w:val="0"/>
      <w:divBdr>
        <w:top w:val="none" w:sz="0" w:space="0" w:color="auto"/>
        <w:left w:val="none" w:sz="0" w:space="0" w:color="auto"/>
        <w:bottom w:val="none" w:sz="0" w:space="0" w:color="auto"/>
        <w:right w:val="none" w:sz="0" w:space="0" w:color="auto"/>
      </w:divBdr>
    </w:div>
    <w:div w:id="1140030820">
      <w:bodyDiv w:val="1"/>
      <w:marLeft w:val="0"/>
      <w:marRight w:val="0"/>
      <w:marTop w:val="0"/>
      <w:marBottom w:val="0"/>
      <w:divBdr>
        <w:top w:val="none" w:sz="0" w:space="0" w:color="auto"/>
        <w:left w:val="none" w:sz="0" w:space="0" w:color="auto"/>
        <w:bottom w:val="none" w:sz="0" w:space="0" w:color="auto"/>
        <w:right w:val="none" w:sz="0" w:space="0" w:color="auto"/>
      </w:divBdr>
    </w:div>
    <w:div w:id="1145511305">
      <w:bodyDiv w:val="1"/>
      <w:marLeft w:val="0"/>
      <w:marRight w:val="0"/>
      <w:marTop w:val="0"/>
      <w:marBottom w:val="0"/>
      <w:divBdr>
        <w:top w:val="none" w:sz="0" w:space="0" w:color="auto"/>
        <w:left w:val="none" w:sz="0" w:space="0" w:color="auto"/>
        <w:bottom w:val="none" w:sz="0" w:space="0" w:color="auto"/>
        <w:right w:val="none" w:sz="0" w:space="0" w:color="auto"/>
      </w:divBdr>
    </w:div>
    <w:div w:id="1146703335">
      <w:bodyDiv w:val="1"/>
      <w:marLeft w:val="0"/>
      <w:marRight w:val="0"/>
      <w:marTop w:val="0"/>
      <w:marBottom w:val="0"/>
      <w:divBdr>
        <w:top w:val="none" w:sz="0" w:space="0" w:color="auto"/>
        <w:left w:val="none" w:sz="0" w:space="0" w:color="auto"/>
        <w:bottom w:val="none" w:sz="0" w:space="0" w:color="auto"/>
        <w:right w:val="none" w:sz="0" w:space="0" w:color="auto"/>
      </w:divBdr>
    </w:div>
    <w:div w:id="1150175853">
      <w:bodyDiv w:val="1"/>
      <w:marLeft w:val="0"/>
      <w:marRight w:val="0"/>
      <w:marTop w:val="0"/>
      <w:marBottom w:val="0"/>
      <w:divBdr>
        <w:top w:val="none" w:sz="0" w:space="0" w:color="auto"/>
        <w:left w:val="none" w:sz="0" w:space="0" w:color="auto"/>
        <w:bottom w:val="none" w:sz="0" w:space="0" w:color="auto"/>
        <w:right w:val="none" w:sz="0" w:space="0" w:color="auto"/>
      </w:divBdr>
    </w:div>
    <w:div w:id="1160120543">
      <w:bodyDiv w:val="1"/>
      <w:marLeft w:val="0"/>
      <w:marRight w:val="0"/>
      <w:marTop w:val="0"/>
      <w:marBottom w:val="0"/>
      <w:divBdr>
        <w:top w:val="none" w:sz="0" w:space="0" w:color="auto"/>
        <w:left w:val="none" w:sz="0" w:space="0" w:color="auto"/>
        <w:bottom w:val="none" w:sz="0" w:space="0" w:color="auto"/>
        <w:right w:val="none" w:sz="0" w:space="0" w:color="auto"/>
      </w:divBdr>
    </w:div>
    <w:div w:id="1161894937">
      <w:bodyDiv w:val="1"/>
      <w:marLeft w:val="0"/>
      <w:marRight w:val="0"/>
      <w:marTop w:val="0"/>
      <w:marBottom w:val="0"/>
      <w:divBdr>
        <w:top w:val="none" w:sz="0" w:space="0" w:color="auto"/>
        <w:left w:val="none" w:sz="0" w:space="0" w:color="auto"/>
        <w:bottom w:val="none" w:sz="0" w:space="0" w:color="auto"/>
        <w:right w:val="none" w:sz="0" w:space="0" w:color="auto"/>
      </w:divBdr>
    </w:div>
    <w:div w:id="1174490380">
      <w:bodyDiv w:val="1"/>
      <w:marLeft w:val="0"/>
      <w:marRight w:val="0"/>
      <w:marTop w:val="0"/>
      <w:marBottom w:val="0"/>
      <w:divBdr>
        <w:top w:val="none" w:sz="0" w:space="0" w:color="auto"/>
        <w:left w:val="none" w:sz="0" w:space="0" w:color="auto"/>
        <w:bottom w:val="none" w:sz="0" w:space="0" w:color="auto"/>
        <w:right w:val="none" w:sz="0" w:space="0" w:color="auto"/>
      </w:divBdr>
    </w:div>
    <w:div w:id="1179077432">
      <w:bodyDiv w:val="1"/>
      <w:marLeft w:val="0"/>
      <w:marRight w:val="0"/>
      <w:marTop w:val="0"/>
      <w:marBottom w:val="0"/>
      <w:divBdr>
        <w:top w:val="none" w:sz="0" w:space="0" w:color="auto"/>
        <w:left w:val="none" w:sz="0" w:space="0" w:color="auto"/>
        <w:bottom w:val="none" w:sz="0" w:space="0" w:color="auto"/>
        <w:right w:val="none" w:sz="0" w:space="0" w:color="auto"/>
      </w:divBdr>
    </w:div>
    <w:div w:id="1182204367">
      <w:bodyDiv w:val="1"/>
      <w:marLeft w:val="0"/>
      <w:marRight w:val="0"/>
      <w:marTop w:val="0"/>
      <w:marBottom w:val="0"/>
      <w:divBdr>
        <w:top w:val="none" w:sz="0" w:space="0" w:color="auto"/>
        <w:left w:val="none" w:sz="0" w:space="0" w:color="auto"/>
        <w:bottom w:val="none" w:sz="0" w:space="0" w:color="auto"/>
        <w:right w:val="none" w:sz="0" w:space="0" w:color="auto"/>
      </w:divBdr>
    </w:div>
    <w:div w:id="1184245890">
      <w:bodyDiv w:val="1"/>
      <w:marLeft w:val="0"/>
      <w:marRight w:val="0"/>
      <w:marTop w:val="0"/>
      <w:marBottom w:val="0"/>
      <w:divBdr>
        <w:top w:val="none" w:sz="0" w:space="0" w:color="auto"/>
        <w:left w:val="none" w:sz="0" w:space="0" w:color="auto"/>
        <w:bottom w:val="none" w:sz="0" w:space="0" w:color="auto"/>
        <w:right w:val="none" w:sz="0" w:space="0" w:color="auto"/>
      </w:divBdr>
    </w:div>
    <w:div w:id="1196700743">
      <w:bodyDiv w:val="1"/>
      <w:marLeft w:val="0"/>
      <w:marRight w:val="0"/>
      <w:marTop w:val="0"/>
      <w:marBottom w:val="0"/>
      <w:divBdr>
        <w:top w:val="none" w:sz="0" w:space="0" w:color="auto"/>
        <w:left w:val="none" w:sz="0" w:space="0" w:color="auto"/>
        <w:bottom w:val="none" w:sz="0" w:space="0" w:color="auto"/>
        <w:right w:val="none" w:sz="0" w:space="0" w:color="auto"/>
      </w:divBdr>
    </w:div>
    <w:div w:id="1198860264">
      <w:bodyDiv w:val="1"/>
      <w:marLeft w:val="0"/>
      <w:marRight w:val="0"/>
      <w:marTop w:val="0"/>
      <w:marBottom w:val="0"/>
      <w:divBdr>
        <w:top w:val="none" w:sz="0" w:space="0" w:color="auto"/>
        <w:left w:val="none" w:sz="0" w:space="0" w:color="auto"/>
        <w:bottom w:val="none" w:sz="0" w:space="0" w:color="auto"/>
        <w:right w:val="none" w:sz="0" w:space="0" w:color="auto"/>
      </w:divBdr>
    </w:div>
    <w:div w:id="1199472395">
      <w:bodyDiv w:val="1"/>
      <w:marLeft w:val="0"/>
      <w:marRight w:val="0"/>
      <w:marTop w:val="0"/>
      <w:marBottom w:val="0"/>
      <w:divBdr>
        <w:top w:val="none" w:sz="0" w:space="0" w:color="auto"/>
        <w:left w:val="none" w:sz="0" w:space="0" w:color="auto"/>
        <w:bottom w:val="none" w:sz="0" w:space="0" w:color="auto"/>
        <w:right w:val="none" w:sz="0" w:space="0" w:color="auto"/>
      </w:divBdr>
    </w:div>
    <w:div w:id="1206865047">
      <w:bodyDiv w:val="1"/>
      <w:marLeft w:val="0"/>
      <w:marRight w:val="0"/>
      <w:marTop w:val="0"/>
      <w:marBottom w:val="0"/>
      <w:divBdr>
        <w:top w:val="none" w:sz="0" w:space="0" w:color="auto"/>
        <w:left w:val="none" w:sz="0" w:space="0" w:color="auto"/>
        <w:bottom w:val="none" w:sz="0" w:space="0" w:color="auto"/>
        <w:right w:val="none" w:sz="0" w:space="0" w:color="auto"/>
      </w:divBdr>
    </w:div>
    <w:div w:id="1206983387">
      <w:bodyDiv w:val="1"/>
      <w:marLeft w:val="0"/>
      <w:marRight w:val="0"/>
      <w:marTop w:val="0"/>
      <w:marBottom w:val="0"/>
      <w:divBdr>
        <w:top w:val="none" w:sz="0" w:space="0" w:color="auto"/>
        <w:left w:val="none" w:sz="0" w:space="0" w:color="auto"/>
        <w:bottom w:val="none" w:sz="0" w:space="0" w:color="auto"/>
        <w:right w:val="none" w:sz="0" w:space="0" w:color="auto"/>
      </w:divBdr>
    </w:div>
    <w:div w:id="1207570880">
      <w:bodyDiv w:val="1"/>
      <w:marLeft w:val="0"/>
      <w:marRight w:val="0"/>
      <w:marTop w:val="0"/>
      <w:marBottom w:val="0"/>
      <w:divBdr>
        <w:top w:val="none" w:sz="0" w:space="0" w:color="auto"/>
        <w:left w:val="none" w:sz="0" w:space="0" w:color="auto"/>
        <w:bottom w:val="none" w:sz="0" w:space="0" w:color="auto"/>
        <w:right w:val="none" w:sz="0" w:space="0" w:color="auto"/>
      </w:divBdr>
    </w:div>
    <w:div w:id="1235356110">
      <w:bodyDiv w:val="1"/>
      <w:marLeft w:val="0"/>
      <w:marRight w:val="0"/>
      <w:marTop w:val="0"/>
      <w:marBottom w:val="0"/>
      <w:divBdr>
        <w:top w:val="none" w:sz="0" w:space="0" w:color="auto"/>
        <w:left w:val="none" w:sz="0" w:space="0" w:color="auto"/>
        <w:bottom w:val="none" w:sz="0" w:space="0" w:color="auto"/>
        <w:right w:val="none" w:sz="0" w:space="0" w:color="auto"/>
      </w:divBdr>
    </w:div>
    <w:div w:id="1236164913">
      <w:bodyDiv w:val="1"/>
      <w:marLeft w:val="0"/>
      <w:marRight w:val="0"/>
      <w:marTop w:val="0"/>
      <w:marBottom w:val="0"/>
      <w:divBdr>
        <w:top w:val="none" w:sz="0" w:space="0" w:color="auto"/>
        <w:left w:val="none" w:sz="0" w:space="0" w:color="auto"/>
        <w:bottom w:val="none" w:sz="0" w:space="0" w:color="auto"/>
        <w:right w:val="none" w:sz="0" w:space="0" w:color="auto"/>
      </w:divBdr>
    </w:div>
    <w:div w:id="1245533875">
      <w:bodyDiv w:val="1"/>
      <w:marLeft w:val="0"/>
      <w:marRight w:val="0"/>
      <w:marTop w:val="0"/>
      <w:marBottom w:val="0"/>
      <w:divBdr>
        <w:top w:val="none" w:sz="0" w:space="0" w:color="auto"/>
        <w:left w:val="none" w:sz="0" w:space="0" w:color="auto"/>
        <w:bottom w:val="none" w:sz="0" w:space="0" w:color="auto"/>
        <w:right w:val="none" w:sz="0" w:space="0" w:color="auto"/>
      </w:divBdr>
    </w:div>
    <w:div w:id="1252160544">
      <w:bodyDiv w:val="1"/>
      <w:marLeft w:val="0"/>
      <w:marRight w:val="0"/>
      <w:marTop w:val="0"/>
      <w:marBottom w:val="0"/>
      <w:divBdr>
        <w:top w:val="none" w:sz="0" w:space="0" w:color="auto"/>
        <w:left w:val="none" w:sz="0" w:space="0" w:color="auto"/>
        <w:bottom w:val="none" w:sz="0" w:space="0" w:color="auto"/>
        <w:right w:val="none" w:sz="0" w:space="0" w:color="auto"/>
      </w:divBdr>
    </w:div>
    <w:div w:id="1261179904">
      <w:bodyDiv w:val="1"/>
      <w:marLeft w:val="0"/>
      <w:marRight w:val="0"/>
      <w:marTop w:val="0"/>
      <w:marBottom w:val="0"/>
      <w:divBdr>
        <w:top w:val="none" w:sz="0" w:space="0" w:color="auto"/>
        <w:left w:val="none" w:sz="0" w:space="0" w:color="auto"/>
        <w:bottom w:val="none" w:sz="0" w:space="0" w:color="auto"/>
        <w:right w:val="none" w:sz="0" w:space="0" w:color="auto"/>
      </w:divBdr>
    </w:div>
    <w:div w:id="1270435047">
      <w:bodyDiv w:val="1"/>
      <w:marLeft w:val="0"/>
      <w:marRight w:val="0"/>
      <w:marTop w:val="0"/>
      <w:marBottom w:val="0"/>
      <w:divBdr>
        <w:top w:val="none" w:sz="0" w:space="0" w:color="auto"/>
        <w:left w:val="none" w:sz="0" w:space="0" w:color="auto"/>
        <w:bottom w:val="none" w:sz="0" w:space="0" w:color="auto"/>
        <w:right w:val="none" w:sz="0" w:space="0" w:color="auto"/>
      </w:divBdr>
    </w:div>
    <w:div w:id="1292248655">
      <w:bodyDiv w:val="1"/>
      <w:marLeft w:val="0"/>
      <w:marRight w:val="0"/>
      <w:marTop w:val="0"/>
      <w:marBottom w:val="0"/>
      <w:divBdr>
        <w:top w:val="none" w:sz="0" w:space="0" w:color="auto"/>
        <w:left w:val="none" w:sz="0" w:space="0" w:color="auto"/>
        <w:bottom w:val="none" w:sz="0" w:space="0" w:color="auto"/>
        <w:right w:val="none" w:sz="0" w:space="0" w:color="auto"/>
      </w:divBdr>
    </w:div>
    <w:div w:id="1312448338">
      <w:bodyDiv w:val="1"/>
      <w:marLeft w:val="0"/>
      <w:marRight w:val="0"/>
      <w:marTop w:val="0"/>
      <w:marBottom w:val="0"/>
      <w:divBdr>
        <w:top w:val="none" w:sz="0" w:space="0" w:color="auto"/>
        <w:left w:val="none" w:sz="0" w:space="0" w:color="auto"/>
        <w:bottom w:val="none" w:sz="0" w:space="0" w:color="auto"/>
        <w:right w:val="none" w:sz="0" w:space="0" w:color="auto"/>
      </w:divBdr>
    </w:div>
    <w:div w:id="1335381700">
      <w:bodyDiv w:val="1"/>
      <w:marLeft w:val="0"/>
      <w:marRight w:val="0"/>
      <w:marTop w:val="0"/>
      <w:marBottom w:val="0"/>
      <w:divBdr>
        <w:top w:val="none" w:sz="0" w:space="0" w:color="auto"/>
        <w:left w:val="none" w:sz="0" w:space="0" w:color="auto"/>
        <w:bottom w:val="none" w:sz="0" w:space="0" w:color="auto"/>
        <w:right w:val="none" w:sz="0" w:space="0" w:color="auto"/>
      </w:divBdr>
    </w:div>
    <w:div w:id="1340082976">
      <w:bodyDiv w:val="1"/>
      <w:marLeft w:val="0"/>
      <w:marRight w:val="0"/>
      <w:marTop w:val="0"/>
      <w:marBottom w:val="0"/>
      <w:divBdr>
        <w:top w:val="none" w:sz="0" w:space="0" w:color="auto"/>
        <w:left w:val="none" w:sz="0" w:space="0" w:color="auto"/>
        <w:bottom w:val="none" w:sz="0" w:space="0" w:color="auto"/>
        <w:right w:val="none" w:sz="0" w:space="0" w:color="auto"/>
      </w:divBdr>
    </w:div>
    <w:div w:id="1344361780">
      <w:bodyDiv w:val="1"/>
      <w:marLeft w:val="0"/>
      <w:marRight w:val="0"/>
      <w:marTop w:val="0"/>
      <w:marBottom w:val="0"/>
      <w:divBdr>
        <w:top w:val="none" w:sz="0" w:space="0" w:color="auto"/>
        <w:left w:val="none" w:sz="0" w:space="0" w:color="auto"/>
        <w:bottom w:val="none" w:sz="0" w:space="0" w:color="auto"/>
        <w:right w:val="none" w:sz="0" w:space="0" w:color="auto"/>
      </w:divBdr>
    </w:div>
    <w:div w:id="1346176338">
      <w:bodyDiv w:val="1"/>
      <w:marLeft w:val="0"/>
      <w:marRight w:val="0"/>
      <w:marTop w:val="0"/>
      <w:marBottom w:val="0"/>
      <w:divBdr>
        <w:top w:val="none" w:sz="0" w:space="0" w:color="auto"/>
        <w:left w:val="none" w:sz="0" w:space="0" w:color="auto"/>
        <w:bottom w:val="none" w:sz="0" w:space="0" w:color="auto"/>
        <w:right w:val="none" w:sz="0" w:space="0" w:color="auto"/>
      </w:divBdr>
    </w:div>
    <w:div w:id="1349063974">
      <w:bodyDiv w:val="1"/>
      <w:marLeft w:val="0"/>
      <w:marRight w:val="0"/>
      <w:marTop w:val="0"/>
      <w:marBottom w:val="0"/>
      <w:divBdr>
        <w:top w:val="none" w:sz="0" w:space="0" w:color="auto"/>
        <w:left w:val="none" w:sz="0" w:space="0" w:color="auto"/>
        <w:bottom w:val="none" w:sz="0" w:space="0" w:color="auto"/>
        <w:right w:val="none" w:sz="0" w:space="0" w:color="auto"/>
      </w:divBdr>
    </w:div>
    <w:div w:id="1360278599">
      <w:bodyDiv w:val="1"/>
      <w:marLeft w:val="0"/>
      <w:marRight w:val="0"/>
      <w:marTop w:val="0"/>
      <w:marBottom w:val="0"/>
      <w:divBdr>
        <w:top w:val="none" w:sz="0" w:space="0" w:color="auto"/>
        <w:left w:val="none" w:sz="0" w:space="0" w:color="auto"/>
        <w:bottom w:val="none" w:sz="0" w:space="0" w:color="auto"/>
        <w:right w:val="none" w:sz="0" w:space="0" w:color="auto"/>
      </w:divBdr>
    </w:div>
    <w:div w:id="1360862500">
      <w:bodyDiv w:val="1"/>
      <w:marLeft w:val="0"/>
      <w:marRight w:val="0"/>
      <w:marTop w:val="0"/>
      <w:marBottom w:val="0"/>
      <w:divBdr>
        <w:top w:val="none" w:sz="0" w:space="0" w:color="auto"/>
        <w:left w:val="none" w:sz="0" w:space="0" w:color="auto"/>
        <w:bottom w:val="none" w:sz="0" w:space="0" w:color="auto"/>
        <w:right w:val="none" w:sz="0" w:space="0" w:color="auto"/>
      </w:divBdr>
      <w:divsChild>
        <w:div w:id="456996670">
          <w:marLeft w:val="0"/>
          <w:marRight w:val="0"/>
          <w:marTop w:val="0"/>
          <w:marBottom w:val="0"/>
          <w:divBdr>
            <w:top w:val="none" w:sz="0" w:space="0" w:color="auto"/>
            <w:left w:val="none" w:sz="0" w:space="0" w:color="auto"/>
            <w:bottom w:val="none" w:sz="0" w:space="0" w:color="auto"/>
            <w:right w:val="none" w:sz="0" w:space="0" w:color="auto"/>
          </w:divBdr>
          <w:divsChild>
            <w:div w:id="1615092055">
              <w:marLeft w:val="0"/>
              <w:marRight w:val="0"/>
              <w:marTop w:val="0"/>
              <w:marBottom w:val="0"/>
              <w:divBdr>
                <w:top w:val="none" w:sz="0" w:space="0" w:color="auto"/>
                <w:left w:val="none" w:sz="0" w:space="0" w:color="auto"/>
                <w:bottom w:val="none" w:sz="0" w:space="0" w:color="auto"/>
                <w:right w:val="none" w:sz="0" w:space="0" w:color="auto"/>
              </w:divBdr>
            </w:div>
            <w:div w:id="186116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6774">
      <w:bodyDiv w:val="1"/>
      <w:marLeft w:val="0"/>
      <w:marRight w:val="0"/>
      <w:marTop w:val="0"/>
      <w:marBottom w:val="0"/>
      <w:divBdr>
        <w:top w:val="none" w:sz="0" w:space="0" w:color="auto"/>
        <w:left w:val="none" w:sz="0" w:space="0" w:color="auto"/>
        <w:bottom w:val="none" w:sz="0" w:space="0" w:color="auto"/>
        <w:right w:val="none" w:sz="0" w:space="0" w:color="auto"/>
      </w:divBdr>
    </w:div>
    <w:div w:id="1410269817">
      <w:bodyDiv w:val="1"/>
      <w:marLeft w:val="0"/>
      <w:marRight w:val="0"/>
      <w:marTop w:val="0"/>
      <w:marBottom w:val="0"/>
      <w:divBdr>
        <w:top w:val="none" w:sz="0" w:space="0" w:color="auto"/>
        <w:left w:val="none" w:sz="0" w:space="0" w:color="auto"/>
        <w:bottom w:val="none" w:sz="0" w:space="0" w:color="auto"/>
        <w:right w:val="none" w:sz="0" w:space="0" w:color="auto"/>
      </w:divBdr>
    </w:div>
    <w:div w:id="1434743037">
      <w:bodyDiv w:val="1"/>
      <w:marLeft w:val="0"/>
      <w:marRight w:val="0"/>
      <w:marTop w:val="0"/>
      <w:marBottom w:val="0"/>
      <w:divBdr>
        <w:top w:val="none" w:sz="0" w:space="0" w:color="auto"/>
        <w:left w:val="none" w:sz="0" w:space="0" w:color="auto"/>
        <w:bottom w:val="none" w:sz="0" w:space="0" w:color="auto"/>
        <w:right w:val="none" w:sz="0" w:space="0" w:color="auto"/>
      </w:divBdr>
    </w:div>
    <w:div w:id="1444421670">
      <w:bodyDiv w:val="1"/>
      <w:marLeft w:val="0"/>
      <w:marRight w:val="0"/>
      <w:marTop w:val="0"/>
      <w:marBottom w:val="0"/>
      <w:divBdr>
        <w:top w:val="none" w:sz="0" w:space="0" w:color="auto"/>
        <w:left w:val="none" w:sz="0" w:space="0" w:color="auto"/>
        <w:bottom w:val="none" w:sz="0" w:space="0" w:color="auto"/>
        <w:right w:val="none" w:sz="0" w:space="0" w:color="auto"/>
      </w:divBdr>
    </w:div>
    <w:div w:id="1471558808">
      <w:bodyDiv w:val="1"/>
      <w:marLeft w:val="0"/>
      <w:marRight w:val="0"/>
      <w:marTop w:val="0"/>
      <w:marBottom w:val="0"/>
      <w:divBdr>
        <w:top w:val="none" w:sz="0" w:space="0" w:color="auto"/>
        <w:left w:val="none" w:sz="0" w:space="0" w:color="auto"/>
        <w:bottom w:val="none" w:sz="0" w:space="0" w:color="auto"/>
        <w:right w:val="none" w:sz="0" w:space="0" w:color="auto"/>
      </w:divBdr>
    </w:div>
    <w:div w:id="1487432135">
      <w:bodyDiv w:val="1"/>
      <w:marLeft w:val="0"/>
      <w:marRight w:val="0"/>
      <w:marTop w:val="0"/>
      <w:marBottom w:val="0"/>
      <w:divBdr>
        <w:top w:val="none" w:sz="0" w:space="0" w:color="auto"/>
        <w:left w:val="none" w:sz="0" w:space="0" w:color="auto"/>
        <w:bottom w:val="none" w:sz="0" w:space="0" w:color="auto"/>
        <w:right w:val="none" w:sz="0" w:space="0" w:color="auto"/>
      </w:divBdr>
    </w:div>
    <w:div w:id="1488664220">
      <w:bodyDiv w:val="1"/>
      <w:marLeft w:val="0"/>
      <w:marRight w:val="0"/>
      <w:marTop w:val="0"/>
      <w:marBottom w:val="0"/>
      <w:divBdr>
        <w:top w:val="none" w:sz="0" w:space="0" w:color="auto"/>
        <w:left w:val="none" w:sz="0" w:space="0" w:color="auto"/>
        <w:bottom w:val="none" w:sz="0" w:space="0" w:color="auto"/>
        <w:right w:val="none" w:sz="0" w:space="0" w:color="auto"/>
      </w:divBdr>
    </w:div>
    <w:div w:id="1498182741">
      <w:bodyDiv w:val="1"/>
      <w:marLeft w:val="0"/>
      <w:marRight w:val="0"/>
      <w:marTop w:val="0"/>
      <w:marBottom w:val="0"/>
      <w:divBdr>
        <w:top w:val="none" w:sz="0" w:space="0" w:color="auto"/>
        <w:left w:val="none" w:sz="0" w:space="0" w:color="auto"/>
        <w:bottom w:val="none" w:sz="0" w:space="0" w:color="auto"/>
        <w:right w:val="none" w:sz="0" w:space="0" w:color="auto"/>
      </w:divBdr>
    </w:div>
    <w:div w:id="1555123723">
      <w:bodyDiv w:val="1"/>
      <w:marLeft w:val="0"/>
      <w:marRight w:val="0"/>
      <w:marTop w:val="0"/>
      <w:marBottom w:val="0"/>
      <w:divBdr>
        <w:top w:val="none" w:sz="0" w:space="0" w:color="auto"/>
        <w:left w:val="none" w:sz="0" w:space="0" w:color="auto"/>
        <w:bottom w:val="none" w:sz="0" w:space="0" w:color="auto"/>
        <w:right w:val="none" w:sz="0" w:space="0" w:color="auto"/>
      </w:divBdr>
    </w:div>
    <w:div w:id="1567104298">
      <w:bodyDiv w:val="1"/>
      <w:marLeft w:val="0"/>
      <w:marRight w:val="0"/>
      <w:marTop w:val="0"/>
      <w:marBottom w:val="0"/>
      <w:divBdr>
        <w:top w:val="none" w:sz="0" w:space="0" w:color="auto"/>
        <w:left w:val="none" w:sz="0" w:space="0" w:color="auto"/>
        <w:bottom w:val="none" w:sz="0" w:space="0" w:color="auto"/>
        <w:right w:val="none" w:sz="0" w:space="0" w:color="auto"/>
      </w:divBdr>
    </w:div>
    <w:div w:id="1579170664">
      <w:bodyDiv w:val="1"/>
      <w:marLeft w:val="0"/>
      <w:marRight w:val="0"/>
      <w:marTop w:val="0"/>
      <w:marBottom w:val="0"/>
      <w:divBdr>
        <w:top w:val="none" w:sz="0" w:space="0" w:color="auto"/>
        <w:left w:val="none" w:sz="0" w:space="0" w:color="auto"/>
        <w:bottom w:val="none" w:sz="0" w:space="0" w:color="auto"/>
        <w:right w:val="none" w:sz="0" w:space="0" w:color="auto"/>
      </w:divBdr>
    </w:div>
    <w:div w:id="1579704874">
      <w:bodyDiv w:val="1"/>
      <w:marLeft w:val="0"/>
      <w:marRight w:val="0"/>
      <w:marTop w:val="0"/>
      <w:marBottom w:val="0"/>
      <w:divBdr>
        <w:top w:val="none" w:sz="0" w:space="0" w:color="auto"/>
        <w:left w:val="none" w:sz="0" w:space="0" w:color="auto"/>
        <w:bottom w:val="none" w:sz="0" w:space="0" w:color="auto"/>
        <w:right w:val="none" w:sz="0" w:space="0" w:color="auto"/>
      </w:divBdr>
    </w:div>
    <w:div w:id="1583029884">
      <w:bodyDiv w:val="1"/>
      <w:marLeft w:val="0"/>
      <w:marRight w:val="0"/>
      <w:marTop w:val="0"/>
      <w:marBottom w:val="0"/>
      <w:divBdr>
        <w:top w:val="none" w:sz="0" w:space="0" w:color="auto"/>
        <w:left w:val="none" w:sz="0" w:space="0" w:color="auto"/>
        <w:bottom w:val="none" w:sz="0" w:space="0" w:color="auto"/>
        <w:right w:val="none" w:sz="0" w:space="0" w:color="auto"/>
      </w:divBdr>
    </w:div>
    <w:div w:id="1591967669">
      <w:bodyDiv w:val="1"/>
      <w:marLeft w:val="0"/>
      <w:marRight w:val="0"/>
      <w:marTop w:val="0"/>
      <w:marBottom w:val="0"/>
      <w:divBdr>
        <w:top w:val="none" w:sz="0" w:space="0" w:color="auto"/>
        <w:left w:val="none" w:sz="0" w:space="0" w:color="auto"/>
        <w:bottom w:val="none" w:sz="0" w:space="0" w:color="auto"/>
        <w:right w:val="none" w:sz="0" w:space="0" w:color="auto"/>
      </w:divBdr>
    </w:div>
    <w:div w:id="1592467245">
      <w:bodyDiv w:val="1"/>
      <w:marLeft w:val="0"/>
      <w:marRight w:val="0"/>
      <w:marTop w:val="0"/>
      <w:marBottom w:val="0"/>
      <w:divBdr>
        <w:top w:val="none" w:sz="0" w:space="0" w:color="auto"/>
        <w:left w:val="none" w:sz="0" w:space="0" w:color="auto"/>
        <w:bottom w:val="none" w:sz="0" w:space="0" w:color="auto"/>
        <w:right w:val="none" w:sz="0" w:space="0" w:color="auto"/>
      </w:divBdr>
    </w:div>
    <w:div w:id="1609435009">
      <w:bodyDiv w:val="1"/>
      <w:marLeft w:val="0"/>
      <w:marRight w:val="0"/>
      <w:marTop w:val="0"/>
      <w:marBottom w:val="0"/>
      <w:divBdr>
        <w:top w:val="none" w:sz="0" w:space="0" w:color="auto"/>
        <w:left w:val="none" w:sz="0" w:space="0" w:color="auto"/>
        <w:bottom w:val="none" w:sz="0" w:space="0" w:color="auto"/>
        <w:right w:val="none" w:sz="0" w:space="0" w:color="auto"/>
      </w:divBdr>
    </w:div>
    <w:div w:id="1625035980">
      <w:bodyDiv w:val="1"/>
      <w:marLeft w:val="0"/>
      <w:marRight w:val="0"/>
      <w:marTop w:val="0"/>
      <w:marBottom w:val="0"/>
      <w:divBdr>
        <w:top w:val="none" w:sz="0" w:space="0" w:color="auto"/>
        <w:left w:val="none" w:sz="0" w:space="0" w:color="auto"/>
        <w:bottom w:val="none" w:sz="0" w:space="0" w:color="auto"/>
        <w:right w:val="none" w:sz="0" w:space="0" w:color="auto"/>
      </w:divBdr>
    </w:div>
    <w:div w:id="1633097200">
      <w:bodyDiv w:val="1"/>
      <w:marLeft w:val="0"/>
      <w:marRight w:val="0"/>
      <w:marTop w:val="0"/>
      <w:marBottom w:val="0"/>
      <w:divBdr>
        <w:top w:val="none" w:sz="0" w:space="0" w:color="auto"/>
        <w:left w:val="none" w:sz="0" w:space="0" w:color="auto"/>
        <w:bottom w:val="none" w:sz="0" w:space="0" w:color="auto"/>
        <w:right w:val="none" w:sz="0" w:space="0" w:color="auto"/>
      </w:divBdr>
    </w:div>
    <w:div w:id="1635410010">
      <w:bodyDiv w:val="1"/>
      <w:marLeft w:val="0"/>
      <w:marRight w:val="0"/>
      <w:marTop w:val="0"/>
      <w:marBottom w:val="0"/>
      <w:divBdr>
        <w:top w:val="none" w:sz="0" w:space="0" w:color="auto"/>
        <w:left w:val="none" w:sz="0" w:space="0" w:color="auto"/>
        <w:bottom w:val="none" w:sz="0" w:space="0" w:color="auto"/>
        <w:right w:val="none" w:sz="0" w:space="0" w:color="auto"/>
      </w:divBdr>
    </w:div>
    <w:div w:id="1644038348">
      <w:bodyDiv w:val="1"/>
      <w:marLeft w:val="0"/>
      <w:marRight w:val="0"/>
      <w:marTop w:val="0"/>
      <w:marBottom w:val="0"/>
      <w:divBdr>
        <w:top w:val="none" w:sz="0" w:space="0" w:color="auto"/>
        <w:left w:val="none" w:sz="0" w:space="0" w:color="auto"/>
        <w:bottom w:val="none" w:sz="0" w:space="0" w:color="auto"/>
        <w:right w:val="none" w:sz="0" w:space="0" w:color="auto"/>
      </w:divBdr>
    </w:div>
    <w:div w:id="1668899685">
      <w:bodyDiv w:val="1"/>
      <w:marLeft w:val="0"/>
      <w:marRight w:val="0"/>
      <w:marTop w:val="0"/>
      <w:marBottom w:val="0"/>
      <w:divBdr>
        <w:top w:val="none" w:sz="0" w:space="0" w:color="auto"/>
        <w:left w:val="none" w:sz="0" w:space="0" w:color="auto"/>
        <w:bottom w:val="none" w:sz="0" w:space="0" w:color="auto"/>
        <w:right w:val="none" w:sz="0" w:space="0" w:color="auto"/>
      </w:divBdr>
    </w:div>
    <w:div w:id="1673337945">
      <w:bodyDiv w:val="1"/>
      <w:marLeft w:val="0"/>
      <w:marRight w:val="0"/>
      <w:marTop w:val="0"/>
      <w:marBottom w:val="0"/>
      <w:divBdr>
        <w:top w:val="none" w:sz="0" w:space="0" w:color="auto"/>
        <w:left w:val="none" w:sz="0" w:space="0" w:color="auto"/>
        <w:bottom w:val="none" w:sz="0" w:space="0" w:color="auto"/>
        <w:right w:val="none" w:sz="0" w:space="0" w:color="auto"/>
      </w:divBdr>
    </w:div>
    <w:div w:id="1691107966">
      <w:bodyDiv w:val="1"/>
      <w:marLeft w:val="0"/>
      <w:marRight w:val="0"/>
      <w:marTop w:val="0"/>
      <w:marBottom w:val="0"/>
      <w:divBdr>
        <w:top w:val="none" w:sz="0" w:space="0" w:color="auto"/>
        <w:left w:val="none" w:sz="0" w:space="0" w:color="auto"/>
        <w:bottom w:val="none" w:sz="0" w:space="0" w:color="auto"/>
        <w:right w:val="none" w:sz="0" w:space="0" w:color="auto"/>
      </w:divBdr>
    </w:div>
    <w:div w:id="1706055058">
      <w:bodyDiv w:val="1"/>
      <w:marLeft w:val="0"/>
      <w:marRight w:val="0"/>
      <w:marTop w:val="0"/>
      <w:marBottom w:val="0"/>
      <w:divBdr>
        <w:top w:val="none" w:sz="0" w:space="0" w:color="auto"/>
        <w:left w:val="none" w:sz="0" w:space="0" w:color="auto"/>
        <w:bottom w:val="none" w:sz="0" w:space="0" w:color="auto"/>
        <w:right w:val="none" w:sz="0" w:space="0" w:color="auto"/>
      </w:divBdr>
    </w:div>
    <w:div w:id="1709841653">
      <w:bodyDiv w:val="1"/>
      <w:marLeft w:val="0"/>
      <w:marRight w:val="0"/>
      <w:marTop w:val="0"/>
      <w:marBottom w:val="0"/>
      <w:divBdr>
        <w:top w:val="none" w:sz="0" w:space="0" w:color="auto"/>
        <w:left w:val="none" w:sz="0" w:space="0" w:color="auto"/>
        <w:bottom w:val="none" w:sz="0" w:space="0" w:color="auto"/>
        <w:right w:val="none" w:sz="0" w:space="0" w:color="auto"/>
      </w:divBdr>
    </w:div>
    <w:div w:id="1724255930">
      <w:bodyDiv w:val="1"/>
      <w:marLeft w:val="0"/>
      <w:marRight w:val="0"/>
      <w:marTop w:val="0"/>
      <w:marBottom w:val="0"/>
      <w:divBdr>
        <w:top w:val="none" w:sz="0" w:space="0" w:color="auto"/>
        <w:left w:val="none" w:sz="0" w:space="0" w:color="auto"/>
        <w:bottom w:val="none" w:sz="0" w:space="0" w:color="auto"/>
        <w:right w:val="none" w:sz="0" w:space="0" w:color="auto"/>
      </w:divBdr>
    </w:div>
    <w:div w:id="1730499593">
      <w:bodyDiv w:val="1"/>
      <w:marLeft w:val="0"/>
      <w:marRight w:val="0"/>
      <w:marTop w:val="0"/>
      <w:marBottom w:val="0"/>
      <w:divBdr>
        <w:top w:val="none" w:sz="0" w:space="0" w:color="auto"/>
        <w:left w:val="none" w:sz="0" w:space="0" w:color="auto"/>
        <w:bottom w:val="none" w:sz="0" w:space="0" w:color="auto"/>
        <w:right w:val="none" w:sz="0" w:space="0" w:color="auto"/>
      </w:divBdr>
    </w:div>
    <w:div w:id="1732314034">
      <w:bodyDiv w:val="1"/>
      <w:marLeft w:val="0"/>
      <w:marRight w:val="0"/>
      <w:marTop w:val="0"/>
      <w:marBottom w:val="0"/>
      <w:divBdr>
        <w:top w:val="none" w:sz="0" w:space="0" w:color="auto"/>
        <w:left w:val="none" w:sz="0" w:space="0" w:color="auto"/>
        <w:bottom w:val="none" w:sz="0" w:space="0" w:color="auto"/>
        <w:right w:val="none" w:sz="0" w:space="0" w:color="auto"/>
      </w:divBdr>
    </w:div>
    <w:div w:id="1739131807">
      <w:bodyDiv w:val="1"/>
      <w:marLeft w:val="0"/>
      <w:marRight w:val="0"/>
      <w:marTop w:val="0"/>
      <w:marBottom w:val="0"/>
      <w:divBdr>
        <w:top w:val="none" w:sz="0" w:space="0" w:color="auto"/>
        <w:left w:val="none" w:sz="0" w:space="0" w:color="auto"/>
        <w:bottom w:val="none" w:sz="0" w:space="0" w:color="auto"/>
        <w:right w:val="none" w:sz="0" w:space="0" w:color="auto"/>
      </w:divBdr>
    </w:div>
    <w:div w:id="1747268286">
      <w:bodyDiv w:val="1"/>
      <w:marLeft w:val="0"/>
      <w:marRight w:val="0"/>
      <w:marTop w:val="0"/>
      <w:marBottom w:val="0"/>
      <w:divBdr>
        <w:top w:val="none" w:sz="0" w:space="0" w:color="auto"/>
        <w:left w:val="none" w:sz="0" w:space="0" w:color="auto"/>
        <w:bottom w:val="none" w:sz="0" w:space="0" w:color="auto"/>
        <w:right w:val="none" w:sz="0" w:space="0" w:color="auto"/>
      </w:divBdr>
    </w:div>
    <w:div w:id="1751612415">
      <w:bodyDiv w:val="1"/>
      <w:marLeft w:val="0"/>
      <w:marRight w:val="0"/>
      <w:marTop w:val="0"/>
      <w:marBottom w:val="0"/>
      <w:divBdr>
        <w:top w:val="none" w:sz="0" w:space="0" w:color="auto"/>
        <w:left w:val="none" w:sz="0" w:space="0" w:color="auto"/>
        <w:bottom w:val="none" w:sz="0" w:space="0" w:color="auto"/>
        <w:right w:val="none" w:sz="0" w:space="0" w:color="auto"/>
      </w:divBdr>
    </w:div>
    <w:div w:id="1752653129">
      <w:bodyDiv w:val="1"/>
      <w:marLeft w:val="0"/>
      <w:marRight w:val="0"/>
      <w:marTop w:val="0"/>
      <w:marBottom w:val="0"/>
      <w:divBdr>
        <w:top w:val="none" w:sz="0" w:space="0" w:color="auto"/>
        <w:left w:val="none" w:sz="0" w:space="0" w:color="auto"/>
        <w:bottom w:val="none" w:sz="0" w:space="0" w:color="auto"/>
        <w:right w:val="none" w:sz="0" w:space="0" w:color="auto"/>
      </w:divBdr>
    </w:div>
    <w:div w:id="1755857526">
      <w:bodyDiv w:val="1"/>
      <w:marLeft w:val="0"/>
      <w:marRight w:val="0"/>
      <w:marTop w:val="0"/>
      <w:marBottom w:val="0"/>
      <w:divBdr>
        <w:top w:val="none" w:sz="0" w:space="0" w:color="auto"/>
        <w:left w:val="none" w:sz="0" w:space="0" w:color="auto"/>
        <w:bottom w:val="none" w:sz="0" w:space="0" w:color="auto"/>
        <w:right w:val="none" w:sz="0" w:space="0" w:color="auto"/>
      </w:divBdr>
    </w:div>
    <w:div w:id="1771584646">
      <w:bodyDiv w:val="1"/>
      <w:marLeft w:val="0"/>
      <w:marRight w:val="0"/>
      <w:marTop w:val="0"/>
      <w:marBottom w:val="0"/>
      <w:divBdr>
        <w:top w:val="none" w:sz="0" w:space="0" w:color="auto"/>
        <w:left w:val="none" w:sz="0" w:space="0" w:color="auto"/>
        <w:bottom w:val="none" w:sz="0" w:space="0" w:color="auto"/>
        <w:right w:val="none" w:sz="0" w:space="0" w:color="auto"/>
      </w:divBdr>
    </w:div>
    <w:div w:id="1774474636">
      <w:bodyDiv w:val="1"/>
      <w:marLeft w:val="0"/>
      <w:marRight w:val="0"/>
      <w:marTop w:val="0"/>
      <w:marBottom w:val="0"/>
      <w:divBdr>
        <w:top w:val="none" w:sz="0" w:space="0" w:color="auto"/>
        <w:left w:val="none" w:sz="0" w:space="0" w:color="auto"/>
        <w:bottom w:val="none" w:sz="0" w:space="0" w:color="auto"/>
        <w:right w:val="none" w:sz="0" w:space="0" w:color="auto"/>
      </w:divBdr>
    </w:div>
    <w:div w:id="1782843153">
      <w:bodyDiv w:val="1"/>
      <w:marLeft w:val="0"/>
      <w:marRight w:val="0"/>
      <w:marTop w:val="0"/>
      <w:marBottom w:val="0"/>
      <w:divBdr>
        <w:top w:val="none" w:sz="0" w:space="0" w:color="auto"/>
        <w:left w:val="none" w:sz="0" w:space="0" w:color="auto"/>
        <w:bottom w:val="none" w:sz="0" w:space="0" w:color="auto"/>
        <w:right w:val="none" w:sz="0" w:space="0" w:color="auto"/>
      </w:divBdr>
    </w:div>
    <w:div w:id="1786268925">
      <w:bodyDiv w:val="1"/>
      <w:marLeft w:val="0"/>
      <w:marRight w:val="0"/>
      <w:marTop w:val="0"/>
      <w:marBottom w:val="0"/>
      <w:divBdr>
        <w:top w:val="none" w:sz="0" w:space="0" w:color="auto"/>
        <w:left w:val="none" w:sz="0" w:space="0" w:color="auto"/>
        <w:bottom w:val="none" w:sz="0" w:space="0" w:color="auto"/>
        <w:right w:val="none" w:sz="0" w:space="0" w:color="auto"/>
      </w:divBdr>
    </w:div>
    <w:div w:id="1809467016">
      <w:bodyDiv w:val="1"/>
      <w:marLeft w:val="0"/>
      <w:marRight w:val="0"/>
      <w:marTop w:val="0"/>
      <w:marBottom w:val="0"/>
      <w:divBdr>
        <w:top w:val="none" w:sz="0" w:space="0" w:color="auto"/>
        <w:left w:val="none" w:sz="0" w:space="0" w:color="auto"/>
        <w:bottom w:val="none" w:sz="0" w:space="0" w:color="auto"/>
        <w:right w:val="none" w:sz="0" w:space="0" w:color="auto"/>
      </w:divBdr>
    </w:div>
    <w:div w:id="1810510864">
      <w:bodyDiv w:val="1"/>
      <w:marLeft w:val="0"/>
      <w:marRight w:val="0"/>
      <w:marTop w:val="0"/>
      <w:marBottom w:val="0"/>
      <w:divBdr>
        <w:top w:val="none" w:sz="0" w:space="0" w:color="auto"/>
        <w:left w:val="none" w:sz="0" w:space="0" w:color="auto"/>
        <w:bottom w:val="none" w:sz="0" w:space="0" w:color="auto"/>
        <w:right w:val="none" w:sz="0" w:space="0" w:color="auto"/>
      </w:divBdr>
    </w:div>
    <w:div w:id="1825313288">
      <w:bodyDiv w:val="1"/>
      <w:marLeft w:val="0"/>
      <w:marRight w:val="0"/>
      <w:marTop w:val="0"/>
      <w:marBottom w:val="0"/>
      <w:divBdr>
        <w:top w:val="none" w:sz="0" w:space="0" w:color="auto"/>
        <w:left w:val="none" w:sz="0" w:space="0" w:color="auto"/>
        <w:bottom w:val="none" w:sz="0" w:space="0" w:color="auto"/>
        <w:right w:val="none" w:sz="0" w:space="0" w:color="auto"/>
      </w:divBdr>
    </w:div>
    <w:div w:id="1831674405">
      <w:bodyDiv w:val="1"/>
      <w:marLeft w:val="0"/>
      <w:marRight w:val="0"/>
      <w:marTop w:val="0"/>
      <w:marBottom w:val="0"/>
      <w:divBdr>
        <w:top w:val="none" w:sz="0" w:space="0" w:color="auto"/>
        <w:left w:val="none" w:sz="0" w:space="0" w:color="auto"/>
        <w:bottom w:val="none" w:sz="0" w:space="0" w:color="auto"/>
        <w:right w:val="none" w:sz="0" w:space="0" w:color="auto"/>
      </w:divBdr>
    </w:div>
    <w:div w:id="1838643596">
      <w:bodyDiv w:val="1"/>
      <w:marLeft w:val="0"/>
      <w:marRight w:val="0"/>
      <w:marTop w:val="0"/>
      <w:marBottom w:val="0"/>
      <w:divBdr>
        <w:top w:val="none" w:sz="0" w:space="0" w:color="auto"/>
        <w:left w:val="none" w:sz="0" w:space="0" w:color="auto"/>
        <w:bottom w:val="none" w:sz="0" w:space="0" w:color="auto"/>
        <w:right w:val="none" w:sz="0" w:space="0" w:color="auto"/>
      </w:divBdr>
    </w:div>
    <w:div w:id="1840267924">
      <w:bodyDiv w:val="1"/>
      <w:marLeft w:val="0"/>
      <w:marRight w:val="0"/>
      <w:marTop w:val="0"/>
      <w:marBottom w:val="0"/>
      <w:divBdr>
        <w:top w:val="none" w:sz="0" w:space="0" w:color="auto"/>
        <w:left w:val="none" w:sz="0" w:space="0" w:color="auto"/>
        <w:bottom w:val="none" w:sz="0" w:space="0" w:color="auto"/>
        <w:right w:val="none" w:sz="0" w:space="0" w:color="auto"/>
      </w:divBdr>
    </w:div>
    <w:div w:id="1851599373">
      <w:bodyDiv w:val="1"/>
      <w:marLeft w:val="0"/>
      <w:marRight w:val="0"/>
      <w:marTop w:val="0"/>
      <w:marBottom w:val="0"/>
      <w:divBdr>
        <w:top w:val="none" w:sz="0" w:space="0" w:color="auto"/>
        <w:left w:val="none" w:sz="0" w:space="0" w:color="auto"/>
        <w:bottom w:val="none" w:sz="0" w:space="0" w:color="auto"/>
        <w:right w:val="none" w:sz="0" w:space="0" w:color="auto"/>
      </w:divBdr>
    </w:div>
    <w:div w:id="1852333253">
      <w:bodyDiv w:val="1"/>
      <w:marLeft w:val="0"/>
      <w:marRight w:val="0"/>
      <w:marTop w:val="0"/>
      <w:marBottom w:val="0"/>
      <w:divBdr>
        <w:top w:val="none" w:sz="0" w:space="0" w:color="auto"/>
        <w:left w:val="none" w:sz="0" w:space="0" w:color="auto"/>
        <w:bottom w:val="none" w:sz="0" w:space="0" w:color="auto"/>
        <w:right w:val="none" w:sz="0" w:space="0" w:color="auto"/>
      </w:divBdr>
    </w:div>
    <w:div w:id="1858346835">
      <w:bodyDiv w:val="1"/>
      <w:marLeft w:val="0"/>
      <w:marRight w:val="0"/>
      <w:marTop w:val="0"/>
      <w:marBottom w:val="0"/>
      <w:divBdr>
        <w:top w:val="none" w:sz="0" w:space="0" w:color="auto"/>
        <w:left w:val="none" w:sz="0" w:space="0" w:color="auto"/>
        <w:bottom w:val="none" w:sz="0" w:space="0" w:color="auto"/>
        <w:right w:val="none" w:sz="0" w:space="0" w:color="auto"/>
      </w:divBdr>
    </w:div>
    <w:div w:id="1910917478">
      <w:bodyDiv w:val="1"/>
      <w:marLeft w:val="0"/>
      <w:marRight w:val="0"/>
      <w:marTop w:val="0"/>
      <w:marBottom w:val="0"/>
      <w:divBdr>
        <w:top w:val="none" w:sz="0" w:space="0" w:color="auto"/>
        <w:left w:val="none" w:sz="0" w:space="0" w:color="auto"/>
        <w:bottom w:val="none" w:sz="0" w:space="0" w:color="auto"/>
        <w:right w:val="none" w:sz="0" w:space="0" w:color="auto"/>
      </w:divBdr>
    </w:div>
    <w:div w:id="1911041457">
      <w:bodyDiv w:val="1"/>
      <w:marLeft w:val="0"/>
      <w:marRight w:val="0"/>
      <w:marTop w:val="0"/>
      <w:marBottom w:val="0"/>
      <w:divBdr>
        <w:top w:val="none" w:sz="0" w:space="0" w:color="auto"/>
        <w:left w:val="none" w:sz="0" w:space="0" w:color="auto"/>
        <w:bottom w:val="none" w:sz="0" w:space="0" w:color="auto"/>
        <w:right w:val="none" w:sz="0" w:space="0" w:color="auto"/>
      </w:divBdr>
    </w:div>
    <w:div w:id="1912697237">
      <w:bodyDiv w:val="1"/>
      <w:marLeft w:val="0"/>
      <w:marRight w:val="0"/>
      <w:marTop w:val="0"/>
      <w:marBottom w:val="0"/>
      <w:divBdr>
        <w:top w:val="none" w:sz="0" w:space="0" w:color="auto"/>
        <w:left w:val="none" w:sz="0" w:space="0" w:color="auto"/>
        <w:bottom w:val="none" w:sz="0" w:space="0" w:color="auto"/>
        <w:right w:val="none" w:sz="0" w:space="0" w:color="auto"/>
      </w:divBdr>
    </w:div>
    <w:div w:id="1920560892">
      <w:bodyDiv w:val="1"/>
      <w:marLeft w:val="0"/>
      <w:marRight w:val="0"/>
      <w:marTop w:val="0"/>
      <w:marBottom w:val="0"/>
      <w:divBdr>
        <w:top w:val="none" w:sz="0" w:space="0" w:color="auto"/>
        <w:left w:val="none" w:sz="0" w:space="0" w:color="auto"/>
        <w:bottom w:val="none" w:sz="0" w:space="0" w:color="auto"/>
        <w:right w:val="none" w:sz="0" w:space="0" w:color="auto"/>
      </w:divBdr>
    </w:div>
    <w:div w:id="1924869602">
      <w:bodyDiv w:val="1"/>
      <w:marLeft w:val="0"/>
      <w:marRight w:val="0"/>
      <w:marTop w:val="0"/>
      <w:marBottom w:val="0"/>
      <w:divBdr>
        <w:top w:val="none" w:sz="0" w:space="0" w:color="auto"/>
        <w:left w:val="none" w:sz="0" w:space="0" w:color="auto"/>
        <w:bottom w:val="none" w:sz="0" w:space="0" w:color="auto"/>
        <w:right w:val="none" w:sz="0" w:space="0" w:color="auto"/>
      </w:divBdr>
    </w:div>
    <w:div w:id="1931622749">
      <w:bodyDiv w:val="1"/>
      <w:marLeft w:val="0"/>
      <w:marRight w:val="0"/>
      <w:marTop w:val="0"/>
      <w:marBottom w:val="0"/>
      <w:divBdr>
        <w:top w:val="none" w:sz="0" w:space="0" w:color="auto"/>
        <w:left w:val="none" w:sz="0" w:space="0" w:color="auto"/>
        <w:bottom w:val="none" w:sz="0" w:space="0" w:color="auto"/>
        <w:right w:val="none" w:sz="0" w:space="0" w:color="auto"/>
      </w:divBdr>
    </w:div>
    <w:div w:id="1942371714">
      <w:bodyDiv w:val="1"/>
      <w:marLeft w:val="0"/>
      <w:marRight w:val="0"/>
      <w:marTop w:val="0"/>
      <w:marBottom w:val="0"/>
      <w:divBdr>
        <w:top w:val="none" w:sz="0" w:space="0" w:color="auto"/>
        <w:left w:val="none" w:sz="0" w:space="0" w:color="auto"/>
        <w:bottom w:val="none" w:sz="0" w:space="0" w:color="auto"/>
        <w:right w:val="none" w:sz="0" w:space="0" w:color="auto"/>
      </w:divBdr>
    </w:div>
    <w:div w:id="1944069052">
      <w:bodyDiv w:val="1"/>
      <w:marLeft w:val="0"/>
      <w:marRight w:val="0"/>
      <w:marTop w:val="0"/>
      <w:marBottom w:val="0"/>
      <w:divBdr>
        <w:top w:val="none" w:sz="0" w:space="0" w:color="auto"/>
        <w:left w:val="none" w:sz="0" w:space="0" w:color="auto"/>
        <w:bottom w:val="none" w:sz="0" w:space="0" w:color="auto"/>
        <w:right w:val="none" w:sz="0" w:space="0" w:color="auto"/>
      </w:divBdr>
    </w:div>
    <w:div w:id="1949199165">
      <w:bodyDiv w:val="1"/>
      <w:marLeft w:val="0"/>
      <w:marRight w:val="0"/>
      <w:marTop w:val="0"/>
      <w:marBottom w:val="0"/>
      <w:divBdr>
        <w:top w:val="none" w:sz="0" w:space="0" w:color="auto"/>
        <w:left w:val="none" w:sz="0" w:space="0" w:color="auto"/>
        <w:bottom w:val="none" w:sz="0" w:space="0" w:color="auto"/>
        <w:right w:val="none" w:sz="0" w:space="0" w:color="auto"/>
      </w:divBdr>
    </w:div>
    <w:div w:id="1968318910">
      <w:bodyDiv w:val="1"/>
      <w:marLeft w:val="0"/>
      <w:marRight w:val="0"/>
      <w:marTop w:val="0"/>
      <w:marBottom w:val="0"/>
      <w:divBdr>
        <w:top w:val="none" w:sz="0" w:space="0" w:color="auto"/>
        <w:left w:val="none" w:sz="0" w:space="0" w:color="auto"/>
        <w:bottom w:val="none" w:sz="0" w:space="0" w:color="auto"/>
        <w:right w:val="none" w:sz="0" w:space="0" w:color="auto"/>
      </w:divBdr>
    </w:div>
    <w:div w:id="1971133972">
      <w:bodyDiv w:val="1"/>
      <w:marLeft w:val="0"/>
      <w:marRight w:val="0"/>
      <w:marTop w:val="0"/>
      <w:marBottom w:val="0"/>
      <w:divBdr>
        <w:top w:val="none" w:sz="0" w:space="0" w:color="auto"/>
        <w:left w:val="none" w:sz="0" w:space="0" w:color="auto"/>
        <w:bottom w:val="none" w:sz="0" w:space="0" w:color="auto"/>
        <w:right w:val="none" w:sz="0" w:space="0" w:color="auto"/>
      </w:divBdr>
    </w:div>
    <w:div w:id="1974142263">
      <w:bodyDiv w:val="1"/>
      <w:marLeft w:val="0"/>
      <w:marRight w:val="0"/>
      <w:marTop w:val="0"/>
      <w:marBottom w:val="0"/>
      <w:divBdr>
        <w:top w:val="none" w:sz="0" w:space="0" w:color="auto"/>
        <w:left w:val="none" w:sz="0" w:space="0" w:color="auto"/>
        <w:bottom w:val="none" w:sz="0" w:space="0" w:color="auto"/>
        <w:right w:val="none" w:sz="0" w:space="0" w:color="auto"/>
      </w:divBdr>
    </w:div>
    <w:div w:id="1978684301">
      <w:bodyDiv w:val="1"/>
      <w:marLeft w:val="0"/>
      <w:marRight w:val="0"/>
      <w:marTop w:val="0"/>
      <w:marBottom w:val="0"/>
      <w:divBdr>
        <w:top w:val="none" w:sz="0" w:space="0" w:color="auto"/>
        <w:left w:val="none" w:sz="0" w:space="0" w:color="auto"/>
        <w:bottom w:val="none" w:sz="0" w:space="0" w:color="auto"/>
        <w:right w:val="none" w:sz="0" w:space="0" w:color="auto"/>
      </w:divBdr>
    </w:div>
    <w:div w:id="1980452852">
      <w:bodyDiv w:val="1"/>
      <w:marLeft w:val="0"/>
      <w:marRight w:val="0"/>
      <w:marTop w:val="0"/>
      <w:marBottom w:val="0"/>
      <w:divBdr>
        <w:top w:val="none" w:sz="0" w:space="0" w:color="auto"/>
        <w:left w:val="none" w:sz="0" w:space="0" w:color="auto"/>
        <w:bottom w:val="none" w:sz="0" w:space="0" w:color="auto"/>
        <w:right w:val="none" w:sz="0" w:space="0" w:color="auto"/>
      </w:divBdr>
    </w:div>
    <w:div w:id="2002780894">
      <w:bodyDiv w:val="1"/>
      <w:marLeft w:val="0"/>
      <w:marRight w:val="0"/>
      <w:marTop w:val="0"/>
      <w:marBottom w:val="0"/>
      <w:divBdr>
        <w:top w:val="none" w:sz="0" w:space="0" w:color="auto"/>
        <w:left w:val="none" w:sz="0" w:space="0" w:color="auto"/>
        <w:bottom w:val="none" w:sz="0" w:space="0" w:color="auto"/>
        <w:right w:val="none" w:sz="0" w:space="0" w:color="auto"/>
      </w:divBdr>
    </w:div>
    <w:div w:id="2029286873">
      <w:bodyDiv w:val="1"/>
      <w:marLeft w:val="0"/>
      <w:marRight w:val="0"/>
      <w:marTop w:val="0"/>
      <w:marBottom w:val="0"/>
      <w:divBdr>
        <w:top w:val="none" w:sz="0" w:space="0" w:color="auto"/>
        <w:left w:val="none" w:sz="0" w:space="0" w:color="auto"/>
        <w:bottom w:val="none" w:sz="0" w:space="0" w:color="auto"/>
        <w:right w:val="none" w:sz="0" w:space="0" w:color="auto"/>
      </w:divBdr>
    </w:div>
    <w:div w:id="2031488650">
      <w:bodyDiv w:val="1"/>
      <w:marLeft w:val="0"/>
      <w:marRight w:val="0"/>
      <w:marTop w:val="0"/>
      <w:marBottom w:val="0"/>
      <w:divBdr>
        <w:top w:val="none" w:sz="0" w:space="0" w:color="auto"/>
        <w:left w:val="none" w:sz="0" w:space="0" w:color="auto"/>
        <w:bottom w:val="none" w:sz="0" w:space="0" w:color="auto"/>
        <w:right w:val="none" w:sz="0" w:space="0" w:color="auto"/>
      </w:divBdr>
    </w:div>
    <w:div w:id="2036034760">
      <w:bodyDiv w:val="1"/>
      <w:marLeft w:val="0"/>
      <w:marRight w:val="0"/>
      <w:marTop w:val="0"/>
      <w:marBottom w:val="0"/>
      <w:divBdr>
        <w:top w:val="none" w:sz="0" w:space="0" w:color="auto"/>
        <w:left w:val="none" w:sz="0" w:space="0" w:color="auto"/>
        <w:bottom w:val="none" w:sz="0" w:space="0" w:color="auto"/>
        <w:right w:val="none" w:sz="0" w:space="0" w:color="auto"/>
      </w:divBdr>
      <w:divsChild>
        <w:div w:id="960915673">
          <w:marLeft w:val="0"/>
          <w:marRight w:val="0"/>
          <w:marTop w:val="0"/>
          <w:marBottom w:val="0"/>
          <w:divBdr>
            <w:top w:val="none" w:sz="0" w:space="0" w:color="auto"/>
            <w:left w:val="none" w:sz="0" w:space="0" w:color="auto"/>
            <w:bottom w:val="none" w:sz="0" w:space="0" w:color="auto"/>
            <w:right w:val="none" w:sz="0" w:space="0" w:color="auto"/>
          </w:divBdr>
          <w:divsChild>
            <w:div w:id="1809742861">
              <w:marLeft w:val="0"/>
              <w:marRight w:val="0"/>
              <w:marTop w:val="0"/>
              <w:marBottom w:val="0"/>
              <w:divBdr>
                <w:top w:val="none" w:sz="0" w:space="0" w:color="auto"/>
                <w:left w:val="none" w:sz="0" w:space="0" w:color="auto"/>
                <w:bottom w:val="none" w:sz="0" w:space="0" w:color="auto"/>
                <w:right w:val="none" w:sz="0" w:space="0" w:color="auto"/>
              </w:divBdr>
              <w:divsChild>
                <w:div w:id="1138691309">
                  <w:marLeft w:val="0"/>
                  <w:marRight w:val="0"/>
                  <w:marTop w:val="0"/>
                  <w:marBottom w:val="0"/>
                  <w:divBdr>
                    <w:top w:val="none" w:sz="0" w:space="0" w:color="auto"/>
                    <w:left w:val="none" w:sz="0" w:space="0" w:color="auto"/>
                    <w:bottom w:val="none" w:sz="0" w:space="0" w:color="auto"/>
                    <w:right w:val="none" w:sz="0" w:space="0" w:color="auto"/>
                  </w:divBdr>
                  <w:divsChild>
                    <w:div w:id="1147404486">
                      <w:marLeft w:val="0"/>
                      <w:marRight w:val="0"/>
                      <w:marTop w:val="0"/>
                      <w:marBottom w:val="0"/>
                      <w:divBdr>
                        <w:top w:val="none" w:sz="0" w:space="0" w:color="auto"/>
                        <w:left w:val="none" w:sz="0" w:space="0" w:color="auto"/>
                        <w:bottom w:val="none" w:sz="0" w:space="0" w:color="auto"/>
                        <w:right w:val="none" w:sz="0" w:space="0" w:color="auto"/>
                      </w:divBdr>
                      <w:divsChild>
                        <w:div w:id="2036616035">
                          <w:marLeft w:val="0"/>
                          <w:marRight w:val="0"/>
                          <w:marTop w:val="0"/>
                          <w:marBottom w:val="0"/>
                          <w:divBdr>
                            <w:top w:val="none" w:sz="0" w:space="0" w:color="auto"/>
                            <w:left w:val="none" w:sz="0" w:space="0" w:color="auto"/>
                            <w:bottom w:val="none" w:sz="0" w:space="0" w:color="auto"/>
                            <w:right w:val="none" w:sz="0" w:space="0" w:color="auto"/>
                          </w:divBdr>
                          <w:divsChild>
                            <w:div w:id="28399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7176298">
      <w:bodyDiv w:val="1"/>
      <w:marLeft w:val="0"/>
      <w:marRight w:val="0"/>
      <w:marTop w:val="0"/>
      <w:marBottom w:val="0"/>
      <w:divBdr>
        <w:top w:val="none" w:sz="0" w:space="0" w:color="auto"/>
        <w:left w:val="none" w:sz="0" w:space="0" w:color="auto"/>
        <w:bottom w:val="none" w:sz="0" w:space="0" w:color="auto"/>
        <w:right w:val="none" w:sz="0" w:space="0" w:color="auto"/>
      </w:divBdr>
    </w:div>
    <w:div w:id="2062749505">
      <w:bodyDiv w:val="1"/>
      <w:marLeft w:val="0"/>
      <w:marRight w:val="0"/>
      <w:marTop w:val="0"/>
      <w:marBottom w:val="0"/>
      <w:divBdr>
        <w:top w:val="none" w:sz="0" w:space="0" w:color="auto"/>
        <w:left w:val="none" w:sz="0" w:space="0" w:color="auto"/>
        <w:bottom w:val="none" w:sz="0" w:space="0" w:color="auto"/>
        <w:right w:val="none" w:sz="0" w:space="0" w:color="auto"/>
      </w:divBdr>
    </w:div>
    <w:div w:id="2067029171">
      <w:bodyDiv w:val="1"/>
      <w:marLeft w:val="0"/>
      <w:marRight w:val="0"/>
      <w:marTop w:val="0"/>
      <w:marBottom w:val="0"/>
      <w:divBdr>
        <w:top w:val="none" w:sz="0" w:space="0" w:color="auto"/>
        <w:left w:val="none" w:sz="0" w:space="0" w:color="auto"/>
        <w:bottom w:val="none" w:sz="0" w:space="0" w:color="auto"/>
        <w:right w:val="none" w:sz="0" w:space="0" w:color="auto"/>
      </w:divBdr>
    </w:div>
    <w:div w:id="2070877716">
      <w:bodyDiv w:val="1"/>
      <w:marLeft w:val="0"/>
      <w:marRight w:val="0"/>
      <w:marTop w:val="0"/>
      <w:marBottom w:val="0"/>
      <w:divBdr>
        <w:top w:val="none" w:sz="0" w:space="0" w:color="auto"/>
        <w:left w:val="none" w:sz="0" w:space="0" w:color="auto"/>
        <w:bottom w:val="none" w:sz="0" w:space="0" w:color="auto"/>
        <w:right w:val="none" w:sz="0" w:space="0" w:color="auto"/>
      </w:divBdr>
    </w:div>
    <w:div w:id="2072270425">
      <w:bodyDiv w:val="1"/>
      <w:marLeft w:val="0"/>
      <w:marRight w:val="0"/>
      <w:marTop w:val="0"/>
      <w:marBottom w:val="0"/>
      <w:divBdr>
        <w:top w:val="none" w:sz="0" w:space="0" w:color="auto"/>
        <w:left w:val="none" w:sz="0" w:space="0" w:color="auto"/>
        <w:bottom w:val="none" w:sz="0" w:space="0" w:color="auto"/>
        <w:right w:val="none" w:sz="0" w:space="0" w:color="auto"/>
      </w:divBdr>
    </w:div>
    <w:div w:id="2082673070">
      <w:bodyDiv w:val="1"/>
      <w:marLeft w:val="0"/>
      <w:marRight w:val="0"/>
      <w:marTop w:val="0"/>
      <w:marBottom w:val="0"/>
      <w:divBdr>
        <w:top w:val="none" w:sz="0" w:space="0" w:color="auto"/>
        <w:left w:val="none" w:sz="0" w:space="0" w:color="auto"/>
        <w:bottom w:val="none" w:sz="0" w:space="0" w:color="auto"/>
        <w:right w:val="none" w:sz="0" w:space="0" w:color="auto"/>
      </w:divBdr>
    </w:div>
    <w:div w:id="2086368519">
      <w:bodyDiv w:val="1"/>
      <w:marLeft w:val="0"/>
      <w:marRight w:val="0"/>
      <w:marTop w:val="0"/>
      <w:marBottom w:val="0"/>
      <w:divBdr>
        <w:top w:val="none" w:sz="0" w:space="0" w:color="auto"/>
        <w:left w:val="none" w:sz="0" w:space="0" w:color="auto"/>
        <w:bottom w:val="none" w:sz="0" w:space="0" w:color="auto"/>
        <w:right w:val="none" w:sz="0" w:space="0" w:color="auto"/>
      </w:divBdr>
    </w:div>
    <w:div w:id="2088843920">
      <w:bodyDiv w:val="1"/>
      <w:marLeft w:val="0"/>
      <w:marRight w:val="0"/>
      <w:marTop w:val="0"/>
      <w:marBottom w:val="0"/>
      <w:divBdr>
        <w:top w:val="none" w:sz="0" w:space="0" w:color="auto"/>
        <w:left w:val="none" w:sz="0" w:space="0" w:color="auto"/>
        <w:bottom w:val="none" w:sz="0" w:space="0" w:color="auto"/>
        <w:right w:val="none" w:sz="0" w:space="0" w:color="auto"/>
      </w:divBdr>
    </w:div>
    <w:div w:id="2120098107">
      <w:bodyDiv w:val="1"/>
      <w:marLeft w:val="0"/>
      <w:marRight w:val="0"/>
      <w:marTop w:val="0"/>
      <w:marBottom w:val="0"/>
      <w:divBdr>
        <w:top w:val="none" w:sz="0" w:space="0" w:color="auto"/>
        <w:left w:val="none" w:sz="0" w:space="0" w:color="auto"/>
        <w:bottom w:val="none" w:sz="0" w:space="0" w:color="auto"/>
        <w:right w:val="none" w:sz="0" w:space="0" w:color="auto"/>
      </w:divBdr>
    </w:div>
    <w:div w:id="2136832161">
      <w:bodyDiv w:val="1"/>
      <w:marLeft w:val="0"/>
      <w:marRight w:val="0"/>
      <w:marTop w:val="0"/>
      <w:marBottom w:val="0"/>
      <w:divBdr>
        <w:top w:val="none" w:sz="0" w:space="0" w:color="auto"/>
        <w:left w:val="none" w:sz="0" w:space="0" w:color="auto"/>
        <w:bottom w:val="none" w:sz="0" w:space="0" w:color="auto"/>
        <w:right w:val="none" w:sz="0" w:space="0" w:color="auto"/>
      </w:divBdr>
    </w:div>
    <w:div w:id="2144078593">
      <w:bodyDiv w:val="1"/>
      <w:marLeft w:val="0"/>
      <w:marRight w:val="0"/>
      <w:marTop w:val="0"/>
      <w:marBottom w:val="0"/>
      <w:divBdr>
        <w:top w:val="none" w:sz="0" w:space="0" w:color="auto"/>
        <w:left w:val="none" w:sz="0" w:space="0" w:color="auto"/>
        <w:bottom w:val="none" w:sz="0" w:space="0" w:color="auto"/>
        <w:right w:val="none" w:sz="0" w:space="0" w:color="auto"/>
      </w:divBdr>
    </w:div>
    <w:div w:id="21473535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eader" Target="header2.xm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3.png"/><Relationship Id="rId50" Type="http://schemas.openxmlformats.org/officeDocument/2006/relationships/image" Target="media/image25.png"/><Relationship Id="rId55" Type="http://schemas.openxmlformats.org/officeDocument/2006/relationships/footer" Target="footer9.xml"/><Relationship Id="rId63" Type="http://schemas.openxmlformats.org/officeDocument/2006/relationships/image" Target="media/image34.jpeg"/><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8.png"/><Relationship Id="rId11" Type="http://schemas.openxmlformats.org/officeDocument/2006/relationships/webSettings" Target="webSettings.xml"/><Relationship Id="rId24" Type="http://schemas.openxmlformats.org/officeDocument/2006/relationships/footer" Target="footer6.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jpeg"/><Relationship Id="rId45" Type="http://schemas.openxmlformats.org/officeDocument/2006/relationships/footer" Target="footer7.xml"/><Relationship Id="rId53" Type="http://schemas.openxmlformats.org/officeDocument/2006/relationships/image" Target="media/image28.jpeg"/><Relationship Id="rId58" Type="http://schemas.openxmlformats.org/officeDocument/2006/relationships/image" Target="media/image29.png"/><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2.png"/><Relationship Id="rId19" Type="http://schemas.openxmlformats.org/officeDocument/2006/relationships/footer" Target="footer3.xml"/><Relationship Id="rId14" Type="http://schemas.openxmlformats.org/officeDocument/2006/relationships/image" Target="media/image1.png"/><Relationship Id="rId22" Type="http://schemas.openxmlformats.org/officeDocument/2006/relationships/footer" Target="footer4.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jpeg"/><Relationship Id="rId48" Type="http://schemas.openxmlformats.org/officeDocument/2006/relationships/hyperlink" Target="http://www.ifc.org/wps/wcm/connect/topics_ext_content/ifc_external_corporate_site/ifc%2Bsustainability/our%2Bapproach/risk%2Bmanagement/ehsguidelines" TargetMode="External"/><Relationship Id="rId56" Type="http://schemas.openxmlformats.org/officeDocument/2006/relationships/footer" Target="footer10.xml"/><Relationship Id="rId64" Type="http://schemas.openxmlformats.org/officeDocument/2006/relationships/image" Target="media/image35.jpeg"/><Relationship Id="rId8" Type="http://schemas.openxmlformats.org/officeDocument/2006/relationships/numbering" Target="numbering.xml"/><Relationship Id="rId51" Type="http://schemas.openxmlformats.org/officeDocument/2006/relationships/image" Target="media/image26.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footer" Target="footer8.xml"/><Relationship Id="rId59" Type="http://schemas.openxmlformats.org/officeDocument/2006/relationships/image" Target="media/image30.jpeg"/><Relationship Id="rId20" Type="http://schemas.openxmlformats.org/officeDocument/2006/relationships/image" Target="media/image3.png"/><Relationship Id="rId41" Type="http://schemas.openxmlformats.org/officeDocument/2006/relationships/image" Target="media/image20.png"/><Relationship Id="rId54" Type="http://schemas.openxmlformats.org/officeDocument/2006/relationships/header" Target="header4.xml"/><Relationship Id="rId62"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footer" Target="footer5.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4.png"/><Relationship Id="rId57" Type="http://schemas.openxmlformats.org/officeDocument/2006/relationships/hyperlink" Target="https://eotinish.kz/kk" TargetMode="External"/><Relationship Id="rId10" Type="http://schemas.openxmlformats.org/officeDocument/2006/relationships/settings" Target="settings.xml"/><Relationship Id="rId31" Type="http://schemas.openxmlformats.org/officeDocument/2006/relationships/image" Target="media/image10.png"/><Relationship Id="rId44" Type="http://schemas.openxmlformats.org/officeDocument/2006/relationships/header" Target="header3.xml"/><Relationship Id="rId52" Type="http://schemas.openxmlformats.org/officeDocument/2006/relationships/image" Target="media/image27.jpeg"/><Relationship Id="rId60" Type="http://schemas.openxmlformats.org/officeDocument/2006/relationships/image" Target="media/image31.jpe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2.xml"/><Relationship Id="rId39" Type="http://schemas.openxmlformats.org/officeDocument/2006/relationships/image" Target="media/image18.png"/></Relationships>
</file>

<file path=word/_rels/footnotes.xml.rels><?xml version="1.0" encoding="UTF-8" standalone="yes"?>
<Relationships xmlns="http://schemas.openxmlformats.org/package/2006/relationships"><Relationship Id="rId3" Type="http://schemas.openxmlformats.org/officeDocument/2006/relationships/hyperlink" Target="https://www.railways.kz" TargetMode="External"/><Relationship Id="rId2" Type="http://schemas.openxmlformats.org/officeDocument/2006/relationships/hyperlink" Target="https://www.gov.kz" TargetMode="External"/><Relationship Id="rId1" Type="http://schemas.openxmlformats.org/officeDocument/2006/relationships/hyperlink" Target="https://www.railways.kz" TargetMode="External"/><Relationship Id="rId6" Type="http://schemas.openxmlformats.org/officeDocument/2006/relationships/hyperlink" Target="https://www.gov.kz" TargetMode="External"/><Relationship Id="rId5" Type="http://schemas.openxmlformats.org/officeDocument/2006/relationships/hyperlink" Target="https://www.gov.kz" TargetMode="External"/><Relationship Id="rId4" Type="http://schemas.openxmlformats.org/officeDocument/2006/relationships/hyperlink" Target="https://www.railfreigh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WBDocument" ma:contentTypeID="0x010100F4C63C3BD852AE468EAEFD0E6C57C64F0200535047783D77C64E89F667E371335912" ma:contentTypeVersion="11" ma:contentTypeDescription="" ma:contentTypeScope="" ma:versionID="49dcf5e0977a48f769ae4ad1a98aa91d">
  <xsd:schema xmlns:xsd="http://www.w3.org/2001/XMLSchema" xmlns:xs="http://www.w3.org/2001/XMLSchema" xmlns:p="http://schemas.microsoft.com/office/2006/metadata/properties" xmlns:ns3="3e02667f-0271-471b-bd6e-11a2e16def1d" targetNamespace="http://schemas.microsoft.com/office/2006/metadata/properties" ma:root="true" ma:fieldsID="d82ac9f1a1e0a4fb12d7348d523e0661" ns3:_="">
    <xsd:import namespace="3e02667f-0271-471b-bd6e-11a2e16def1d"/>
    <xsd:element name="properties">
      <xsd:complexType>
        <xsd:sequence>
          <xsd:element name="documentManagement">
            <xsd:complexType>
              <xsd:all>
                <xsd:element ref="ns3:WBDocs_Document_Date" minOccurs="0"/>
                <xsd:element ref="ns3:WBDocs_Information_Classification"/>
                <xsd:element ref="ns3:TaxCatchAll" minOccurs="0"/>
                <xsd:element ref="ns3:TaxCatchAllLabel" minOccurs="0"/>
                <xsd:element ref="ns3:_dlc_DocId" minOccurs="0"/>
                <xsd:element ref="ns3:_dlc_DocIdUrl" minOccurs="0"/>
                <xsd:element ref="ns3:_dlc_DocIdPersistId" minOccurs="0"/>
                <xsd:element ref="ns3:WBDocs_Access_To_Info_Exception" minOccurs="0"/>
                <xsd:element ref="ns3:o1cb080a3dca4eb8a0fd03c7cc8bf8f7" minOccurs="0"/>
                <xsd:element ref="ns3:i008215bacac45029ee8cafff4c8e93b" minOccurs="0"/>
                <xsd:element ref="ns3:OneCMS_Subcategory" minOccurs="0"/>
                <xsd:element ref="ns3:OneCMS_Category" minOccurs="0"/>
                <xsd:element ref="ns3:Abstrac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WBDocs_Document_Date" ma:index="3" nillable="true" ma:displayName="Document Date" ma:default="[today]" ma:format="DateTime" ma:internalName="WBDocs_Document_Date" ma:readOnly="false">
      <xsd:simpleType>
        <xsd:restriction base="dms:DateTime"/>
      </xsd:simpleType>
    </xsd:element>
    <xsd:element name="WBDocs_Information_Classification" ma:index="4" ma:displayName="Information Classification" ma:default="Official Use Only" ma:format="Dropdown" ma:internalName="WBDocs_Information_Classification" ma:readOnly="false">
      <xsd:simpleType>
        <xsd:restriction base="dms:Choice">
          <xsd:enumeration value="Public"/>
          <xsd:enumeration value="Official Use Only"/>
          <xsd:enumeration value="Confidential"/>
          <xsd:enumeration value="Strictly Confidential"/>
        </xsd:restriction>
      </xsd:simpleType>
    </xsd:element>
    <xsd:element name="TaxCatchAll" ma:index="6" nillable="true" ma:displayName="Taxonomy Catch All Column" ma:hidden="true" ma:list="{b5d8ca9f-a8f4-4563-a6d2-00133080bc6a}" ma:internalName="TaxCatchAll" ma:showField="CatchAllData" ma:web="b4db8ea7-7ed3-4d7e-a290-703927e24852">
      <xsd:complexType>
        <xsd:complexContent>
          <xsd:extension base="dms:MultiChoiceLookup">
            <xsd:sequence>
              <xsd:element name="Value" type="dms:Lookup" maxOccurs="unbounded" minOccurs="0" nillable="true"/>
            </xsd:sequence>
          </xsd:extension>
        </xsd:complexContent>
      </xsd:complexType>
    </xsd:element>
    <xsd:element name="TaxCatchAllLabel" ma:index="7" nillable="true" ma:displayName="Taxonomy Catch All Column1" ma:hidden="true" ma:list="{b5d8ca9f-a8f4-4563-a6d2-00133080bc6a}" ma:internalName="TaxCatchAllLabel" ma:readOnly="true" ma:showField="CatchAllDataLabel" ma:web="b4db8ea7-7ed3-4d7e-a290-703927e24852">
      <xsd:complexType>
        <xsd:complexContent>
          <xsd:extension base="dms:MultiChoiceLookup">
            <xsd:sequence>
              <xsd:element name="Value" type="dms:Lookup" maxOccurs="unbounded" minOccurs="0" nillable="true"/>
            </xsd:sequence>
          </xsd:extension>
        </xsd:complexContent>
      </xsd:complexType>
    </xsd:element>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WBDocs_Access_To_Info_Exception" ma:index="13" nillable="true" ma:displayName="Access to Info Exception" ma:default="12. Not Assessed" ma:format="Dropdown" ma:internalName="WBDocs_Access_To_Info_Exception">
      <xsd:simpleType>
        <xsd:restriction base="dms:Choice">
          <xsd:enumeration value="1. Personal"/>
          <xsd:enumeration value="2. Executive Director's Communications"/>
          <xsd:enumeration value="3. Board Ethics Committee"/>
          <xsd:enumeration value="4. Attorney-Client Privilege"/>
          <xsd:enumeration value="5. Security &amp; Safety"/>
          <xsd:enumeration value="6. Other Disclosure Regimes"/>
          <xsd:enumeration value="7. Client / Third Party Confidence"/>
          <xsd:enumeration value="8. Corporate/Administrative"/>
          <xsd:enumeration value="9. Deliberative"/>
          <xsd:enumeration value="10a-c. Financial - Forecast/Analysis/Transactions"/>
          <xsd:enumeration value="10d. Financial - Banking &amp; Billing"/>
          <xsd:enumeration value="11. Bank's Prerogative to Restrict"/>
          <xsd:enumeration value="12. Not Assessed"/>
          <xsd:enumeration value="13. Not Applicable"/>
          <xsd:enumeration value="Unknown Policy Restriction"/>
        </xsd:restriction>
      </xsd:simpleType>
    </xsd:element>
    <xsd:element name="o1cb080a3dca4eb8a0fd03c7cc8bf8f7" ma:index="15" nillable="true" ma:taxonomy="true" ma:internalName="o1cb080a3dca4eb8a0fd03c7cc8bf8f7" ma:taxonomyFieldName="WBDocs_Local_Document_Type" ma:displayName="Local Document Type" ma:readOnly="false" ma:default="" ma:fieldId="{81cb080a-3dca-4eb8-a0fd-03c7cc8bf8f7}" ma:taxonomyMulti="true" ma:sspId="2a6c10d7-b926-4fc0-945e-3cbf5049f6bd" ma:termSetId="ec380048-e675-43f7-9194-41567bcb0af6" ma:anchorId="00000000-0000-0000-0000-000000000000" ma:open="false" ma:isKeyword="false">
      <xsd:complexType>
        <xsd:sequence>
          <xsd:element ref="pc:Terms" minOccurs="0" maxOccurs="1"/>
        </xsd:sequence>
      </xsd:complexType>
    </xsd:element>
    <xsd:element name="i008215bacac45029ee8cafff4c8e93b" ma:index="17" nillable="true" ma:taxonomy="true" ma:internalName="i008215bacac45029ee8cafff4c8e93b" ma:taxonomyFieldName="WBDocs_Originating_Unit" ma:displayName="Originating unit" ma:readOnly="false" ma:default="5;#MIGEP - Economics and Policy Group|5a6d2d41-0214-4ce2-8633-937a9b785297" ma:fieldId="{2008215b-acac-4502-9ee8-cafff4c8e93b}" ma:taxonomyMulti="true" ma:sspId="2a6c10d7-b926-4fc0-945e-3cbf5049f6bd" ma:termSetId="806c0147-d557-463e-8bb0-983f4f318bd5" ma:anchorId="00000000-0000-0000-0000-000000000000" ma:open="false" ma:isKeyword="false">
      <xsd:complexType>
        <xsd:sequence>
          <xsd:element ref="pc:Terms" minOccurs="0" maxOccurs="1"/>
        </xsd:sequence>
      </xsd:complexType>
    </xsd:element>
    <xsd:element name="OneCMS_Subcategory" ma:index="21" nillable="true" ma:displayName="Subcategory" ma:hidden="true" ma:internalName="OneCMS_Subcategory" ma:readOnly="false">
      <xsd:simpleType>
        <xsd:restriction base="dms:Text"/>
      </xsd:simpleType>
    </xsd:element>
    <xsd:element name="OneCMS_Category" ma:index="22" nillable="true" ma:displayName="Category" ma:hidden="true" ma:internalName="OneCMS_Category" ma:readOnly="false">
      <xsd:simpleType>
        <xsd:restriction base="dms:Text"/>
      </xsd:simpleType>
    </xsd:element>
    <xsd:element name="Abstract" ma:index="23" nillable="true" ma:displayName="Abstract" ma:hidden="true" ma:internalName="Abstract" ma:readOnly="fals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 ma:displayName="Author"/>
        <xsd:element ref="dcterms:created" minOccurs="0" maxOccurs="1"/>
        <xsd:element ref="dc:identifier" minOccurs="0" maxOccurs="1"/>
        <xsd:element name="contentType" minOccurs="0" maxOccurs="1" type="xsd:string" ma:index="19"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2a6c10d7-b926-4fc0-945e-3cbf5049f6bd" ContentTypeId="0x010100F4C63C3BD852AE468EAEFD0E6C57C64F02" PreviousValue="false"/>
</file>

<file path=customXml/item5.xml><?xml version="1.0" encoding="utf-8"?>
<p:properties xmlns:p="http://schemas.microsoft.com/office/2006/metadata/properties" xmlns:xsi="http://www.w3.org/2001/XMLSchema-instance" xmlns:pc="http://schemas.microsoft.com/office/infopath/2007/PartnerControls">
  <documentManagement>
    <o1cb080a3dca4eb8a0fd03c7cc8bf8f7 xmlns="3e02667f-0271-471b-bd6e-11a2e16def1d">
      <Terms xmlns="http://schemas.microsoft.com/office/infopath/2007/PartnerControls"/>
    </o1cb080a3dca4eb8a0fd03c7cc8bf8f7>
    <Abstract xmlns="3e02667f-0271-471b-bd6e-11a2e16def1d" xsi:nil="true"/>
    <WBDocs_Access_To_Info_Exception xmlns="3e02667f-0271-471b-bd6e-11a2e16def1d">12. Not Assessed</WBDocs_Access_To_Info_Exception>
    <WBDocs_Document_Date xmlns="3e02667f-0271-471b-bd6e-11a2e16def1d">2025-09-25T14:10:56+00:00</WBDocs_Document_Date>
    <TaxCatchAll xmlns="3e02667f-0271-471b-bd6e-11a2e16def1d">
      <Value>5</Value>
    </TaxCatchAll>
    <OneCMS_Subcategory xmlns="3e02667f-0271-471b-bd6e-11a2e16def1d" xsi:nil="true"/>
    <i008215bacac45029ee8cafff4c8e93b xmlns="3e02667f-0271-471b-bd6e-11a2e16def1d">
      <Terms xmlns="http://schemas.microsoft.com/office/infopath/2007/PartnerControls">
        <TermInfo xmlns="http://schemas.microsoft.com/office/infopath/2007/PartnerControls">
          <TermName xmlns="http://schemas.microsoft.com/office/infopath/2007/PartnerControls">MIGEP - Economics and Policy Group</TermName>
          <TermId xmlns="http://schemas.microsoft.com/office/infopath/2007/PartnerControls">5a6d2d41-0214-4ce2-8633-937a9b785297</TermId>
        </TermInfo>
      </Terms>
    </i008215bacac45029ee8cafff4c8e93b>
    <WBDocs_Information_Classification xmlns="3e02667f-0271-471b-bd6e-11a2e16def1d">Official Use Only</WBDocs_Information_Classification>
    <OneCMS_Category xmlns="3e02667f-0271-471b-bd6e-11a2e16def1d" xsi:nil="true"/>
  </documentManagement>
</p:properties>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786063-C45D-4467-B3AB-A4FF749ECF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02667f-0271-471b-bd6e-11a2e16def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8209B4-D507-4821-84D5-826FB8B3CD1B}">
  <ds:schemaRefs>
    <ds:schemaRef ds:uri="http://schemas.microsoft.com/sharepoint/events"/>
  </ds:schemaRefs>
</ds:datastoreItem>
</file>

<file path=customXml/itemProps3.xml><?xml version="1.0" encoding="utf-8"?>
<ds:datastoreItem xmlns:ds="http://schemas.openxmlformats.org/officeDocument/2006/customXml" ds:itemID="{A9E73C27-3CE0-4270-8549-728E7063C2D5}">
  <ds:schemaRefs>
    <ds:schemaRef ds:uri="http://schemas.openxmlformats.org/officeDocument/2006/bibliography"/>
  </ds:schemaRefs>
</ds:datastoreItem>
</file>

<file path=customXml/itemProps4.xml><?xml version="1.0" encoding="utf-8"?>
<ds:datastoreItem xmlns:ds="http://schemas.openxmlformats.org/officeDocument/2006/customXml" ds:itemID="{EDCF4BF1-A104-4A00-AC5A-B1F022417544}">
  <ds:schemaRefs>
    <ds:schemaRef ds:uri="Microsoft.SharePoint.Taxonomy.ContentTypeSync"/>
  </ds:schemaRefs>
</ds:datastoreItem>
</file>

<file path=customXml/itemProps5.xml><?xml version="1.0" encoding="utf-8"?>
<ds:datastoreItem xmlns:ds="http://schemas.openxmlformats.org/officeDocument/2006/customXml" ds:itemID="{169DD36D-7947-42BC-B0E1-F46EFFBD9758}">
  <ds:schemaRefs>
    <ds:schemaRef ds:uri="http://schemas.microsoft.com/office/2006/metadata/properties"/>
    <ds:schemaRef ds:uri="http://schemas.microsoft.com/office/infopath/2007/PartnerControls"/>
    <ds:schemaRef ds:uri="3e02667f-0271-471b-bd6e-11a2e16def1d"/>
  </ds:schemaRefs>
</ds:datastoreItem>
</file>

<file path=customXml/itemProps6.xml><?xml version="1.0" encoding="utf-8"?>
<ds:datastoreItem xmlns:ds="http://schemas.openxmlformats.org/officeDocument/2006/customXml" ds:itemID="{4CCF72C5-4015-4530-9181-7144C6C18531}">
  <ds:schemaRefs>
    <ds:schemaRef ds:uri="http://www.wps.cn/android/officeDocument/2013/mofficeCustomData"/>
  </ds:schemaRefs>
</ds:datastoreItem>
</file>

<file path=customXml/itemProps7.xml><?xml version="1.0" encoding="utf-8"?>
<ds:datastoreItem xmlns:ds="http://schemas.openxmlformats.org/officeDocument/2006/customXml" ds:itemID="{DFB303B9-B85C-470F-A397-997FC0B669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227</Pages>
  <Words>84222</Words>
  <Characters>480072</Characters>
  <Application>Microsoft Office Word</Application>
  <DocSecurity>0</DocSecurity>
  <Lines>4000</Lines>
  <Paragraphs>1126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563168</CharactersWithSpaces>
  <SharedDoc>false</SharedDoc>
  <HLinks>
    <vt:vector size="1512" baseType="variant">
      <vt:variant>
        <vt:i4>3735667</vt:i4>
      </vt:variant>
      <vt:variant>
        <vt:i4>1617</vt:i4>
      </vt:variant>
      <vt:variant>
        <vt:i4>0</vt:i4>
      </vt:variant>
      <vt:variant>
        <vt:i4>5</vt:i4>
      </vt:variant>
      <vt:variant>
        <vt:lpwstr>https://eotinish.kz/kk</vt:lpwstr>
      </vt:variant>
      <vt:variant>
        <vt:lpwstr/>
      </vt:variant>
      <vt:variant>
        <vt:i4>1507427</vt:i4>
      </vt:variant>
      <vt:variant>
        <vt:i4>1563</vt:i4>
      </vt:variant>
      <vt:variant>
        <vt:i4>0</vt:i4>
      </vt:variant>
      <vt:variant>
        <vt:i4>5</vt:i4>
      </vt:variant>
      <vt:variant>
        <vt:lpwstr/>
      </vt:variant>
      <vt:variant>
        <vt:lpwstr>_bookmark124</vt:lpwstr>
      </vt:variant>
      <vt:variant>
        <vt:i4>1048675</vt:i4>
      </vt:variant>
      <vt:variant>
        <vt:i4>1557</vt:i4>
      </vt:variant>
      <vt:variant>
        <vt:i4>0</vt:i4>
      </vt:variant>
      <vt:variant>
        <vt:i4>5</vt:i4>
      </vt:variant>
      <vt:variant>
        <vt:lpwstr/>
      </vt:variant>
      <vt:variant>
        <vt:lpwstr>_bookmark123</vt:lpwstr>
      </vt:variant>
      <vt:variant>
        <vt:i4>2752593</vt:i4>
      </vt:variant>
      <vt:variant>
        <vt:i4>1488</vt:i4>
      </vt:variant>
      <vt:variant>
        <vt:i4>0</vt:i4>
      </vt:variant>
      <vt:variant>
        <vt:i4>5</vt:i4>
      </vt:variant>
      <vt:variant>
        <vt:lpwstr/>
      </vt:variant>
      <vt:variant>
        <vt:lpwstr>_bookmark83</vt:lpwstr>
      </vt:variant>
      <vt:variant>
        <vt:i4>2752593</vt:i4>
      </vt:variant>
      <vt:variant>
        <vt:i4>1482</vt:i4>
      </vt:variant>
      <vt:variant>
        <vt:i4>0</vt:i4>
      </vt:variant>
      <vt:variant>
        <vt:i4>5</vt:i4>
      </vt:variant>
      <vt:variant>
        <vt:lpwstr/>
      </vt:variant>
      <vt:variant>
        <vt:lpwstr>_bookmark81</vt:lpwstr>
      </vt:variant>
      <vt:variant>
        <vt:i4>2752593</vt:i4>
      </vt:variant>
      <vt:variant>
        <vt:i4>1479</vt:i4>
      </vt:variant>
      <vt:variant>
        <vt:i4>0</vt:i4>
      </vt:variant>
      <vt:variant>
        <vt:i4>5</vt:i4>
      </vt:variant>
      <vt:variant>
        <vt:lpwstr/>
      </vt:variant>
      <vt:variant>
        <vt:lpwstr>_bookmark81</vt:lpwstr>
      </vt:variant>
      <vt:variant>
        <vt:i4>2162706</vt:i4>
      </vt:variant>
      <vt:variant>
        <vt:i4>1476</vt:i4>
      </vt:variant>
      <vt:variant>
        <vt:i4>0</vt:i4>
      </vt:variant>
      <vt:variant>
        <vt:i4>5</vt:i4>
      </vt:variant>
      <vt:variant>
        <vt:lpwstr>http://www.ifc.org/wps/wcm/connect/topics_ext_content/ifc_external_corporate_site/ifc%2Bsustainability/our%2Bapproach/risk%2Bmanagement/ehsguidelines</vt:lpwstr>
      </vt:variant>
      <vt:variant>
        <vt:lpwstr/>
      </vt:variant>
      <vt:variant>
        <vt:i4>2424913</vt:i4>
      </vt:variant>
      <vt:variant>
        <vt:i4>1467</vt:i4>
      </vt:variant>
      <vt:variant>
        <vt:i4>0</vt:i4>
      </vt:variant>
      <vt:variant>
        <vt:i4>5</vt:i4>
      </vt:variant>
      <vt:variant>
        <vt:lpwstr/>
      </vt:variant>
      <vt:variant>
        <vt:lpwstr>_bookmark75</vt:lpwstr>
      </vt:variant>
      <vt:variant>
        <vt:i4>2424913</vt:i4>
      </vt:variant>
      <vt:variant>
        <vt:i4>1455</vt:i4>
      </vt:variant>
      <vt:variant>
        <vt:i4>0</vt:i4>
      </vt:variant>
      <vt:variant>
        <vt:i4>5</vt:i4>
      </vt:variant>
      <vt:variant>
        <vt:lpwstr/>
      </vt:variant>
      <vt:variant>
        <vt:lpwstr>_bookmark70</vt:lpwstr>
      </vt:variant>
      <vt:variant>
        <vt:i4>2359377</vt:i4>
      </vt:variant>
      <vt:variant>
        <vt:i4>1449</vt:i4>
      </vt:variant>
      <vt:variant>
        <vt:i4>0</vt:i4>
      </vt:variant>
      <vt:variant>
        <vt:i4>5</vt:i4>
      </vt:variant>
      <vt:variant>
        <vt:lpwstr/>
      </vt:variant>
      <vt:variant>
        <vt:lpwstr>_bookmark67</vt:lpwstr>
      </vt:variant>
      <vt:variant>
        <vt:i4>2031667</vt:i4>
      </vt:variant>
      <vt:variant>
        <vt:i4>1382</vt:i4>
      </vt:variant>
      <vt:variant>
        <vt:i4>0</vt:i4>
      </vt:variant>
      <vt:variant>
        <vt:i4>5</vt:i4>
      </vt:variant>
      <vt:variant>
        <vt:lpwstr/>
      </vt:variant>
      <vt:variant>
        <vt:lpwstr>_Toc210339235</vt:lpwstr>
      </vt:variant>
      <vt:variant>
        <vt:i4>2031667</vt:i4>
      </vt:variant>
      <vt:variant>
        <vt:i4>1376</vt:i4>
      </vt:variant>
      <vt:variant>
        <vt:i4>0</vt:i4>
      </vt:variant>
      <vt:variant>
        <vt:i4>5</vt:i4>
      </vt:variant>
      <vt:variant>
        <vt:lpwstr/>
      </vt:variant>
      <vt:variant>
        <vt:lpwstr>_Toc210339234</vt:lpwstr>
      </vt:variant>
      <vt:variant>
        <vt:i4>2031667</vt:i4>
      </vt:variant>
      <vt:variant>
        <vt:i4>1370</vt:i4>
      </vt:variant>
      <vt:variant>
        <vt:i4>0</vt:i4>
      </vt:variant>
      <vt:variant>
        <vt:i4>5</vt:i4>
      </vt:variant>
      <vt:variant>
        <vt:lpwstr/>
      </vt:variant>
      <vt:variant>
        <vt:lpwstr>_Toc210339233</vt:lpwstr>
      </vt:variant>
      <vt:variant>
        <vt:i4>2031667</vt:i4>
      </vt:variant>
      <vt:variant>
        <vt:i4>1364</vt:i4>
      </vt:variant>
      <vt:variant>
        <vt:i4>0</vt:i4>
      </vt:variant>
      <vt:variant>
        <vt:i4>5</vt:i4>
      </vt:variant>
      <vt:variant>
        <vt:lpwstr/>
      </vt:variant>
      <vt:variant>
        <vt:lpwstr>_Toc210339232</vt:lpwstr>
      </vt:variant>
      <vt:variant>
        <vt:i4>2031667</vt:i4>
      </vt:variant>
      <vt:variant>
        <vt:i4>1358</vt:i4>
      </vt:variant>
      <vt:variant>
        <vt:i4>0</vt:i4>
      </vt:variant>
      <vt:variant>
        <vt:i4>5</vt:i4>
      </vt:variant>
      <vt:variant>
        <vt:lpwstr/>
      </vt:variant>
      <vt:variant>
        <vt:lpwstr>_Toc210339231</vt:lpwstr>
      </vt:variant>
      <vt:variant>
        <vt:i4>2031667</vt:i4>
      </vt:variant>
      <vt:variant>
        <vt:i4>1352</vt:i4>
      </vt:variant>
      <vt:variant>
        <vt:i4>0</vt:i4>
      </vt:variant>
      <vt:variant>
        <vt:i4>5</vt:i4>
      </vt:variant>
      <vt:variant>
        <vt:lpwstr/>
      </vt:variant>
      <vt:variant>
        <vt:lpwstr>_Toc210339230</vt:lpwstr>
      </vt:variant>
      <vt:variant>
        <vt:i4>1966131</vt:i4>
      </vt:variant>
      <vt:variant>
        <vt:i4>1346</vt:i4>
      </vt:variant>
      <vt:variant>
        <vt:i4>0</vt:i4>
      </vt:variant>
      <vt:variant>
        <vt:i4>5</vt:i4>
      </vt:variant>
      <vt:variant>
        <vt:lpwstr/>
      </vt:variant>
      <vt:variant>
        <vt:lpwstr>_Toc210339229</vt:lpwstr>
      </vt:variant>
      <vt:variant>
        <vt:i4>1966131</vt:i4>
      </vt:variant>
      <vt:variant>
        <vt:i4>1340</vt:i4>
      </vt:variant>
      <vt:variant>
        <vt:i4>0</vt:i4>
      </vt:variant>
      <vt:variant>
        <vt:i4>5</vt:i4>
      </vt:variant>
      <vt:variant>
        <vt:lpwstr/>
      </vt:variant>
      <vt:variant>
        <vt:lpwstr>_Toc210339228</vt:lpwstr>
      </vt:variant>
      <vt:variant>
        <vt:i4>1966131</vt:i4>
      </vt:variant>
      <vt:variant>
        <vt:i4>1334</vt:i4>
      </vt:variant>
      <vt:variant>
        <vt:i4>0</vt:i4>
      </vt:variant>
      <vt:variant>
        <vt:i4>5</vt:i4>
      </vt:variant>
      <vt:variant>
        <vt:lpwstr/>
      </vt:variant>
      <vt:variant>
        <vt:lpwstr>_Toc210339227</vt:lpwstr>
      </vt:variant>
      <vt:variant>
        <vt:i4>1966131</vt:i4>
      </vt:variant>
      <vt:variant>
        <vt:i4>1328</vt:i4>
      </vt:variant>
      <vt:variant>
        <vt:i4>0</vt:i4>
      </vt:variant>
      <vt:variant>
        <vt:i4>5</vt:i4>
      </vt:variant>
      <vt:variant>
        <vt:lpwstr/>
      </vt:variant>
      <vt:variant>
        <vt:lpwstr>_Toc210339226</vt:lpwstr>
      </vt:variant>
      <vt:variant>
        <vt:i4>1966131</vt:i4>
      </vt:variant>
      <vt:variant>
        <vt:i4>1322</vt:i4>
      </vt:variant>
      <vt:variant>
        <vt:i4>0</vt:i4>
      </vt:variant>
      <vt:variant>
        <vt:i4>5</vt:i4>
      </vt:variant>
      <vt:variant>
        <vt:lpwstr/>
      </vt:variant>
      <vt:variant>
        <vt:lpwstr>_Toc210339225</vt:lpwstr>
      </vt:variant>
      <vt:variant>
        <vt:i4>1966131</vt:i4>
      </vt:variant>
      <vt:variant>
        <vt:i4>1316</vt:i4>
      </vt:variant>
      <vt:variant>
        <vt:i4>0</vt:i4>
      </vt:variant>
      <vt:variant>
        <vt:i4>5</vt:i4>
      </vt:variant>
      <vt:variant>
        <vt:lpwstr/>
      </vt:variant>
      <vt:variant>
        <vt:lpwstr>_Toc210339224</vt:lpwstr>
      </vt:variant>
      <vt:variant>
        <vt:i4>1966131</vt:i4>
      </vt:variant>
      <vt:variant>
        <vt:i4>1310</vt:i4>
      </vt:variant>
      <vt:variant>
        <vt:i4>0</vt:i4>
      </vt:variant>
      <vt:variant>
        <vt:i4>5</vt:i4>
      </vt:variant>
      <vt:variant>
        <vt:lpwstr/>
      </vt:variant>
      <vt:variant>
        <vt:lpwstr>_Toc210339223</vt:lpwstr>
      </vt:variant>
      <vt:variant>
        <vt:i4>1966131</vt:i4>
      </vt:variant>
      <vt:variant>
        <vt:i4>1304</vt:i4>
      </vt:variant>
      <vt:variant>
        <vt:i4>0</vt:i4>
      </vt:variant>
      <vt:variant>
        <vt:i4>5</vt:i4>
      </vt:variant>
      <vt:variant>
        <vt:lpwstr/>
      </vt:variant>
      <vt:variant>
        <vt:lpwstr>_Toc210339222</vt:lpwstr>
      </vt:variant>
      <vt:variant>
        <vt:i4>1966131</vt:i4>
      </vt:variant>
      <vt:variant>
        <vt:i4>1298</vt:i4>
      </vt:variant>
      <vt:variant>
        <vt:i4>0</vt:i4>
      </vt:variant>
      <vt:variant>
        <vt:i4>5</vt:i4>
      </vt:variant>
      <vt:variant>
        <vt:lpwstr/>
      </vt:variant>
      <vt:variant>
        <vt:lpwstr>_Toc210339221</vt:lpwstr>
      </vt:variant>
      <vt:variant>
        <vt:i4>1966131</vt:i4>
      </vt:variant>
      <vt:variant>
        <vt:i4>1292</vt:i4>
      </vt:variant>
      <vt:variant>
        <vt:i4>0</vt:i4>
      </vt:variant>
      <vt:variant>
        <vt:i4>5</vt:i4>
      </vt:variant>
      <vt:variant>
        <vt:lpwstr/>
      </vt:variant>
      <vt:variant>
        <vt:lpwstr>_Toc210339220</vt:lpwstr>
      </vt:variant>
      <vt:variant>
        <vt:i4>1900595</vt:i4>
      </vt:variant>
      <vt:variant>
        <vt:i4>1286</vt:i4>
      </vt:variant>
      <vt:variant>
        <vt:i4>0</vt:i4>
      </vt:variant>
      <vt:variant>
        <vt:i4>5</vt:i4>
      </vt:variant>
      <vt:variant>
        <vt:lpwstr/>
      </vt:variant>
      <vt:variant>
        <vt:lpwstr>_Toc210339219</vt:lpwstr>
      </vt:variant>
      <vt:variant>
        <vt:i4>1900595</vt:i4>
      </vt:variant>
      <vt:variant>
        <vt:i4>1277</vt:i4>
      </vt:variant>
      <vt:variant>
        <vt:i4>0</vt:i4>
      </vt:variant>
      <vt:variant>
        <vt:i4>5</vt:i4>
      </vt:variant>
      <vt:variant>
        <vt:lpwstr/>
      </vt:variant>
      <vt:variant>
        <vt:lpwstr>_Toc210339218</vt:lpwstr>
      </vt:variant>
      <vt:variant>
        <vt:i4>1900595</vt:i4>
      </vt:variant>
      <vt:variant>
        <vt:i4>1271</vt:i4>
      </vt:variant>
      <vt:variant>
        <vt:i4>0</vt:i4>
      </vt:variant>
      <vt:variant>
        <vt:i4>5</vt:i4>
      </vt:variant>
      <vt:variant>
        <vt:lpwstr/>
      </vt:variant>
      <vt:variant>
        <vt:lpwstr>_Toc210339217</vt:lpwstr>
      </vt:variant>
      <vt:variant>
        <vt:i4>1900595</vt:i4>
      </vt:variant>
      <vt:variant>
        <vt:i4>1265</vt:i4>
      </vt:variant>
      <vt:variant>
        <vt:i4>0</vt:i4>
      </vt:variant>
      <vt:variant>
        <vt:i4>5</vt:i4>
      </vt:variant>
      <vt:variant>
        <vt:lpwstr/>
      </vt:variant>
      <vt:variant>
        <vt:lpwstr>_Toc210339216</vt:lpwstr>
      </vt:variant>
      <vt:variant>
        <vt:i4>1900595</vt:i4>
      </vt:variant>
      <vt:variant>
        <vt:i4>1259</vt:i4>
      </vt:variant>
      <vt:variant>
        <vt:i4>0</vt:i4>
      </vt:variant>
      <vt:variant>
        <vt:i4>5</vt:i4>
      </vt:variant>
      <vt:variant>
        <vt:lpwstr/>
      </vt:variant>
      <vt:variant>
        <vt:lpwstr>_Toc210339215</vt:lpwstr>
      </vt:variant>
      <vt:variant>
        <vt:i4>1900595</vt:i4>
      </vt:variant>
      <vt:variant>
        <vt:i4>1253</vt:i4>
      </vt:variant>
      <vt:variant>
        <vt:i4>0</vt:i4>
      </vt:variant>
      <vt:variant>
        <vt:i4>5</vt:i4>
      </vt:variant>
      <vt:variant>
        <vt:lpwstr/>
      </vt:variant>
      <vt:variant>
        <vt:lpwstr>_Toc210339214</vt:lpwstr>
      </vt:variant>
      <vt:variant>
        <vt:i4>1900595</vt:i4>
      </vt:variant>
      <vt:variant>
        <vt:i4>1247</vt:i4>
      </vt:variant>
      <vt:variant>
        <vt:i4>0</vt:i4>
      </vt:variant>
      <vt:variant>
        <vt:i4>5</vt:i4>
      </vt:variant>
      <vt:variant>
        <vt:lpwstr/>
      </vt:variant>
      <vt:variant>
        <vt:lpwstr>_Toc210339213</vt:lpwstr>
      </vt:variant>
      <vt:variant>
        <vt:i4>1900595</vt:i4>
      </vt:variant>
      <vt:variant>
        <vt:i4>1241</vt:i4>
      </vt:variant>
      <vt:variant>
        <vt:i4>0</vt:i4>
      </vt:variant>
      <vt:variant>
        <vt:i4>5</vt:i4>
      </vt:variant>
      <vt:variant>
        <vt:lpwstr/>
      </vt:variant>
      <vt:variant>
        <vt:lpwstr>_Toc210339212</vt:lpwstr>
      </vt:variant>
      <vt:variant>
        <vt:i4>1900595</vt:i4>
      </vt:variant>
      <vt:variant>
        <vt:i4>1235</vt:i4>
      </vt:variant>
      <vt:variant>
        <vt:i4>0</vt:i4>
      </vt:variant>
      <vt:variant>
        <vt:i4>5</vt:i4>
      </vt:variant>
      <vt:variant>
        <vt:lpwstr/>
      </vt:variant>
      <vt:variant>
        <vt:lpwstr>_Toc210339211</vt:lpwstr>
      </vt:variant>
      <vt:variant>
        <vt:i4>1900595</vt:i4>
      </vt:variant>
      <vt:variant>
        <vt:i4>1229</vt:i4>
      </vt:variant>
      <vt:variant>
        <vt:i4>0</vt:i4>
      </vt:variant>
      <vt:variant>
        <vt:i4>5</vt:i4>
      </vt:variant>
      <vt:variant>
        <vt:lpwstr/>
      </vt:variant>
      <vt:variant>
        <vt:lpwstr>_Toc210339210</vt:lpwstr>
      </vt:variant>
      <vt:variant>
        <vt:i4>1835059</vt:i4>
      </vt:variant>
      <vt:variant>
        <vt:i4>1223</vt:i4>
      </vt:variant>
      <vt:variant>
        <vt:i4>0</vt:i4>
      </vt:variant>
      <vt:variant>
        <vt:i4>5</vt:i4>
      </vt:variant>
      <vt:variant>
        <vt:lpwstr/>
      </vt:variant>
      <vt:variant>
        <vt:lpwstr>_Toc210339209</vt:lpwstr>
      </vt:variant>
      <vt:variant>
        <vt:i4>1835059</vt:i4>
      </vt:variant>
      <vt:variant>
        <vt:i4>1217</vt:i4>
      </vt:variant>
      <vt:variant>
        <vt:i4>0</vt:i4>
      </vt:variant>
      <vt:variant>
        <vt:i4>5</vt:i4>
      </vt:variant>
      <vt:variant>
        <vt:lpwstr/>
      </vt:variant>
      <vt:variant>
        <vt:lpwstr>_Toc210339208</vt:lpwstr>
      </vt:variant>
      <vt:variant>
        <vt:i4>1835059</vt:i4>
      </vt:variant>
      <vt:variant>
        <vt:i4>1211</vt:i4>
      </vt:variant>
      <vt:variant>
        <vt:i4>0</vt:i4>
      </vt:variant>
      <vt:variant>
        <vt:i4>5</vt:i4>
      </vt:variant>
      <vt:variant>
        <vt:lpwstr/>
      </vt:variant>
      <vt:variant>
        <vt:lpwstr>_Toc210339207</vt:lpwstr>
      </vt:variant>
      <vt:variant>
        <vt:i4>1835059</vt:i4>
      </vt:variant>
      <vt:variant>
        <vt:i4>1205</vt:i4>
      </vt:variant>
      <vt:variant>
        <vt:i4>0</vt:i4>
      </vt:variant>
      <vt:variant>
        <vt:i4>5</vt:i4>
      </vt:variant>
      <vt:variant>
        <vt:lpwstr/>
      </vt:variant>
      <vt:variant>
        <vt:lpwstr>_Toc210339206</vt:lpwstr>
      </vt:variant>
      <vt:variant>
        <vt:i4>1835059</vt:i4>
      </vt:variant>
      <vt:variant>
        <vt:i4>1199</vt:i4>
      </vt:variant>
      <vt:variant>
        <vt:i4>0</vt:i4>
      </vt:variant>
      <vt:variant>
        <vt:i4>5</vt:i4>
      </vt:variant>
      <vt:variant>
        <vt:lpwstr/>
      </vt:variant>
      <vt:variant>
        <vt:lpwstr>_Toc210339205</vt:lpwstr>
      </vt:variant>
      <vt:variant>
        <vt:i4>1835059</vt:i4>
      </vt:variant>
      <vt:variant>
        <vt:i4>1193</vt:i4>
      </vt:variant>
      <vt:variant>
        <vt:i4>0</vt:i4>
      </vt:variant>
      <vt:variant>
        <vt:i4>5</vt:i4>
      </vt:variant>
      <vt:variant>
        <vt:lpwstr/>
      </vt:variant>
      <vt:variant>
        <vt:lpwstr>_Toc210339204</vt:lpwstr>
      </vt:variant>
      <vt:variant>
        <vt:i4>1835059</vt:i4>
      </vt:variant>
      <vt:variant>
        <vt:i4>1187</vt:i4>
      </vt:variant>
      <vt:variant>
        <vt:i4>0</vt:i4>
      </vt:variant>
      <vt:variant>
        <vt:i4>5</vt:i4>
      </vt:variant>
      <vt:variant>
        <vt:lpwstr/>
      </vt:variant>
      <vt:variant>
        <vt:lpwstr>_Toc210339203</vt:lpwstr>
      </vt:variant>
      <vt:variant>
        <vt:i4>1835059</vt:i4>
      </vt:variant>
      <vt:variant>
        <vt:i4>1181</vt:i4>
      </vt:variant>
      <vt:variant>
        <vt:i4>0</vt:i4>
      </vt:variant>
      <vt:variant>
        <vt:i4>5</vt:i4>
      </vt:variant>
      <vt:variant>
        <vt:lpwstr/>
      </vt:variant>
      <vt:variant>
        <vt:lpwstr>_Toc210339202</vt:lpwstr>
      </vt:variant>
      <vt:variant>
        <vt:i4>1835059</vt:i4>
      </vt:variant>
      <vt:variant>
        <vt:i4>1175</vt:i4>
      </vt:variant>
      <vt:variant>
        <vt:i4>0</vt:i4>
      </vt:variant>
      <vt:variant>
        <vt:i4>5</vt:i4>
      </vt:variant>
      <vt:variant>
        <vt:lpwstr/>
      </vt:variant>
      <vt:variant>
        <vt:lpwstr>_Toc210339201</vt:lpwstr>
      </vt:variant>
      <vt:variant>
        <vt:i4>1835059</vt:i4>
      </vt:variant>
      <vt:variant>
        <vt:i4>1169</vt:i4>
      </vt:variant>
      <vt:variant>
        <vt:i4>0</vt:i4>
      </vt:variant>
      <vt:variant>
        <vt:i4>5</vt:i4>
      </vt:variant>
      <vt:variant>
        <vt:lpwstr/>
      </vt:variant>
      <vt:variant>
        <vt:lpwstr>_Toc210339200</vt:lpwstr>
      </vt:variant>
      <vt:variant>
        <vt:i4>1376304</vt:i4>
      </vt:variant>
      <vt:variant>
        <vt:i4>1163</vt:i4>
      </vt:variant>
      <vt:variant>
        <vt:i4>0</vt:i4>
      </vt:variant>
      <vt:variant>
        <vt:i4>5</vt:i4>
      </vt:variant>
      <vt:variant>
        <vt:lpwstr/>
      </vt:variant>
      <vt:variant>
        <vt:lpwstr>_Toc210339199</vt:lpwstr>
      </vt:variant>
      <vt:variant>
        <vt:i4>1376304</vt:i4>
      </vt:variant>
      <vt:variant>
        <vt:i4>1157</vt:i4>
      </vt:variant>
      <vt:variant>
        <vt:i4>0</vt:i4>
      </vt:variant>
      <vt:variant>
        <vt:i4>5</vt:i4>
      </vt:variant>
      <vt:variant>
        <vt:lpwstr/>
      </vt:variant>
      <vt:variant>
        <vt:lpwstr>_Toc210339198</vt:lpwstr>
      </vt:variant>
      <vt:variant>
        <vt:i4>1376304</vt:i4>
      </vt:variant>
      <vt:variant>
        <vt:i4>1151</vt:i4>
      </vt:variant>
      <vt:variant>
        <vt:i4>0</vt:i4>
      </vt:variant>
      <vt:variant>
        <vt:i4>5</vt:i4>
      </vt:variant>
      <vt:variant>
        <vt:lpwstr/>
      </vt:variant>
      <vt:variant>
        <vt:lpwstr>_Toc210339197</vt:lpwstr>
      </vt:variant>
      <vt:variant>
        <vt:i4>1376304</vt:i4>
      </vt:variant>
      <vt:variant>
        <vt:i4>1145</vt:i4>
      </vt:variant>
      <vt:variant>
        <vt:i4>0</vt:i4>
      </vt:variant>
      <vt:variant>
        <vt:i4>5</vt:i4>
      </vt:variant>
      <vt:variant>
        <vt:lpwstr/>
      </vt:variant>
      <vt:variant>
        <vt:lpwstr>_Toc210339196</vt:lpwstr>
      </vt:variant>
      <vt:variant>
        <vt:i4>1376304</vt:i4>
      </vt:variant>
      <vt:variant>
        <vt:i4>1139</vt:i4>
      </vt:variant>
      <vt:variant>
        <vt:i4>0</vt:i4>
      </vt:variant>
      <vt:variant>
        <vt:i4>5</vt:i4>
      </vt:variant>
      <vt:variant>
        <vt:lpwstr/>
      </vt:variant>
      <vt:variant>
        <vt:lpwstr>_Toc210339195</vt:lpwstr>
      </vt:variant>
      <vt:variant>
        <vt:i4>1376304</vt:i4>
      </vt:variant>
      <vt:variant>
        <vt:i4>1133</vt:i4>
      </vt:variant>
      <vt:variant>
        <vt:i4>0</vt:i4>
      </vt:variant>
      <vt:variant>
        <vt:i4>5</vt:i4>
      </vt:variant>
      <vt:variant>
        <vt:lpwstr/>
      </vt:variant>
      <vt:variant>
        <vt:lpwstr>_Toc210339194</vt:lpwstr>
      </vt:variant>
      <vt:variant>
        <vt:i4>1376304</vt:i4>
      </vt:variant>
      <vt:variant>
        <vt:i4>1127</vt:i4>
      </vt:variant>
      <vt:variant>
        <vt:i4>0</vt:i4>
      </vt:variant>
      <vt:variant>
        <vt:i4>5</vt:i4>
      </vt:variant>
      <vt:variant>
        <vt:lpwstr/>
      </vt:variant>
      <vt:variant>
        <vt:lpwstr>_Toc210339193</vt:lpwstr>
      </vt:variant>
      <vt:variant>
        <vt:i4>1376304</vt:i4>
      </vt:variant>
      <vt:variant>
        <vt:i4>1121</vt:i4>
      </vt:variant>
      <vt:variant>
        <vt:i4>0</vt:i4>
      </vt:variant>
      <vt:variant>
        <vt:i4>5</vt:i4>
      </vt:variant>
      <vt:variant>
        <vt:lpwstr/>
      </vt:variant>
      <vt:variant>
        <vt:lpwstr>_Toc210339192</vt:lpwstr>
      </vt:variant>
      <vt:variant>
        <vt:i4>1376304</vt:i4>
      </vt:variant>
      <vt:variant>
        <vt:i4>1115</vt:i4>
      </vt:variant>
      <vt:variant>
        <vt:i4>0</vt:i4>
      </vt:variant>
      <vt:variant>
        <vt:i4>5</vt:i4>
      </vt:variant>
      <vt:variant>
        <vt:lpwstr/>
      </vt:variant>
      <vt:variant>
        <vt:lpwstr>_Toc210339191</vt:lpwstr>
      </vt:variant>
      <vt:variant>
        <vt:i4>1376304</vt:i4>
      </vt:variant>
      <vt:variant>
        <vt:i4>1109</vt:i4>
      </vt:variant>
      <vt:variant>
        <vt:i4>0</vt:i4>
      </vt:variant>
      <vt:variant>
        <vt:i4>5</vt:i4>
      </vt:variant>
      <vt:variant>
        <vt:lpwstr/>
      </vt:variant>
      <vt:variant>
        <vt:lpwstr>_Toc210339190</vt:lpwstr>
      </vt:variant>
      <vt:variant>
        <vt:i4>1310768</vt:i4>
      </vt:variant>
      <vt:variant>
        <vt:i4>1103</vt:i4>
      </vt:variant>
      <vt:variant>
        <vt:i4>0</vt:i4>
      </vt:variant>
      <vt:variant>
        <vt:i4>5</vt:i4>
      </vt:variant>
      <vt:variant>
        <vt:lpwstr/>
      </vt:variant>
      <vt:variant>
        <vt:lpwstr>_Toc210339189</vt:lpwstr>
      </vt:variant>
      <vt:variant>
        <vt:i4>1310768</vt:i4>
      </vt:variant>
      <vt:variant>
        <vt:i4>1097</vt:i4>
      </vt:variant>
      <vt:variant>
        <vt:i4>0</vt:i4>
      </vt:variant>
      <vt:variant>
        <vt:i4>5</vt:i4>
      </vt:variant>
      <vt:variant>
        <vt:lpwstr/>
      </vt:variant>
      <vt:variant>
        <vt:lpwstr>_Toc210339188</vt:lpwstr>
      </vt:variant>
      <vt:variant>
        <vt:i4>1310768</vt:i4>
      </vt:variant>
      <vt:variant>
        <vt:i4>1091</vt:i4>
      </vt:variant>
      <vt:variant>
        <vt:i4>0</vt:i4>
      </vt:variant>
      <vt:variant>
        <vt:i4>5</vt:i4>
      </vt:variant>
      <vt:variant>
        <vt:lpwstr/>
      </vt:variant>
      <vt:variant>
        <vt:lpwstr>_Toc210339187</vt:lpwstr>
      </vt:variant>
      <vt:variant>
        <vt:i4>1310768</vt:i4>
      </vt:variant>
      <vt:variant>
        <vt:i4>1085</vt:i4>
      </vt:variant>
      <vt:variant>
        <vt:i4>0</vt:i4>
      </vt:variant>
      <vt:variant>
        <vt:i4>5</vt:i4>
      </vt:variant>
      <vt:variant>
        <vt:lpwstr/>
      </vt:variant>
      <vt:variant>
        <vt:lpwstr>_Toc210339186</vt:lpwstr>
      </vt:variant>
      <vt:variant>
        <vt:i4>1310768</vt:i4>
      </vt:variant>
      <vt:variant>
        <vt:i4>1079</vt:i4>
      </vt:variant>
      <vt:variant>
        <vt:i4>0</vt:i4>
      </vt:variant>
      <vt:variant>
        <vt:i4>5</vt:i4>
      </vt:variant>
      <vt:variant>
        <vt:lpwstr/>
      </vt:variant>
      <vt:variant>
        <vt:lpwstr>_Toc210339185</vt:lpwstr>
      </vt:variant>
      <vt:variant>
        <vt:i4>1310768</vt:i4>
      </vt:variant>
      <vt:variant>
        <vt:i4>1073</vt:i4>
      </vt:variant>
      <vt:variant>
        <vt:i4>0</vt:i4>
      </vt:variant>
      <vt:variant>
        <vt:i4>5</vt:i4>
      </vt:variant>
      <vt:variant>
        <vt:lpwstr/>
      </vt:variant>
      <vt:variant>
        <vt:lpwstr>_Toc210339184</vt:lpwstr>
      </vt:variant>
      <vt:variant>
        <vt:i4>1310768</vt:i4>
      </vt:variant>
      <vt:variant>
        <vt:i4>1067</vt:i4>
      </vt:variant>
      <vt:variant>
        <vt:i4>0</vt:i4>
      </vt:variant>
      <vt:variant>
        <vt:i4>5</vt:i4>
      </vt:variant>
      <vt:variant>
        <vt:lpwstr/>
      </vt:variant>
      <vt:variant>
        <vt:lpwstr>_Toc210339183</vt:lpwstr>
      </vt:variant>
      <vt:variant>
        <vt:i4>1310768</vt:i4>
      </vt:variant>
      <vt:variant>
        <vt:i4>1061</vt:i4>
      </vt:variant>
      <vt:variant>
        <vt:i4>0</vt:i4>
      </vt:variant>
      <vt:variant>
        <vt:i4>5</vt:i4>
      </vt:variant>
      <vt:variant>
        <vt:lpwstr/>
      </vt:variant>
      <vt:variant>
        <vt:lpwstr>_Toc210339182</vt:lpwstr>
      </vt:variant>
      <vt:variant>
        <vt:i4>1310768</vt:i4>
      </vt:variant>
      <vt:variant>
        <vt:i4>1055</vt:i4>
      </vt:variant>
      <vt:variant>
        <vt:i4>0</vt:i4>
      </vt:variant>
      <vt:variant>
        <vt:i4>5</vt:i4>
      </vt:variant>
      <vt:variant>
        <vt:lpwstr/>
      </vt:variant>
      <vt:variant>
        <vt:lpwstr>_Toc210339181</vt:lpwstr>
      </vt:variant>
      <vt:variant>
        <vt:i4>1310768</vt:i4>
      </vt:variant>
      <vt:variant>
        <vt:i4>1049</vt:i4>
      </vt:variant>
      <vt:variant>
        <vt:i4>0</vt:i4>
      </vt:variant>
      <vt:variant>
        <vt:i4>5</vt:i4>
      </vt:variant>
      <vt:variant>
        <vt:lpwstr/>
      </vt:variant>
      <vt:variant>
        <vt:lpwstr>_Toc210339180</vt:lpwstr>
      </vt:variant>
      <vt:variant>
        <vt:i4>1769520</vt:i4>
      </vt:variant>
      <vt:variant>
        <vt:i4>1043</vt:i4>
      </vt:variant>
      <vt:variant>
        <vt:i4>0</vt:i4>
      </vt:variant>
      <vt:variant>
        <vt:i4>5</vt:i4>
      </vt:variant>
      <vt:variant>
        <vt:lpwstr/>
      </vt:variant>
      <vt:variant>
        <vt:lpwstr>_Toc210339179</vt:lpwstr>
      </vt:variant>
      <vt:variant>
        <vt:i4>1769520</vt:i4>
      </vt:variant>
      <vt:variant>
        <vt:i4>1037</vt:i4>
      </vt:variant>
      <vt:variant>
        <vt:i4>0</vt:i4>
      </vt:variant>
      <vt:variant>
        <vt:i4>5</vt:i4>
      </vt:variant>
      <vt:variant>
        <vt:lpwstr/>
      </vt:variant>
      <vt:variant>
        <vt:lpwstr>_Toc210339178</vt:lpwstr>
      </vt:variant>
      <vt:variant>
        <vt:i4>1769520</vt:i4>
      </vt:variant>
      <vt:variant>
        <vt:i4>1031</vt:i4>
      </vt:variant>
      <vt:variant>
        <vt:i4>0</vt:i4>
      </vt:variant>
      <vt:variant>
        <vt:i4>5</vt:i4>
      </vt:variant>
      <vt:variant>
        <vt:lpwstr/>
      </vt:variant>
      <vt:variant>
        <vt:lpwstr>_Toc210339177</vt:lpwstr>
      </vt:variant>
      <vt:variant>
        <vt:i4>1769520</vt:i4>
      </vt:variant>
      <vt:variant>
        <vt:i4>1025</vt:i4>
      </vt:variant>
      <vt:variant>
        <vt:i4>0</vt:i4>
      </vt:variant>
      <vt:variant>
        <vt:i4>5</vt:i4>
      </vt:variant>
      <vt:variant>
        <vt:lpwstr/>
      </vt:variant>
      <vt:variant>
        <vt:lpwstr>_Toc210339176</vt:lpwstr>
      </vt:variant>
      <vt:variant>
        <vt:i4>1769520</vt:i4>
      </vt:variant>
      <vt:variant>
        <vt:i4>1019</vt:i4>
      </vt:variant>
      <vt:variant>
        <vt:i4>0</vt:i4>
      </vt:variant>
      <vt:variant>
        <vt:i4>5</vt:i4>
      </vt:variant>
      <vt:variant>
        <vt:lpwstr/>
      </vt:variant>
      <vt:variant>
        <vt:lpwstr>_Toc210339175</vt:lpwstr>
      </vt:variant>
      <vt:variant>
        <vt:i4>1769520</vt:i4>
      </vt:variant>
      <vt:variant>
        <vt:i4>1013</vt:i4>
      </vt:variant>
      <vt:variant>
        <vt:i4>0</vt:i4>
      </vt:variant>
      <vt:variant>
        <vt:i4>5</vt:i4>
      </vt:variant>
      <vt:variant>
        <vt:lpwstr/>
      </vt:variant>
      <vt:variant>
        <vt:lpwstr>_Toc210339174</vt:lpwstr>
      </vt:variant>
      <vt:variant>
        <vt:i4>1769520</vt:i4>
      </vt:variant>
      <vt:variant>
        <vt:i4>1007</vt:i4>
      </vt:variant>
      <vt:variant>
        <vt:i4>0</vt:i4>
      </vt:variant>
      <vt:variant>
        <vt:i4>5</vt:i4>
      </vt:variant>
      <vt:variant>
        <vt:lpwstr/>
      </vt:variant>
      <vt:variant>
        <vt:lpwstr>_Toc210339173</vt:lpwstr>
      </vt:variant>
      <vt:variant>
        <vt:i4>1310769</vt:i4>
      </vt:variant>
      <vt:variant>
        <vt:i4>998</vt:i4>
      </vt:variant>
      <vt:variant>
        <vt:i4>0</vt:i4>
      </vt:variant>
      <vt:variant>
        <vt:i4>5</vt:i4>
      </vt:variant>
      <vt:variant>
        <vt:lpwstr/>
      </vt:variant>
      <vt:variant>
        <vt:lpwstr>_Toc210339087</vt:lpwstr>
      </vt:variant>
      <vt:variant>
        <vt:i4>1310769</vt:i4>
      </vt:variant>
      <vt:variant>
        <vt:i4>992</vt:i4>
      </vt:variant>
      <vt:variant>
        <vt:i4>0</vt:i4>
      </vt:variant>
      <vt:variant>
        <vt:i4>5</vt:i4>
      </vt:variant>
      <vt:variant>
        <vt:lpwstr/>
      </vt:variant>
      <vt:variant>
        <vt:lpwstr>_Toc210339086</vt:lpwstr>
      </vt:variant>
      <vt:variant>
        <vt:i4>1310769</vt:i4>
      </vt:variant>
      <vt:variant>
        <vt:i4>986</vt:i4>
      </vt:variant>
      <vt:variant>
        <vt:i4>0</vt:i4>
      </vt:variant>
      <vt:variant>
        <vt:i4>5</vt:i4>
      </vt:variant>
      <vt:variant>
        <vt:lpwstr/>
      </vt:variant>
      <vt:variant>
        <vt:lpwstr>_Toc210339085</vt:lpwstr>
      </vt:variant>
      <vt:variant>
        <vt:i4>1310769</vt:i4>
      </vt:variant>
      <vt:variant>
        <vt:i4>980</vt:i4>
      </vt:variant>
      <vt:variant>
        <vt:i4>0</vt:i4>
      </vt:variant>
      <vt:variant>
        <vt:i4>5</vt:i4>
      </vt:variant>
      <vt:variant>
        <vt:lpwstr/>
      </vt:variant>
      <vt:variant>
        <vt:lpwstr>_Toc210339084</vt:lpwstr>
      </vt:variant>
      <vt:variant>
        <vt:i4>1310769</vt:i4>
      </vt:variant>
      <vt:variant>
        <vt:i4>974</vt:i4>
      </vt:variant>
      <vt:variant>
        <vt:i4>0</vt:i4>
      </vt:variant>
      <vt:variant>
        <vt:i4>5</vt:i4>
      </vt:variant>
      <vt:variant>
        <vt:lpwstr/>
      </vt:variant>
      <vt:variant>
        <vt:lpwstr>_Toc210339083</vt:lpwstr>
      </vt:variant>
      <vt:variant>
        <vt:i4>1310769</vt:i4>
      </vt:variant>
      <vt:variant>
        <vt:i4>968</vt:i4>
      </vt:variant>
      <vt:variant>
        <vt:i4>0</vt:i4>
      </vt:variant>
      <vt:variant>
        <vt:i4>5</vt:i4>
      </vt:variant>
      <vt:variant>
        <vt:lpwstr/>
      </vt:variant>
      <vt:variant>
        <vt:lpwstr>_Toc210339082</vt:lpwstr>
      </vt:variant>
      <vt:variant>
        <vt:i4>1310769</vt:i4>
      </vt:variant>
      <vt:variant>
        <vt:i4>962</vt:i4>
      </vt:variant>
      <vt:variant>
        <vt:i4>0</vt:i4>
      </vt:variant>
      <vt:variant>
        <vt:i4>5</vt:i4>
      </vt:variant>
      <vt:variant>
        <vt:lpwstr/>
      </vt:variant>
      <vt:variant>
        <vt:lpwstr>_Toc210339081</vt:lpwstr>
      </vt:variant>
      <vt:variant>
        <vt:i4>1310769</vt:i4>
      </vt:variant>
      <vt:variant>
        <vt:i4>956</vt:i4>
      </vt:variant>
      <vt:variant>
        <vt:i4>0</vt:i4>
      </vt:variant>
      <vt:variant>
        <vt:i4>5</vt:i4>
      </vt:variant>
      <vt:variant>
        <vt:lpwstr/>
      </vt:variant>
      <vt:variant>
        <vt:lpwstr>_Toc210339080</vt:lpwstr>
      </vt:variant>
      <vt:variant>
        <vt:i4>1769521</vt:i4>
      </vt:variant>
      <vt:variant>
        <vt:i4>950</vt:i4>
      </vt:variant>
      <vt:variant>
        <vt:i4>0</vt:i4>
      </vt:variant>
      <vt:variant>
        <vt:i4>5</vt:i4>
      </vt:variant>
      <vt:variant>
        <vt:lpwstr/>
      </vt:variant>
      <vt:variant>
        <vt:lpwstr>_Toc210339079</vt:lpwstr>
      </vt:variant>
      <vt:variant>
        <vt:i4>1769521</vt:i4>
      </vt:variant>
      <vt:variant>
        <vt:i4>944</vt:i4>
      </vt:variant>
      <vt:variant>
        <vt:i4>0</vt:i4>
      </vt:variant>
      <vt:variant>
        <vt:i4>5</vt:i4>
      </vt:variant>
      <vt:variant>
        <vt:lpwstr/>
      </vt:variant>
      <vt:variant>
        <vt:lpwstr>_Toc210339078</vt:lpwstr>
      </vt:variant>
      <vt:variant>
        <vt:i4>1769521</vt:i4>
      </vt:variant>
      <vt:variant>
        <vt:i4>938</vt:i4>
      </vt:variant>
      <vt:variant>
        <vt:i4>0</vt:i4>
      </vt:variant>
      <vt:variant>
        <vt:i4>5</vt:i4>
      </vt:variant>
      <vt:variant>
        <vt:lpwstr/>
      </vt:variant>
      <vt:variant>
        <vt:lpwstr>_Toc210339077</vt:lpwstr>
      </vt:variant>
      <vt:variant>
        <vt:i4>1769521</vt:i4>
      </vt:variant>
      <vt:variant>
        <vt:i4>932</vt:i4>
      </vt:variant>
      <vt:variant>
        <vt:i4>0</vt:i4>
      </vt:variant>
      <vt:variant>
        <vt:i4>5</vt:i4>
      </vt:variant>
      <vt:variant>
        <vt:lpwstr/>
      </vt:variant>
      <vt:variant>
        <vt:lpwstr>_Toc210339076</vt:lpwstr>
      </vt:variant>
      <vt:variant>
        <vt:i4>1769521</vt:i4>
      </vt:variant>
      <vt:variant>
        <vt:i4>926</vt:i4>
      </vt:variant>
      <vt:variant>
        <vt:i4>0</vt:i4>
      </vt:variant>
      <vt:variant>
        <vt:i4>5</vt:i4>
      </vt:variant>
      <vt:variant>
        <vt:lpwstr/>
      </vt:variant>
      <vt:variant>
        <vt:lpwstr>_Toc210339075</vt:lpwstr>
      </vt:variant>
      <vt:variant>
        <vt:i4>1769521</vt:i4>
      </vt:variant>
      <vt:variant>
        <vt:i4>920</vt:i4>
      </vt:variant>
      <vt:variant>
        <vt:i4>0</vt:i4>
      </vt:variant>
      <vt:variant>
        <vt:i4>5</vt:i4>
      </vt:variant>
      <vt:variant>
        <vt:lpwstr/>
      </vt:variant>
      <vt:variant>
        <vt:lpwstr>_Toc210339074</vt:lpwstr>
      </vt:variant>
      <vt:variant>
        <vt:i4>1769521</vt:i4>
      </vt:variant>
      <vt:variant>
        <vt:i4>914</vt:i4>
      </vt:variant>
      <vt:variant>
        <vt:i4>0</vt:i4>
      </vt:variant>
      <vt:variant>
        <vt:i4>5</vt:i4>
      </vt:variant>
      <vt:variant>
        <vt:lpwstr/>
      </vt:variant>
      <vt:variant>
        <vt:lpwstr>_Toc210339073</vt:lpwstr>
      </vt:variant>
      <vt:variant>
        <vt:i4>1769521</vt:i4>
      </vt:variant>
      <vt:variant>
        <vt:i4>908</vt:i4>
      </vt:variant>
      <vt:variant>
        <vt:i4>0</vt:i4>
      </vt:variant>
      <vt:variant>
        <vt:i4>5</vt:i4>
      </vt:variant>
      <vt:variant>
        <vt:lpwstr/>
      </vt:variant>
      <vt:variant>
        <vt:lpwstr>_Toc210339072</vt:lpwstr>
      </vt:variant>
      <vt:variant>
        <vt:i4>1769521</vt:i4>
      </vt:variant>
      <vt:variant>
        <vt:i4>902</vt:i4>
      </vt:variant>
      <vt:variant>
        <vt:i4>0</vt:i4>
      </vt:variant>
      <vt:variant>
        <vt:i4>5</vt:i4>
      </vt:variant>
      <vt:variant>
        <vt:lpwstr/>
      </vt:variant>
      <vt:variant>
        <vt:lpwstr>_Toc210339071</vt:lpwstr>
      </vt:variant>
      <vt:variant>
        <vt:i4>1769521</vt:i4>
      </vt:variant>
      <vt:variant>
        <vt:i4>896</vt:i4>
      </vt:variant>
      <vt:variant>
        <vt:i4>0</vt:i4>
      </vt:variant>
      <vt:variant>
        <vt:i4>5</vt:i4>
      </vt:variant>
      <vt:variant>
        <vt:lpwstr/>
      </vt:variant>
      <vt:variant>
        <vt:lpwstr>_Toc210339070</vt:lpwstr>
      </vt:variant>
      <vt:variant>
        <vt:i4>1703985</vt:i4>
      </vt:variant>
      <vt:variant>
        <vt:i4>890</vt:i4>
      </vt:variant>
      <vt:variant>
        <vt:i4>0</vt:i4>
      </vt:variant>
      <vt:variant>
        <vt:i4>5</vt:i4>
      </vt:variant>
      <vt:variant>
        <vt:lpwstr/>
      </vt:variant>
      <vt:variant>
        <vt:lpwstr>_Toc210339069</vt:lpwstr>
      </vt:variant>
      <vt:variant>
        <vt:i4>1703985</vt:i4>
      </vt:variant>
      <vt:variant>
        <vt:i4>884</vt:i4>
      </vt:variant>
      <vt:variant>
        <vt:i4>0</vt:i4>
      </vt:variant>
      <vt:variant>
        <vt:i4>5</vt:i4>
      </vt:variant>
      <vt:variant>
        <vt:lpwstr/>
      </vt:variant>
      <vt:variant>
        <vt:lpwstr>_Toc210339068</vt:lpwstr>
      </vt:variant>
      <vt:variant>
        <vt:i4>1703985</vt:i4>
      </vt:variant>
      <vt:variant>
        <vt:i4>878</vt:i4>
      </vt:variant>
      <vt:variant>
        <vt:i4>0</vt:i4>
      </vt:variant>
      <vt:variant>
        <vt:i4>5</vt:i4>
      </vt:variant>
      <vt:variant>
        <vt:lpwstr/>
      </vt:variant>
      <vt:variant>
        <vt:lpwstr>_Toc210339067</vt:lpwstr>
      </vt:variant>
      <vt:variant>
        <vt:i4>1703985</vt:i4>
      </vt:variant>
      <vt:variant>
        <vt:i4>872</vt:i4>
      </vt:variant>
      <vt:variant>
        <vt:i4>0</vt:i4>
      </vt:variant>
      <vt:variant>
        <vt:i4>5</vt:i4>
      </vt:variant>
      <vt:variant>
        <vt:lpwstr/>
      </vt:variant>
      <vt:variant>
        <vt:lpwstr>_Toc210339066</vt:lpwstr>
      </vt:variant>
      <vt:variant>
        <vt:i4>1703985</vt:i4>
      </vt:variant>
      <vt:variant>
        <vt:i4>866</vt:i4>
      </vt:variant>
      <vt:variant>
        <vt:i4>0</vt:i4>
      </vt:variant>
      <vt:variant>
        <vt:i4>5</vt:i4>
      </vt:variant>
      <vt:variant>
        <vt:lpwstr/>
      </vt:variant>
      <vt:variant>
        <vt:lpwstr>_Toc210339065</vt:lpwstr>
      </vt:variant>
      <vt:variant>
        <vt:i4>1703985</vt:i4>
      </vt:variant>
      <vt:variant>
        <vt:i4>860</vt:i4>
      </vt:variant>
      <vt:variant>
        <vt:i4>0</vt:i4>
      </vt:variant>
      <vt:variant>
        <vt:i4>5</vt:i4>
      </vt:variant>
      <vt:variant>
        <vt:lpwstr/>
      </vt:variant>
      <vt:variant>
        <vt:lpwstr>_Toc210339064</vt:lpwstr>
      </vt:variant>
      <vt:variant>
        <vt:i4>1703985</vt:i4>
      </vt:variant>
      <vt:variant>
        <vt:i4>854</vt:i4>
      </vt:variant>
      <vt:variant>
        <vt:i4>0</vt:i4>
      </vt:variant>
      <vt:variant>
        <vt:i4>5</vt:i4>
      </vt:variant>
      <vt:variant>
        <vt:lpwstr/>
      </vt:variant>
      <vt:variant>
        <vt:lpwstr>_Toc210339063</vt:lpwstr>
      </vt:variant>
      <vt:variant>
        <vt:i4>1703985</vt:i4>
      </vt:variant>
      <vt:variant>
        <vt:i4>848</vt:i4>
      </vt:variant>
      <vt:variant>
        <vt:i4>0</vt:i4>
      </vt:variant>
      <vt:variant>
        <vt:i4>5</vt:i4>
      </vt:variant>
      <vt:variant>
        <vt:lpwstr/>
      </vt:variant>
      <vt:variant>
        <vt:lpwstr>_Toc210339062</vt:lpwstr>
      </vt:variant>
      <vt:variant>
        <vt:i4>1703985</vt:i4>
      </vt:variant>
      <vt:variant>
        <vt:i4>842</vt:i4>
      </vt:variant>
      <vt:variant>
        <vt:i4>0</vt:i4>
      </vt:variant>
      <vt:variant>
        <vt:i4>5</vt:i4>
      </vt:variant>
      <vt:variant>
        <vt:lpwstr/>
      </vt:variant>
      <vt:variant>
        <vt:lpwstr>_Toc210339061</vt:lpwstr>
      </vt:variant>
      <vt:variant>
        <vt:i4>1703985</vt:i4>
      </vt:variant>
      <vt:variant>
        <vt:i4>836</vt:i4>
      </vt:variant>
      <vt:variant>
        <vt:i4>0</vt:i4>
      </vt:variant>
      <vt:variant>
        <vt:i4>5</vt:i4>
      </vt:variant>
      <vt:variant>
        <vt:lpwstr/>
      </vt:variant>
      <vt:variant>
        <vt:lpwstr>_Toc210339060</vt:lpwstr>
      </vt:variant>
      <vt:variant>
        <vt:i4>1638449</vt:i4>
      </vt:variant>
      <vt:variant>
        <vt:i4>830</vt:i4>
      </vt:variant>
      <vt:variant>
        <vt:i4>0</vt:i4>
      </vt:variant>
      <vt:variant>
        <vt:i4>5</vt:i4>
      </vt:variant>
      <vt:variant>
        <vt:lpwstr/>
      </vt:variant>
      <vt:variant>
        <vt:lpwstr>_Toc210339059</vt:lpwstr>
      </vt:variant>
      <vt:variant>
        <vt:i4>1638449</vt:i4>
      </vt:variant>
      <vt:variant>
        <vt:i4>824</vt:i4>
      </vt:variant>
      <vt:variant>
        <vt:i4>0</vt:i4>
      </vt:variant>
      <vt:variant>
        <vt:i4>5</vt:i4>
      </vt:variant>
      <vt:variant>
        <vt:lpwstr/>
      </vt:variant>
      <vt:variant>
        <vt:lpwstr>_Toc210339058</vt:lpwstr>
      </vt:variant>
      <vt:variant>
        <vt:i4>1638449</vt:i4>
      </vt:variant>
      <vt:variant>
        <vt:i4>818</vt:i4>
      </vt:variant>
      <vt:variant>
        <vt:i4>0</vt:i4>
      </vt:variant>
      <vt:variant>
        <vt:i4>5</vt:i4>
      </vt:variant>
      <vt:variant>
        <vt:lpwstr/>
      </vt:variant>
      <vt:variant>
        <vt:lpwstr>_Toc210339057</vt:lpwstr>
      </vt:variant>
      <vt:variant>
        <vt:i4>1638449</vt:i4>
      </vt:variant>
      <vt:variant>
        <vt:i4>812</vt:i4>
      </vt:variant>
      <vt:variant>
        <vt:i4>0</vt:i4>
      </vt:variant>
      <vt:variant>
        <vt:i4>5</vt:i4>
      </vt:variant>
      <vt:variant>
        <vt:lpwstr/>
      </vt:variant>
      <vt:variant>
        <vt:lpwstr>_Toc210339056</vt:lpwstr>
      </vt:variant>
      <vt:variant>
        <vt:i4>1638449</vt:i4>
      </vt:variant>
      <vt:variant>
        <vt:i4>806</vt:i4>
      </vt:variant>
      <vt:variant>
        <vt:i4>0</vt:i4>
      </vt:variant>
      <vt:variant>
        <vt:i4>5</vt:i4>
      </vt:variant>
      <vt:variant>
        <vt:lpwstr/>
      </vt:variant>
      <vt:variant>
        <vt:lpwstr>_Toc210339055</vt:lpwstr>
      </vt:variant>
      <vt:variant>
        <vt:i4>1638449</vt:i4>
      </vt:variant>
      <vt:variant>
        <vt:i4>800</vt:i4>
      </vt:variant>
      <vt:variant>
        <vt:i4>0</vt:i4>
      </vt:variant>
      <vt:variant>
        <vt:i4>5</vt:i4>
      </vt:variant>
      <vt:variant>
        <vt:lpwstr/>
      </vt:variant>
      <vt:variant>
        <vt:lpwstr>_Toc210339054</vt:lpwstr>
      </vt:variant>
      <vt:variant>
        <vt:i4>1638449</vt:i4>
      </vt:variant>
      <vt:variant>
        <vt:i4>794</vt:i4>
      </vt:variant>
      <vt:variant>
        <vt:i4>0</vt:i4>
      </vt:variant>
      <vt:variant>
        <vt:i4>5</vt:i4>
      </vt:variant>
      <vt:variant>
        <vt:lpwstr/>
      </vt:variant>
      <vt:variant>
        <vt:lpwstr>_Toc210339053</vt:lpwstr>
      </vt:variant>
      <vt:variant>
        <vt:i4>1638449</vt:i4>
      </vt:variant>
      <vt:variant>
        <vt:i4>788</vt:i4>
      </vt:variant>
      <vt:variant>
        <vt:i4>0</vt:i4>
      </vt:variant>
      <vt:variant>
        <vt:i4>5</vt:i4>
      </vt:variant>
      <vt:variant>
        <vt:lpwstr/>
      </vt:variant>
      <vt:variant>
        <vt:lpwstr>_Toc210339052</vt:lpwstr>
      </vt:variant>
      <vt:variant>
        <vt:i4>1638449</vt:i4>
      </vt:variant>
      <vt:variant>
        <vt:i4>782</vt:i4>
      </vt:variant>
      <vt:variant>
        <vt:i4>0</vt:i4>
      </vt:variant>
      <vt:variant>
        <vt:i4>5</vt:i4>
      </vt:variant>
      <vt:variant>
        <vt:lpwstr/>
      </vt:variant>
      <vt:variant>
        <vt:lpwstr>_Toc210339051</vt:lpwstr>
      </vt:variant>
      <vt:variant>
        <vt:i4>1638449</vt:i4>
      </vt:variant>
      <vt:variant>
        <vt:i4>776</vt:i4>
      </vt:variant>
      <vt:variant>
        <vt:i4>0</vt:i4>
      </vt:variant>
      <vt:variant>
        <vt:i4>5</vt:i4>
      </vt:variant>
      <vt:variant>
        <vt:lpwstr/>
      </vt:variant>
      <vt:variant>
        <vt:lpwstr>_Toc210339050</vt:lpwstr>
      </vt:variant>
      <vt:variant>
        <vt:i4>1572913</vt:i4>
      </vt:variant>
      <vt:variant>
        <vt:i4>770</vt:i4>
      </vt:variant>
      <vt:variant>
        <vt:i4>0</vt:i4>
      </vt:variant>
      <vt:variant>
        <vt:i4>5</vt:i4>
      </vt:variant>
      <vt:variant>
        <vt:lpwstr/>
      </vt:variant>
      <vt:variant>
        <vt:lpwstr>_Toc210339049</vt:lpwstr>
      </vt:variant>
      <vt:variant>
        <vt:i4>1572913</vt:i4>
      </vt:variant>
      <vt:variant>
        <vt:i4>764</vt:i4>
      </vt:variant>
      <vt:variant>
        <vt:i4>0</vt:i4>
      </vt:variant>
      <vt:variant>
        <vt:i4>5</vt:i4>
      </vt:variant>
      <vt:variant>
        <vt:lpwstr/>
      </vt:variant>
      <vt:variant>
        <vt:lpwstr>_Toc210339048</vt:lpwstr>
      </vt:variant>
      <vt:variant>
        <vt:i4>1572913</vt:i4>
      </vt:variant>
      <vt:variant>
        <vt:i4>758</vt:i4>
      </vt:variant>
      <vt:variant>
        <vt:i4>0</vt:i4>
      </vt:variant>
      <vt:variant>
        <vt:i4>5</vt:i4>
      </vt:variant>
      <vt:variant>
        <vt:lpwstr/>
      </vt:variant>
      <vt:variant>
        <vt:lpwstr>_Toc210339047</vt:lpwstr>
      </vt:variant>
      <vt:variant>
        <vt:i4>1572913</vt:i4>
      </vt:variant>
      <vt:variant>
        <vt:i4>752</vt:i4>
      </vt:variant>
      <vt:variant>
        <vt:i4>0</vt:i4>
      </vt:variant>
      <vt:variant>
        <vt:i4>5</vt:i4>
      </vt:variant>
      <vt:variant>
        <vt:lpwstr/>
      </vt:variant>
      <vt:variant>
        <vt:lpwstr>_Toc210339046</vt:lpwstr>
      </vt:variant>
      <vt:variant>
        <vt:i4>1572913</vt:i4>
      </vt:variant>
      <vt:variant>
        <vt:i4>746</vt:i4>
      </vt:variant>
      <vt:variant>
        <vt:i4>0</vt:i4>
      </vt:variant>
      <vt:variant>
        <vt:i4>5</vt:i4>
      </vt:variant>
      <vt:variant>
        <vt:lpwstr/>
      </vt:variant>
      <vt:variant>
        <vt:lpwstr>_Toc210339045</vt:lpwstr>
      </vt:variant>
      <vt:variant>
        <vt:i4>1572913</vt:i4>
      </vt:variant>
      <vt:variant>
        <vt:i4>740</vt:i4>
      </vt:variant>
      <vt:variant>
        <vt:i4>0</vt:i4>
      </vt:variant>
      <vt:variant>
        <vt:i4>5</vt:i4>
      </vt:variant>
      <vt:variant>
        <vt:lpwstr/>
      </vt:variant>
      <vt:variant>
        <vt:lpwstr>_Toc210339044</vt:lpwstr>
      </vt:variant>
      <vt:variant>
        <vt:i4>1572913</vt:i4>
      </vt:variant>
      <vt:variant>
        <vt:i4>734</vt:i4>
      </vt:variant>
      <vt:variant>
        <vt:i4>0</vt:i4>
      </vt:variant>
      <vt:variant>
        <vt:i4>5</vt:i4>
      </vt:variant>
      <vt:variant>
        <vt:lpwstr/>
      </vt:variant>
      <vt:variant>
        <vt:lpwstr>_Toc210339043</vt:lpwstr>
      </vt:variant>
      <vt:variant>
        <vt:i4>1572913</vt:i4>
      </vt:variant>
      <vt:variant>
        <vt:i4>728</vt:i4>
      </vt:variant>
      <vt:variant>
        <vt:i4>0</vt:i4>
      </vt:variant>
      <vt:variant>
        <vt:i4>5</vt:i4>
      </vt:variant>
      <vt:variant>
        <vt:lpwstr/>
      </vt:variant>
      <vt:variant>
        <vt:lpwstr>_Toc210339042</vt:lpwstr>
      </vt:variant>
      <vt:variant>
        <vt:i4>1572913</vt:i4>
      </vt:variant>
      <vt:variant>
        <vt:i4>722</vt:i4>
      </vt:variant>
      <vt:variant>
        <vt:i4>0</vt:i4>
      </vt:variant>
      <vt:variant>
        <vt:i4>5</vt:i4>
      </vt:variant>
      <vt:variant>
        <vt:lpwstr/>
      </vt:variant>
      <vt:variant>
        <vt:lpwstr>_Toc210339041</vt:lpwstr>
      </vt:variant>
      <vt:variant>
        <vt:i4>1572913</vt:i4>
      </vt:variant>
      <vt:variant>
        <vt:i4>716</vt:i4>
      </vt:variant>
      <vt:variant>
        <vt:i4>0</vt:i4>
      </vt:variant>
      <vt:variant>
        <vt:i4>5</vt:i4>
      </vt:variant>
      <vt:variant>
        <vt:lpwstr/>
      </vt:variant>
      <vt:variant>
        <vt:lpwstr>_Toc210339040</vt:lpwstr>
      </vt:variant>
      <vt:variant>
        <vt:i4>2031665</vt:i4>
      </vt:variant>
      <vt:variant>
        <vt:i4>710</vt:i4>
      </vt:variant>
      <vt:variant>
        <vt:i4>0</vt:i4>
      </vt:variant>
      <vt:variant>
        <vt:i4>5</vt:i4>
      </vt:variant>
      <vt:variant>
        <vt:lpwstr/>
      </vt:variant>
      <vt:variant>
        <vt:lpwstr>_Toc210339039</vt:lpwstr>
      </vt:variant>
      <vt:variant>
        <vt:i4>2031665</vt:i4>
      </vt:variant>
      <vt:variant>
        <vt:i4>704</vt:i4>
      </vt:variant>
      <vt:variant>
        <vt:i4>0</vt:i4>
      </vt:variant>
      <vt:variant>
        <vt:i4>5</vt:i4>
      </vt:variant>
      <vt:variant>
        <vt:lpwstr/>
      </vt:variant>
      <vt:variant>
        <vt:lpwstr>_Toc210339038</vt:lpwstr>
      </vt:variant>
      <vt:variant>
        <vt:i4>2031665</vt:i4>
      </vt:variant>
      <vt:variant>
        <vt:i4>698</vt:i4>
      </vt:variant>
      <vt:variant>
        <vt:i4>0</vt:i4>
      </vt:variant>
      <vt:variant>
        <vt:i4>5</vt:i4>
      </vt:variant>
      <vt:variant>
        <vt:lpwstr/>
      </vt:variant>
      <vt:variant>
        <vt:lpwstr>_Toc210339037</vt:lpwstr>
      </vt:variant>
      <vt:variant>
        <vt:i4>2031665</vt:i4>
      </vt:variant>
      <vt:variant>
        <vt:i4>692</vt:i4>
      </vt:variant>
      <vt:variant>
        <vt:i4>0</vt:i4>
      </vt:variant>
      <vt:variant>
        <vt:i4>5</vt:i4>
      </vt:variant>
      <vt:variant>
        <vt:lpwstr/>
      </vt:variant>
      <vt:variant>
        <vt:lpwstr>_Toc210339036</vt:lpwstr>
      </vt:variant>
      <vt:variant>
        <vt:i4>2031665</vt:i4>
      </vt:variant>
      <vt:variant>
        <vt:i4>686</vt:i4>
      </vt:variant>
      <vt:variant>
        <vt:i4>0</vt:i4>
      </vt:variant>
      <vt:variant>
        <vt:i4>5</vt:i4>
      </vt:variant>
      <vt:variant>
        <vt:lpwstr/>
      </vt:variant>
      <vt:variant>
        <vt:lpwstr>_Toc210339035</vt:lpwstr>
      </vt:variant>
      <vt:variant>
        <vt:i4>2031665</vt:i4>
      </vt:variant>
      <vt:variant>
        <vt:i4>680</vt:i4>
      </vt:variant>
      <vt:variant>
        <vt:i4>0</vt:i4>
      </vt:variant>
      <vt:variant>
        <vt:i4>5</vt:i4>
      </vt:variant>
      <vt:variant>
        <vt:lpwstr/>
      </vt:variant>
      <vt:variant>
        <vt:lpwstr>_Toc210339034</vt:lpwstr>
      </vt:variant>
      <vt:variant>
        <vt:i4>2031665</vt:i4>
      </vt:variant>
      <vt:variant>
        <vt:i4>674</vt:i4>
      </vt:variant>
      <vt:variant>
        <vt:i4>0</vt:i4>
      </vt:variant>
      <vt:variant>
        <vt:i4>5</vt:i4>
      </vt:variant>
      <vt:variant>
        <vt:lpwstr/>
      </vt:variant>
      <vt:variant>
        <vt:lpwstr>_Toc210339033</vt:lpwstr>
      </vt:variant>
      <vt:variant>
        <vt:i4>2031665</vt:i4>
      </vt:variant>
      <vt:variant>
        <vt:i4>668</vt:i4>
      </vt:variant>
      <vt:variant>
        <vt:i4>0</vt:i4>
      </vt:variant>
      <vt:variant>
        <vt:i4>5</vt:i4>
      </vt:variant>
      <vt:variant>
        <vt:lpwstr/>
      </vt:variant>
      <vt:variant>
        <vt:lpwstr>_Toc210339032</vt:lpwstr>
      </vt:variant>
      <vt:variant>
        <vt:i4>2031665</vt:i4>
      </vt:variant>
      <vt:variant>
        <vt:i4>662</vt:i4>
      </vt:variant>
      <vt:variant>
        <vt:i4>0</vt:i4>
      </vt:variant>
      <vt:variant>
        <vt:i4>5</vt:i4>
      </vt:variant>
      <vt:variant>
        <vt:lpwstr/>
      </vt:variant>
      <vt:variant>
        <vt:lpwstr>_Toc210339031</vt:lpwstr>
      </vt:variant>
      <vt:variant>
        <vt:i4>2031665</vt:i4>
      </vt:variant>
      <vt:variant>
        <vt:i4>656</vt:i4>
      </vt:variant>
      <vt:variant>
        <vt:i4>0</vt:i4>
      </vt:variant>
      <vt:variant>
        <vt:i4>5</vt:i4>
      </vt:variant>
      <vt:variant>
        <vt:lpwstr/>
      </vt:variant>
      <vt:variant>
        <vt:lpwstr>_Toc210339030</vt:lpwstr>
      </vt:variant>
      <vt:variant>
        <vt:i4>1966129</vt:i4>
      </vt:variant>
      <vt:variant>
        <vt:i4>650</vt:i4>
      </vt:variant>
      <vt:variant>
        <vt:i4>0</vt:i4>
      </vt:variant>
      <vt:variant>
        <vt:i4>5</vt:i4>
      </vt:variant>
      <vt:variant>
        <vt:lpwstr/>
      </vt:variant>
      <vt:variant>
        <vt:lpwstr>_Toc210339029</vt:lpwstr>
      </vt:variant>
      <vt:variant>
        <vt:i4>1966129</vt:i4>
      </vt:variant>
      <vt:variant>
        <vt:i4>644</vt:i4>
      </vt:variant>
      <vt:variant>
        <vt:i4>0</vt:i4>
      </vt:variant>
      <vt:variant>
        <vt:i4>5</vt:i4>
      </vt:variant>
      <vt:variant>
        <vt:lpwstr/>
      </vt:variant>
      <vt:variant>
        <vt:lpwstr>_Toc210339028</vt:lpwstr>
      </vt:variant>
      <vt:variant>
        <vt:i4>1966129</vt:i4>
      </vt:variant>
      <vt:variant>
        <vt:i4>638</vt:i4>
      </vt:variant>
      <vt:variant>
        <vt:i4>0</vt:i4>
      </vt:variant>
      <vt:variant>
        <vt:i4>5</vt:i4>
      </vt:variant>
      <vt:variant>
        <vt:lpwstr/>
      </vt:variant>
      <vt:variant>
        <vt:lpwstr>_Toc210339027</vt:lpwstr>
      </vt:variant>
      <vt:variant>
        <vt:i4>1966129</vt:i4>
      </vt:variant>
      <vt:variant>
        <vt:i4>632</vt:i4>
      </vt:variant>
      <vt:variant>
        <vt:i4>0</vt:i4>
      </vt:variant>
      <vt:variant>
        <vt:i4>5</vt:i4>
      </vt:variant>
      <vt:variant>
        <vt:lpwstr/>
      </vt:variant>
      <vt:variant>
        <vt:lpwstr>_Toc210339026</vt:lpwstr>
      </vt:variant>
      <vt:variant>
        <vt:i4>1966129</vt:i4>
      </vt:variant>
      <vt:variant>
        <vt:i4>626</vt:i4>
      </vt:variant>
      <vt:variant>
        <vt:i4>0</vt:i4>
      </vt:variant>
      <vt:variant>
        <vt:i4>5</vt:i4>
      </vt:variant>
      <vt:variant>
        <vt:lpwstr/>
      </vt:variant>
      <vt:variant>
        <vt:lpwstr>_Toc210339025</vt:lpwstr>
      </vt:variant>
      <vt:variant>
        <vt:i4>1966129</vt:i4>
      </vt:variant>
      <vt:variant>
        <vt:i4>620</vt:i4>
      </vt:variant>
      <vt:variant>
        <vt:i4>0</vt:i4>
      </vt:variant>
      <vt:variant>
        <vt:i4>5</vt:i4>
      </vt:variant>
      <vt:variant>
        <vt:lpwstr/>
      </vt:variant>
      <vt:variant>
        <vt:lpwstr>_Toc210339024</vt:lpwstr>
      </vt:variant>
      <vt:variant>
        <vt:i4>1966129</vt:i4>
      </vt:variant>
      <vt:variant>
        <vt:i4>614</vt:i4>
      </vt:variant>
      <vt:variant>
        <vt:i4>0</vt:i4>
      </vt:variant>
      <vt:variant>
        <vt:i4>5</vt:i4>
      </vt:variant>
      <vt:variant>
        <vt:lpwstr/>
      </vt:variant>
      <vt:variant>
        <vt:lpwstr>_Toc210339023</vt:lpwstr>
      </vt:variant>
      <vt:variant>
        <vt:i4>1900593</vt:i4>
      </vt:variant>
      <vt:variant>
        <vt:i4>608</vt:i4>
      </vt:variant>
      <vt:variant>
        <vt:i4>0</vt:i4>
      </vt:variant>
      <vt:variant>
        <vt:i4>5</vt:i4>
      </vt:variant>
      <vt:variant>
        <vt:lpwstr/>
      </vt:variant>
      <vt:variant>
        <vt:lpwstr>_Toc210339012</vt:lpwstr>
      </vt:variant>
      <vt:variant>
        <vt:i4>1900593</vt:i4>
      </vt:variant>
      <vt:variant>
        <vt:i4>602</vt:i4>
      </vt:variant>
      <vt:variant>
        <vt:i4>0</vt:i4>
      </vt:variant>
      <vt:variant>
        <vt:i4>5</vt:i4>
      </vt:variant>
      <vt:variant>
        <vt:lpwstr/>
      </vt:variant>
      <vt:variant>
        <vt:lpwstr>_Toc210339011</vt:lpwstr>
      </vt:variant>
      <vt:variant>
        <vt:i4>1900593</vt:i4>
      </vt:variant>
      <vt:variant>
        <vt:i4>596</vt:i4>
      </vt:variant>
      <vt:variant>
        <vt:i4>0</vt:i4>
      </vt:variant>
      <vt:variant>
        <vt:i4>5</vt:i4>
      </vt:variant>
      <vt:variant>
        <vt:lpwstr/>
      </vt:variant>
      <vt:variant>
        <vt:lpwstr>_Toc210339010</vt:lpwstr>
      </vt:variant>
      <vt:variant>
        <vt:i4>1835057</vt:i4>
      </vt:variant>
      <vt:variant>
        <vt:i4>590</vt:i4>
      </vt:variant>
      <vt:variant>
        <vt:i4>0</vt:i4>
      </vt:variant>
      <vt:variant>
        <vt:i4>5</vt:i4>
      </vt:variant>
      <vt:variant>
        <vt:lpwstr/>
      </vt:variant>
      <vt:variant>
        <vt:lpwstr>_Toc210339009</vt:lpwstr>
      </vt:variant>
      <vt:variant>
        <vt:i4>1835057</vt:i4>
      </vt:variant>
      <vt:variant>
        <vt:i4>584</vt:i4>
      </vt:variant>
      <vt:variant>
        <vt:i4>0</vt:i4>
      </vt:variant>
      <vt:variant>
        <vt:i4>5</vt:i4>
      </vt:variant>
      <vt:variant>
        <vt:lpwstr/>
      </vt:variant>
      <vt:variant>
        <vt:lpwstr>_Toc210339008</vt:lpwstr>
      </vt:variant>
      <vt:variant>
        <vt:i4>1835057</vt:i4>
      </vt:variant>
      <vt:variant>
        <vt:i4>578</vt:i4>
      </vt:variant>
      <vt:variant>
        <vt:i4>0</vt:i4>
      </vt:variant>
      <vt:variant>
        <vt:i4>5</vt:i4>
      </vt:variant>
      <vt:variant>
        <vt:lpwstr/>
      </vt:variant>
      <vt:variant>
        <vt:lpwstr>_Toc210339007</vt:lpwstr>
      </vt:variant>
      <vt:variant>
        <vt:i4>1835057</vt:i4>
      </vt:variant>
      <vt:variant>
        <vt:i4>572</vt:i4>
      </vt:variant>
      <vt:variant>
        <vt:i4>0</vt:i4>
      </vt:variant>
      <vt:variant>
        <vt:i4>5</vt:i4>
      </vt:variant>
      <vt:variant>
        <vt:lpwstr/>
      </vt:variant>
      <vt:variant>
        <vt:lpwstr>_Toc210339006</vt:lpwstr>
      </vt:variant>
      <vt:variant>
        <vt:i4>1835057</vt:i4>
      </vt:variant>
      <vt:variant>
        <vt:i4>566</vt:i4>
      </vt:variant>
      <vt:variant>
        <vt:i4>0</vt:i4>
      </vt:variant>
      <vt:variant>
        <vt:i4>5</vt:i4>
      </vt:variant>
      <vt:variant>
        <vt:lpwstr/>
      </vt:variant>
      <vt:variant>
        <vt:lpwstr>_Toc210339005</vt:lpwstr>
      </vt:variant>
      <vt:variant>
        <vt:i4>1835057</vt:i4>
      </vt:variant>
      <vt:variant>
        <vt:i4>560</vt:i4>
      </vt:variant>
      <vt:variant>
        <vt:i4>0</vt:i4>
      </vt:variant>
      <vt:variant>
        <vt:i4>5</vt:i4>
      </vt:variant>
      <vt:variant>
        <vt:lpwstr/>
      </vt:variant>
      <vt:variant>
        <vt:lpwstr>_Toc210339004</vt:lpwstr>
      </vt:variant>
      <vt:variant>
        <vt:i4>1835057</vt:i4>
      </vt:variant>
      <vt:variant>
        <vt:i4>554</vt:i4>
      </vt:variant>
      <vt:variant>
        <vt:i4>0</vt:i4>
      </vt:variant>
      <vt:variant>
        <vt:i4>5</vt:i4>
      </vt:variant>
      <vt:variant>
        <vt:lpwstr/>
      </vt:variant>
      <vt:variant>
        <vt:lpwstr>_Toc210339003</vt:lpwstr>
      </vt:variant>
      <vt:variant>
        <vt:i4>1835057</vt:i4>
      </vt:variant>
      <vt:variant>
        <vt:i4>548</vt:i4>
      </vt:variant>
      <vt:variant>
        <vt:i4>0</vt:i4>
      </vt:variant>
      <vt:variant>
        <vt:i4>5</vt:i4>
      </vt:variant>
      <vt:variant>
        <vt:lpwstr/>
      </vt:variant>
      <vt:variant>
        <vt:lpwstr>_Toc210339002</vt:lpwstr>
      </vt:variant>
      <vt:variant>
        <vt:i4>1835057</vt:i4>
      </vt:variant>
      <vt:variant>
        <vt:i4>542</vt:i4>
      </vt:variant>
      <vt:variant>
        <vt:i4>0</vt:i4>
      </vt:variant>
      <vt:variant>
        <vt:i4>5</vt:i4>
      </vt:variant>
      <vt:variant>
        <vt:lpwstr/>
      </vt:variant>
      <vt:variant>
        <vt:lpwstr>_Toc210339001</vt:lpwstr>
      </vt:variant>
      <vt:variant>
        <vt:i4>1835057</vt:i4>
      </vt:variant>
      <vt:variant>
        <vt:i4>536</vt:i4>
      </vt:variant>
      <vt:variant>
        <vt:i4>0</vt:i4>
      </vt:variant>
      <vt:variant>
        <vt:i4>5</vt:i4>
      </vt:variant>
      <vt:variant>
        <vt:lpwstr/>
      </vt:variant>
      <vt:variant>
        <vt:lpwstr>_Toc210339000</vt:lpwstr>
      </vt:variant>
      <vt:variant>
        <vt:i4>1310776</vt:i4>
      </vt:variant>
      <vt:variant>
        <vt:i4>530</vt:i4>
      </vt:variant>
      <vt:variant>
        <vt:i4>0</vt:i4>
      </vt:variant>
      <vt:variant>
        <vt:i4>5</vt:i4>
      </vt:variant>
      <vt:variant>
        <vt:lpwstr/>
      </vt:variant>
      <vt:variant>
        <vt:lpwstr>_Toc210338999</vt:lpwstr>
      </vt:variant>
      <vt:variant>
        <vt:i4>1310776</vt:i4>
      </vt:variant>
      <vt:variant>
        <vt:i4>524</vt:i4>
      </vt:variant>
      <vt:variant>
        <vt:i4>0</vt:i4>
      </vt:variant>
      <vt:variant>
        <vt:i4>5</vt:i4>
      </vt:variant>
      <vt:variant>
        <vt:lpwstr/>
      </vt:variant>
      <vt:variant>
        <vt:lpwstr>_Toc210338998</vt:lpwstr>
      </vt:variant>
      <vt:variant>
        <vt:i4>1310776</vt:i4>
      </vt:variant>
      <vt:variant>
        <vt:i4>518</vt:i4>
      </vt:variant>
      <vt:variant>
        <vt:i4>0</vt:i4>
      </vt:variant>
      <vt:variant>
        <vt:i4>5</vt:i4>
      </vt:variant>
      <vt:variant>
        <vt:lpwstr/>
      </vt:variant>
      <vt:variant>
        <vt:lpwstr>_Toc210338997</vt:lpwstr>
      </vt:variant>
      <vt:variant>
        <vt:i4>1310776</vt:i4>
      </vt:variant>
      <vt:variant>
        <vt:i4>512</vt:i4>
      </vt:variant>
      <vt:variant>
        <vt:i4>0</vt:i4>
      </vt:variant>
      <vt:variant>
        <vt:i4>5</vt:i4>
      </vt:variant>
      <vt:variant>
        <vt:lpwstr/>
      </vt:variant>
      <vt:variant>
        <vt:lpwstr>_Toc210338996</vt:lpwstr>
      </vt:variant>
      <vt:variant>
        <vt:i4>1310776</vt:i4>
      </vt:variant>
      <vt:variant>
        <vt:i4>506</vt:i4>
      </vt:variant>
      <vt:variant>
        <vt:i4>0</vt:i4>
      </vt:variant>
      <vt:variant>
        <vt:i4>5</vt:i4>
      </vt:variant>
      <vt:variant>
        <vt:lpwstr/>
      </vt:variant>
      <vt:variant>
        <vt:lpwstr>_Toc210338995</vt:lpwstr>
      </vt:variant>
      <vt:variant>
        <vt:i4>1310776</vt:i4>
      </vt:variant>
      <vt:variant>
        <vt:i4>500</vt:i4>
      </vt:variant>
      <vt:variant>
        <vt:i4>0</vt:i4>
      </vt:variant>
      <vt:variant>
        <vt:i4>5</vt:i4>
      </vt:variant>
      <vt:variant>
        <vt:lpwstr/>
      </vt:variant>
      <vt:variant>
        <vt:lpwstr>_Toc210338994</vt:lpwstr>
      </vt:variant>
      <vt:variant>
        <vt:i4>1310776</vt:i4>
      </vt:variant>
      <vt:variant>
        <vt:i4>494</vt:i4>
      </vt:variant>
      <vt:variant>
        <vt:i4>0</vt:i4>
      </vt:variant>
      <vt:variant>
        <vt:i4>5</vt:i4>
      </vt:variant>
      <vt:variant>
        <vt:lpwstr/>
      </vt:variant>
      <vt:variant>
        <vt:lpwstr>_Toc210338993</vt:lpwstr>
      </vt:variant>
      <vt:variant>
        <vt:i4>1310776</vt:i4>
      </vt:variant>
      <vt:variant>
        <vt:i4>488</vt:i4>
      </vt:variant>
      <vt:variant>
        <vt:i4>0</vt:i4>
      </vt:variant>
      <vt:variant>
        <vt:i4>5</vt:i4>
      </vt:variant>
      <vt:variant>
        <vt:lpwstr/>
      </vt:variant>
      <vt:variant>
        <vt:lpwstr>_Toc210338992</vt:lpwstr>
      </vt:variant>
      <vt:variant>
        <vt:i4>1310776</vt:i4>
      </vt:variant>
      <vt:variant>
        <vt:i4>482</vt:i4>
      </vt:variant>
      <vt:variant>
        <vt:i4>0</vt:i4>
      </vt:variant>
      <vt:variant>
        <vt:i4>5</vt:i4>
      </vt:variant>
      <vt:variant>
        <vt:lpwstr/>
      </vt:variant>
      <vt:variant>
        <vt:lpwstr>_Toc210338991</vt:lpwstr>
      </vt:variant>
      <vt:variant>
        <vt:i4>1310776</vt:i4>
      </vt:variant>
      <vt:variant>
        <vt:i4>476</vt:i4>
      </vt:variant>
      <vt:variant>
        <vt:i4>0</vt:i4>
      </vt:variant>
      <vt:variant>
        <vt:i4>5</vt:i4>
      </vt:variant>
      <vt:variant>
        <vt:lpwstr/>
      </vt:variant>
      <vt:variant>
        <vt:lpwstr>_Toc210338990</vt:lpwstr>
      </vt:variant>
      <vt:variant>
        <vt:i4>1376312</vt:i4>
      </vt:variant>
      <vt:variant>
        <vt:i4>470</vt:i4>
      </vt:variant>
      <vt:variant>
        <vt:i4>0</vt:i4>
      </vt:variant>
      <vt:variant>
        <vt:i4>5</vt:i4>
      </vt:variant>
      <vt:variant>
        <vt:lpwstr/>
      </vt:variant>
      <vt:variant>
        <vt:lpwstr>_Toc210338989</vt:lpwstr>
      </vt:variant>
      <vt:variant>
        <vt:i4>1376312</vt:i4>
      </vt:variant>
      <vt:variant>
        <vt:i4>464</vt:i4>
      </vt:variant>
      <vt:variant>
        <vt:i4>0</vt:i4>
      </vt:variant>
      <vt:variant>
        <vt:i4>5</vt:i4>
      </vt:variant>
      <vt:variant>
        <vt:lpwstr/>
      </vt:variant>
      <vt:variant>
        <vt:lpwstr>_Toc210338988</vt:lpwstr>
      </vt:variant>
      <vt:variant>
        <vt:i4>1376312</vt:i4>
      </vt:variant>
      <vt:variant>
        <vt:i4>458</vt:i4>
      </vt:variant>
      <vt:variant>
        <vt:i4>0</vt:i4>
      </vt:variant>
      <vt:variant>
        <vt:i4>5</vt:i4>
      </vt:variant>
      <vt:variant>
        <vt:lpwstr/>
      </vt:variant>
      <vt:variant>
        <vt:lpwstr>_Toc210338987</vt:lpwstr>
      </vt:variant>
      <vt:variant>
        <vt:i4>1376312</vt:i4>
      </vt:variant>
      <vt:variant>
        <vt:i4>452</vt:i4>
      </vt:variant>
      <vt:variant>
        <vt:i4>0</vt:i4>
      </vt:variant>
      <vt:variant>
        <vt:i4>5</vt:i4>
      </vt:variant>
      <vt:variant>
        <vt:lpwstr/>
      </vt:variant>
      <vt:variant>
        <vt:lpwstr>_Toc210338986</vt:lpwstr>
      </vt:variant>
      <vt:variant>
        <vt:i4>1376312</vt:i4>
      </vt:variant>
      <vt:variant>
        <vt:i4>446</vt:i4>
      </vt:variant>
      <vt:variant>
        <vt:i4>0</vt:i4>
      </vt:variant>
      <vt:variant>
        <vt:i4>5</vt:i4>
      </vt:variant>
      <vt:variant>
        <vt:lpwstr/>
      </vt:variant>
      <vt:variant>
        <vt:lpwstr>_Toc210338985</vt:lpwstr>
      </vt:variant>
      <vt:variant>
        <vt:i4>1376312</vt:i4>
      </vt:variant>
      <vt:variant>
        <vt:i4>440</vt:i4>
      </vt:variant>
      <vt:variant>
        <vt:i4>0</vt:i4>
      </vt:variant>
      <vt:variant>
        <vt:i4>5</vt:i4>
      </vt:variant>
      <vt:variant>
        <vt:lpwstr/>
      </vt:variant>
      <vt:variant>
        <vt:lpwstr>_Toc210338984</vt:lpwstr>
      </vt:variant>
      <vt:variant>
        <vt:i4>1376312</vt:i4>
      </vt:variant>
      <vt:variant>
        <vt:i4>434</vt:i4>
      </vt:variant>
      <vt:variant>
        <vt:i4>0</vt:i4>
      </vt:variant>
      <vt:variant>
        <vt:i4>5</vt:i4>
      </vt:variant>
      <vt:variant>
        <vt:lpwstr/>
      </vt:variant>
      <vt:variant>
        <vt:lpwstr>_Toc210338983</vt:lpwstr>
      </vt:variant>
      <vt:variant>
        <vt:i4>1376312</vt:i4>
      </vt:variant>
      <vt:variant>
        <vt:i4>428</vt:i4>
      </vt:variant>
      <vt:variant>
        <vt:i4>0</vt:i4>
      </vt:variant>
      <vt:variant>
        <vt:i4>5</vt:i4>
      </vt:variant>
      <vt:variant>
        <vt:lpwstr/>
      </vt:variant>
      <vt:variant>
        <vt:lpwstr>_Toc210338982</vt:lpwstr>
      </vt:variant>
      <vt:variant>
        <vt:i4>1376312</vt:i4>
      </vt:variant>
      <vt:variant>
        <vt:i4>422</vt:i4>
      </vt:variant>
      <vt:variant>
        <vt:i4>0</vt:i4>
      </vt:variant>
      <vt:variant>
        <vt:i4>5</vt:i4>
      </vt:variant>
      <vt:variant>
        <vt:lpwstr/>
      </vt:variant>
      <vt:variant>
        <vt:lpwstr>_Toc210338981</vt:lpwstr>
      </vt:variant>
      <vt:variant>
        <vt:i4>1376312</vt:i4>
      </vt:variant>
      <vt:variant>
        <vt:i4>416</vt:i4>
      </vt:variant>
      <vt:variant>
        <vt:i4>0</vt:i4>
      </vt:variant>
      <vt:variant>
        <vt:i4>5</vt:i4>
      </vt:variant>
      <vt:variant>
        <vt:lpwstr/>
      </vt:variant>
      <vt:variant>
        <vt:lpwstr>_Toc210338980</vt:lpwstr>
      </vt:variant>
      <vt:variant>
        <vt:i4>1703992</vt:i4>
      </vt:variant>
      <vt:variant>
        <vt:i4>410</vt:i4>
      </vt:variant>
      <vt:variant>
        <vt:i4>0</vt:i4>
      </vt:variant>
      <vt:variant>
        <vt:i4>5</vt:i4>
      </vt:variant>
      <vt:variant>
        <vt:lpwstr/>
      </vt:variant>
      <vt:variant>
        <vt:lpwstr>_Toc210338979</vt:lpwstr>
      </vt:variant>
      <vt:variant>
        <vt:i4>1703992</vt:i4>
      </vt:variant>
      <vt:variant>
        <vt:i4>404</vt:i4>
      </vt:variant>
      <vt:variant>
        <vt:i4>0</vt:i4>
      </vt:variant>
      <vt:variant>
        <vt:i4>5</vt:i4>
      </vt:variant>
      <vt:variant>
        <vt:lpwstr/>
      </vt:variant>
      <vt:variant>
        <vt:lpwstr>_Toc210338978</vt:lpwstr>
      </vt:variant>
      <vt:variant>
        <vt:i4>1703992</vt:i4>
      </vt:variant>
      <vt:variant>
        <vt:i4>398</vt:i4>
      </vt:variant>
      <vt:variant>
        <vt:i4>0</vt:i4>
      </vt:variant>
      <vt:variant>
        <vt:i4>5</vt:i4>
      </vt:variant>
      <vt:variant>
        <vt:lpwstr/>
      </vt:variant>
      <vt:variant>
        <vt:lpwstr>_Toc210338977</vt:lpwstr>
      </vt:variant>
      <vt:variant>
        <vt:i4>1703992</vt:i4>
      </vt:variant>
      <vt:variant>
        <vt:i4>392</vt:i4>
      </vt:variant>
      <vt:variant>
        <vt:i4>0</vt:i4>
      </vt:variant>
      <vt:variant>
        <vt:i4>5</vt:i4>
      </vt:variant>
      <vt:variant>
        <vt:lpwstr/>
      </vt:variant>
      <vt:variant>
        <vt:lpwstr>_Toc210338976</vt:lpwstr>
      </vt:variant>
      <vt:variant>
        <vt:i4>1703992</vt:i4>
      </vt:variant>
      <vt:variant>
        <vt:i4>386</vt:i4>
      </vt:variant>
      <vt:variant>
        <vt:i4>0</vt:i4>
      </vt:variant>
      <vt:variant>
        <vt:i4>5</vt:i4>
      </vt:variant>
      <vt:variant>
        <vt:lpwstr/>
      </vt:variant>
      <vt:variant>
        <vt:lpwstr>_Toc210338975</vt:lpwstr>
      </vt:variant>
      <vt:variant>
        <vt:i4>1703992</vt:i4>
      </vt:variant>
      <vt:variant>
        <vt:i4>380</vt:i4>
      </vt:variant>
      <vt:variant>
        <vt:i4>0</vt:i4>
      </vt:variant>
      <vt:variant>
        <vt:i4>5</vt:i4>
      </vt:variant>
      <vt:variant>
        <vt:lpwstr/>
      </vt:variant>
      <vt:variant>
        <vt:lpwstr>_Toc210338974</vt:lpwstr>
      </vt:variant>
      <vt:variant>
        <vt:i4>1703992</vt:i4>
      </vt:variant>
      <vt:variant>
        <vt:i4>374</vt:i4>
      </vt:variant>
      <vt:variant>
        <vt:i4>0</vt:i4>
      </vt:variant>
      <vt:variant>
        <vt:i4>5</vt:i4>
      </vt:variant>
      <vt:variant>
        <vt:lpwstr/>
      </vt:variant>
      <vt:variant>
        <vt:lpwstr>_Toc210338973</vt:lpwstr>
      </vt:variant>
      <vt:variant>
        <vt:i4>1703992</vt:i4>
      </vt:variant>
      <vt:variant>
        <vt:i4>368</vt:i4>
      </vt:variant>
      <vt:variant>
        <vt:i4>0</vt:i4>
      </vt:variant>
      <vt:variant>
        <vt:i4>5</vt:i4>
      </vt:variant>
      <vt:variant>
        <vt:lpwstr/>
      </vt:variant>
      <vt:variant>
        <vt:lpwstr>_Toc210338972</vt:lpwstr>
      </vt:variant>
      <vt:variant>
        <vt:i4>1703992</vt:i4>
      </vt:variant>
      <vt:variant>
        <vt:i4>362</vt:i4>
      </vt:variant>
      <vt:variant>
        <vt:i4>0</vt:i4>
      </vt:variant>
      <vt:variant>
        <vt:i4>5</vt:i4>
      </vt:variant>
      <vt:variant>
        <vt:lpwstr/>
      </vt:variant>
      <vt:variant>
        <vt:lpwstr>_Toc210338971</vt:lpwstr>
      </vt:variant>
      <vt:variant>
        <vt:i4>1703992</vt:i4>
      </vt:variant>
      <vt:variant>
        <vt:i4>356</vt:i4>
      </vt:variant>
      <vt:variant>
        <vt:i4>0</vt:i4>
      </vt:variant>
      <vt:variant>
        <vt:i4>5</vt:i4>
      </vt:variant>
      <vt:variant>
        <vt:lpwstr/>
      </vt:variant>
      <vt:variant>
        <vt:lpwstr>_Toc210338970</vt:lpwstr>
      </vt:variant>
      <vt:variant>
        <vt:i4>1769528</vt:i4>
      </vt:variant>
      <vt:variant>
        <vt:i4>350</vt:i4>
      </vt:variant>
      <vt:variant>
        <vt:i4>0</vt:i4>
      </vt:variant>
      <vt:variant>
        <vt:i4>5</vt:i4>
      </vt:variant>
      <vt:variant>
        <vt:lpwstr/>
      </vt:variant>
      <vt:variant>
        <vt:lpwstr>_Toc210338969</vt:lpwstr>
      </vt:variant>
      <vt:variant>
        <vt:i4>1769528</vt:i4>
      </vt:variant>
      <vt:variant>
        <vt:i4>344</vt:i4>
      </vt:variant>
      <vt:variant>
        <vt:i4>0</vt:i4>
      </vt:variant>
      <vt:variant>
        <vt:i4>5</vt:i4>
      </vt:variant>
      <vt:variant>
        <vt:lpwstr/>
      </vt:variant>
      <vt:variant>
        <vt:lpwstr>_Toc210338968</vt:lpwstr>
      </vt:variant>
      <vt:variant>
        <vt:i4>1769528</vt:i4>
      </vt:variant>
      <vt:variant>
        <vt:i4>338</vt:i4>
      </vt:variant>
      <vt:variant>
        <vt:i4>0</vt:i4>
      </vt:variant>
      <vt:variant>
        <vt:i4>5</vt:i4>
      </vt:variant>
      <vt:variant>
        <vt:lpwstr/>
      </vt:variant>
      <vt:variant>
        <vt:lpwstr>_Toc210338967</vt:lpwstr>
      </vt:variant>
      <vt:variant>
        <vt:i4>1769528</vt:i4>
      </vt:variant>
      <vt:variant>
        <vt:i4>332</vt:i4>
      </vt:variant>
      <vt:variant>
        <vt:i4>0</vt:i4>
      </vt:variant>
      <vt:variant>
        <vt:i4>5</vt:i4>
      </vt:variant>
      <vt:variant>
        <vt:lpwstr/>
      </vt:variant>
      <vt:variant>
        <vt:lpwstr>_Toc210338966</vt:lpwstr>
      </vt:variant>
      <vt:variant>
        <vt:i4>1769528</vt:i4>
      </vt:variant>
      <vt:variant>
        <vt:i4>326</vt:i4>
      </vt:variant>
      <vt:variant>
        <vt:i4>0</vt:i4>
      </vt:variant>
      <vt:variant>
        <vt:i4>5</vt:i4>
      </vt:variant>
      <vt:variant>
        <vt:lpwstr/>
      </vt:variant>
      <vt:variant>
        <vt:lpwstr>_Toc210338965</vt:lpwstr>
      </vt:variant>
      <vt:variant>
        <vt:i4>1769528</vt:i4>
      </vt:variant>
      <vt:variant>
        <vt:i4>320</vt:i4>
      </vt:variant>
      <vt:variant>
        <vt:i4>0</vt:i4>
      </vt:variant>
      <vt:variant>
        <vt:i4>5</vt:i4>
      </vt:variant>
      <vt:variant>
        <vt:lpwstr/>
      </vt:variant>
      <vt:variant>
        <vt:lpwstr>_Toc210338964</vt:lpwstr>
      </vt:variant>
      <vt:variant>
        <vt:i4>1769528</vt:i4>
      </vt:variant>
      <vt:variant>
        <vt:i4>314</vt:i4>
      </vt:variant>
      <vt:variant>
        <vt:i4>0</vt:i4>
      </vt:variant>
      <vt:variant>
        <vt:i4>5</vt:i4>
      </vt:variant>
      <vt:variant>
        <vt:lpwstr/>
      </vt:variant>
      <vt:variant>
        <vt:lpwstr>_Toc210338963</vt:lpwstr>
      </vt:variant>
      <vt:variant>
        <vt:i4>1769528</vt:i4>
      </vt:variant>
      <vt:variant>
        <vt:i4>308</vt:i4>
      </vt:variant>
      <vt:variant>
        <vt:i4>0</vt:i4>
      </vt:variant>
      <vt:variant>
        <vt:i4>5</vt:i4>
      </vt:variant>
      <vt:variant>
        <vt:lpwstr/>
      </vt:variant>
      <vt:variant>
        <vt:lpwstr>_Toc210338962</vt:lpwstr>
      </vt:variant>
      <vt:variant>
        <vt:i4>1769528</vt:i4>
      </vt:variant>
      <vt:variant>
        <vt:i4>302</vt:i4>
      </vt:variant>
      <vt:variant>
        <vt:i4>0</vt:i4>
      </vt:variant>
      <vt:variant>
        <vt:i4>5</vt:i4>
      </vt:variant>
      <vt:variant>
        <vt:lpwstr/>
      </vt:variant>
      <vt:variant>
        <vt:lpwstr>_Toc210338961</vt:lpwstr>
      </vt:variant>
      <vt:variant>
        <vt:i4>1769528</vt:i4>
      </vt:variant>
      <vt:variant>
        <vt:i4>296</vt:i4>
      </vt:variant>
      <vt:variant>
        <vt:i4>0</vt:i4>
      </vt:variant>
      <vt:variant>
        <vt:i4>5</vt:i4>
      </vt:variant>
      <vt:variant>
        <vt:lpwstr/>
      </vt:variant>
      <vt:variant>
        <vt:lpwstr>_Toc210338960</vt:lpwstr>
      </vt:variant>
      <vt:variant>
        <vt:i4>1572920</vt:i4>
      </vt:variant>
      <vt:variant>
        <vt:i4>290</vt:i4>
      </vt:variant>
      <vt:variant>
        <vt:i4>0</vt:i4>
      </vt:variant>
      <vt:variant>
        <vt:i4>5</vt:i4>
      </vt:variant>
      <vt:variant>
        <vt:lpwstr/>
      </vt:variant>
      <vt:variant>
        <vt:lpwstr>_Toc210338959</vt:lpwstr>
      </vt:variant>
      <vt:variant>
        <vt:i4>1572920</vt:i4>
      </vt:variant>
      <vt:variant>
        <vt:i4>284</vt:i4>
      </vt:variant>
      <vt:variant>
        <vt:i4>0</vt:i4>
      </vt:variant>
      <vt:variant>
        <vt:i4>5</vt:i4>
      </vt:variant>
      <vt:variant>
        <vt:lpwstr/>
      </vt:variant>
      <vt:variant>
        <vt:lpwstr>_Toc210338958</vt:lpwstr>
      </vt:variant>
      <vt:variant>
        <vt:i4>1572920</vt:i4>
      </vt:variant>
      <vt:variant>
        <vt:i4>278</vt:i4>
      </vt:variant>
      <vt:variant>
        <vt:i4>0</vt:i4>
      </vt:variant>
      <vt:variant>
        <vt:i4>5</vt:i4>
      </vt:variant>
      <vt:variant>
        <vt:lpwstr/>
      </vt:variant>
      <vt:variant>
        <vt:lpwstr>_Toc210338957</vt:lpwstr>
      </vt:variant>
      <vt:variant>
        <vt:i4>1572920</vt:i4>
      </vt:variant>
      <vt:variant>
        <vt:i4>272</vt:i4>
      </vt:variant>
      <vt:variant>
        <vt:i4>0</vt:i4>
      </vt:variant>
      <vt:variant>
        <vt:i4>5</vt:i4>
      </vt:variant>
      <vt:variant>
        <vt:lpwstr/>
      </vt:variant>
      <vt:variant>
        <vt:lpwstr>_Toc210338956</vt:lpwstr>
      </vt:variant>
      <vt:variant>
        <vt:i4>1572920</vt:i4>
      </vt:variant>
      <vt:variant>
        <vt:i4>266</vt:i4>
      </vt:variant>
      <vt:variant>
        <vt:i4>0</vt:i4>
      </vt:variant>
      <vt:variant>
        <vt:i4>5</vt:i4>
      </vt:variant>
      <vt:variant>
        <vt:lpwstr/>
      </vt:variant>
      <vt:variant>
        <vt:lpwstr>_Toc210338955</vt:lpwstr>
      </vt:variant>
      <vt:variant>
        <vt:i4>1572920</vt:i4>
      </vt:variant>
      <vt:variant>
        <vt:i4>260</vt:i4>
      </vt:variant>
      <vt:variant>
        <vt:i4>0</vt:i4>
      </vt:variant>
      <vt:variant>
        <vt:i4>5</vt:i4>
      </vt:variant>
      <vt:variant>
        <vt:lpwstr/>
      </vt:variant>
      <vt:variant>
        <vt:lpwstr>_Toc210338954</vt:lpwstr>
      </vt:variant>
      <vt:variant>
        <vt:i4>1572920</vt:i4>
      </vt:variant>
      <vt:variant>
        <vt:i4>254</vt:i4>
      </vt:variant>
      <vt:variant>
        <vt:i4>0</vt:i4>
      </vt:variant>
      <vt:variant>
        <vt:i4>5</vt:i4>
      </vt:variant>
      <vt:variant>
        <vt:lpwstr/>
      </vt:variant>
      <vt:variant>
        <vt:lpwstr>_Toc210338953</vt:lpwstr>
      </vt:variant>
      <vt:variant>
        <vt:i4>1572920</vt:i4>
      </vt:variant>
      <vt:variant>
        <vt:i4>248</vt:i4>
      </vt:variant>
      <vt:variant>
        <vt:i4>0</vt:i4>
      </vt:variant>
      <vt:variant>
        <vt:i4>5</vt:i4>
      </vt:variant>
      <vt:variant>
        <vt:lpwstr/>
      </vt:variant>
      <vt:variant>
        <vt:lpwstr>_Toc210338952</vt:lpwstr>
      </vt:variant>
      <vt:variant>
        <vt:i4>1572920</vt:i4>
      </vt:variant>
      <vt:variant>
        <vt:i4>242</vt:i4>
      </vt:variant>
      <vt:variant>
        <vt:i4>0</vt:i4>
      </vt:variant>
      <vt:variant>
        <vt:i4>5</vt:i4>
      </vt:variant>
      <vt:variant>
        <vt:lpwstr/>
      </vt:variant>
      <vt:variant>
        <vt:lpwstr>_Toc210338951</vt:lpwstr>
      </vt:variant>
      <vt:variant>
        <vt:i4>1572920</vt:i4>
      </vt:variant>
      <vt:variant>
        <vt:i4>236</vt:i4>
      </vt:variant>
      <vt:variant>
        <vt:i4>0</vt:i4>
      </vt:variant>
      <vt:variant>
        <vt:i4>5</vt:i4>
      </vt:variant>
      <vt:variant>
        <vt:lpwstr/>
      </vt:variant>
      <vt:variant>
        <vt:lpwstr>_Toc210338950</vt:lpwstr>
      </vt:variant>
      <vt:variant>
        <vt:i4>1638456</vt:i4>
      </vt:variant>
      <vt:variant>
        <vt:i4>230</vt:i4>
      </vt:variant>
      <vt:variant>
        <vt:i4>0</vt:i4>
      </vt:variant>
      <vt:variant>
        <vt:i4>5</vt:i4>
      </vt:variant>
      <vt:variant>
        <vt:lpwstr/>
      </vt:variant>
      <vt:variant>
        <vt:lpwstr>_Toc210338949</vt:lpwstr>
      </vt:variant>
      <vt:variant>
        <vt:i4>1638456</vt:i4>
      </vt:variant>
      <vt:variant>
        <vt:i4>224</vt:i4>
      </vt:variant>
      <vt:variant>
        <vt:i4>0</vt:i4>
      </vt:variant>
      <vt:variant>
        <vt:i4>5</vt:i4>
      </vt:variant>
      <vt:variant>
        <vt:lpwstr/>
      </vt:variant>
      <vt:variant>
        <vt:lpwstr>_Toc210338948</vt:lpwstr>
      </vt:variant>
      <vt:variant>
        <vt:i4>1638456</vt:i4>
      </vt:variant>
      <vt:variant>
        <vt:i4>218</vt:i4>
      </vt:variant>
      <vt:variant>
        <vt:i4>0</vt:i4>
      </vt:variant>
      <vt:variant>
        <vt:i4>5</vt:i4>
      </vt:variant>
      <vt:variant>
        <vt:lpwstr/>
      </vt:variant>
      <vt:variant>
        <vt:lpwstr>_Toc210338947</vt:lpwstr>
      </vt:variant>
      <vt:variant>
        <vt:i4>1638456</vt:i4>
      </vt:variant>
      <vt:variant>
        <vt:i4>212</vt:i4>
      </vt:variant>
      <vt:variant>
        <vt:i4>0</vt:i4>
      </vt:variant>
      <vt:variant>
        <vt:i4>5</vt:i4>
      </vt:variant>
      <vt:variant>
        <vt:lpwstr/>
      </vt:variant>
      <vt:variant>
        <vt:lpwstr>_Toc210338946</vt:lpwstr>
      </vt:variant>
      <vt:variant>
        <vt:i4>1638456</vt:i4>
      </vt:variant>
      <vt:variant>
        <vt:i4>206</vt:i4>
      </vt:variant>
      <vt:variant>
        <vt:i4>0</vt:i4>
      </vt:variant>
      <vt:variant>
        <vt:i4>5</vt:i4>
      </vt:variant>
      <vt:variant>
        <vt:lpwstr/>
      </vt:variant>
      <vt:variant>
        <vt:lpwstr>_Toc210338945</vt:lpwstr>
      </vt:variant>
      <vt:variant>
        <vt:i4>1638456</vt:i4>
      </vt:variant>
      <vt:variant>
        <vt:i4>200</vt:i4>
      </vt:variant>
      <vt:variant>
        <vt:i4>0</vt:i4>
      </vt:variant>
      <vt:variant>
        <vt:i4>5</vt:i4>
      </vt:variant>
      <vt:variant>
        <vt:lpwstr/>
      </vt:variant>
      <vt:variant>
        <vt:lpwstr>_Toc210338944</vt:lpwstr>
      </vt:variant>
      <vt:variant>
        <vt:i4>1638456</vt:i4>
      </vt:variant>
      <vt:variant>
        <vt:i4>194</vt:i4>
      </vt:variant>
      <vt:variant>
        <vt:i4>0</vt:i4>
      </vt:variant>
      <vt:variant>
        <vt:i4>5</vt:i4>
      </vt:variant>
      <vt:variant>
        <vt:lpwstr/>
      </vt:variant>
      <vt:variant>
        <vt:lpwstr>_Toc210338943</vt:lpwstr>
      </vt:variant>
      <vt:variant>
        <vt:i4>1638456</vt:i4>
      </vt:variant>
      <vt:variant>
        <vt:i4>188</vt:i4>
      </vt:variant>
      <vt:variant>
        <vt:i4>0</vt:i4>
      </vt:variant>
      <vt:variant>
        <vt:i4>5</vt:i4>
      </vt:variant>
      <vt:variant>
        <vt:lpwstr/>
      </vt:variant>
      <vt:variant>
        <vt:lpwstr>_Toc210338942</vt:lpwstr>
      </vt:variant>
      <vt:variant>
        <vt:i4>1638456</vt:i4>
      </vt:variant>
      <vt:variant>
        <vt:i4>182</vt:i4>
      </vt:variant>
      <vt:variant>
        <vt:i4>0</vt:i4>
      </vt:variant>
      <vt:variant>
        <vt:i4>5</vt:i4>
      </vt:variant>
      <vt:variant>
        <vt:lpwstr/>
      </vt:variant>
      <vt:variant>
        <vt:lpwstr>_Toc210338941</vt:lpwstr>
      </vt:variant>
      <vt:variant>
        <vt:i4>1638456</vt:i4>
      </vt:variant>
      <vt:variant>
        <vt:i4>176</vt:i4>
      </vt:variant>
      <vt:variant>
        <vt:i4>0</vt:i4>
      </vt:variant>
      <vt:variant>
        <vt:i4>5</vt:i4>
      </vt:variant>
      <vt:variant>
        <vt:lpwstr/>
      </vt:variant>
      <vt:variant>
        <vt:lpwstr>_Toc210338940</vt:lpwstr>
      </vt:variant>
      <vt:variant>
        <vt:i4>1966136</vt:i4>
      </vt:variant>
      <vt:variant>
        <vt:i4>170</vt:i4>
      </vt:variant>
      <vt:variant>
        <vt:i4>0</vt:i4>
      </vt:variant>
      <vt:variant>
        <vt:i4>5</vt:i4>
      </vt:variant>
      <vt:variant>
        <vt:lpwstr/>
      </vt:variant>
      <vt:variant>
        <vt:lpwstr>_Toc210338939</vt:lpwstr>
      </vt:variant>
      <vt:variant>
        <vt:i4>1966136</vt:i4>
      </vt:variant>
      <vt:variant>
        <vt:i4>164</vt:i4>
      </vt:variant>
      <vt:variant>
        <vt:i4>0</vt:i4>
      </vt:variant>
      <vt:variant>
        <vt:i4>5</vt:i4>
      </vt:variant>
      <vt:variant>
        <vt:lpwstr/>
      </vt:variant>
      <vt:variant>
        <vt:lpwstr>_Toc210338938</vt:lpwstr>
      </vt:variant>
      <vt:variant>
        <vt:i4>1966136</vt:i4>
      </vt:variant>
      <vt:variant>
        <vt:i4>158</vt:i4>
      </vt:variant>
      <vt:variant>
        <vt:i4>0</vt:i4>
      </vt:variant>
      <vt:variant>
        <vt:i4>5</vt:i4>
      </vt:variant>
      <vt:variant>
        <vt:lpwstr/>
      </vt:variant>
      <vt:variant>
        <vt:lpwstr>_Toc210338937</vt:lpwstr>
      </vt:variant>
      <vt:variant>
        <vt:i4>1966136</vt:i4>
      </vt:variant>
      <vt:variant>
        <vt:i4>152</vt:i4>
      </vt:variant>
      <vt:variant>
        <vt:i4>0</vt:i4>
      </vt:variant>
      <vt:variant>
        <vt:i4>5</vt:i4>
      </vt:variant>
      <vt:variant>
        <vt:lpwstr/>
      </vt:variant>
      <vt:variant>
        <vt:lpwstr>_Toc210338936</vt:lpwstr>
      </vt:variant>
      <vt:variant>
        <vt:i4>1966136</vt:i4>
      </vt:variant>
      <vt:variant>
        <vt:i4>146</vt:i4>
      </vt:variant>
      <vt:variant>
        <vt:i4>0</vt:i4>
      </vt:variant>
      <vt:variant>
        <vt:i4>5</vt:i4>
      </vt:variant>
      <vt:variant>
        <vt:lpwstr/>
      </vt:variant>
      <vt:variant>
        <vt:lpwstr>_Toc210338935</vt:lpwstr>
      </vt:variant>
      <vt:variant>
        <vt:i4>1966136</vt:i4>
      </vt:variant>
      <vt:variant>
        <vt:i4>140</vt:i4>
      </vt:variant>
      <vt:variant>
        <vt:i4>0</vt:i4>
      </vt:variant>
      <vt:variant>
        <vt:i4>5</vt:i4>
      </vt:variant>
      <vt:variant>
        <vt:lpwstr/>
      </vt:variant>
      <vt:variant>
        <vt:lpwstr>_Toc210338934</vt:lpwstr>
      </vt:variant>
      <vt:variant>
        <vt:i4>1966136</vt:i4>
      </vt:variant>
      <vt:variant>
        <vt:i4>134</vt:i4>
      </vt:variant>
      <vt:variant>
        <vt:i4>0</vt:i4>
      </vt:variant>
      <vt:variant>
        <vt:i4>5</vt:i4>
      </vt:variant>
      <vt:variant>
        <vt:lpwstr/>
      </vt:variant>
      <vt:variant>
        <vt:lpwstr>_Toc210338933</vt:lpwstr>
      </vt:variant>
      <vt:variant>
        <vt:i4>1966136</vt:i4>
      </vt:variant>
      <vt:variant>
        <vt:i4>128</vt:i4>
      </vt:variant>
      <vt:variant>
        <vt:i4>0</vt:i4>
      </vt:variant>
      <vt:variant>
        <vt:i4>5</vt:i4>
      </vt:variant>
      <vt:variant>
        <vt:lpwstr/>
      </vt:variant>
      <vt:variant>
        <vt:lpwstr>_Toc210338932</vt:lpwstr>
      </vt:variant>
      <vt:variant>
        <vt:i4>1966136</vt:i4>
      </vt:variant>
      <vt:variant>
        <vt:i4>122</vt:i4>
      </vt:variant>
      <vt:variant>
        <vt:i4>0</vt:i4>
      </vt:variant>
      <vt:variant>
        <vt:i4>5</vt:i4>
      </vt:variant>
      <vt:variant>
        <vt:lpwstr/>
      </vt:variant>
      <vt:variant>
        <vt:lpwstr>_Toc210338931</vt:lpwstr>
      </vt:variant>
      <vt:variant>
        <vt:i4>1966136</vt:i4>
      </vt:variant>
      <vt:variant>
        <vt:i4>116</vt:i4>
      </vt:variant>
      <vt:variant>
        <vt:i4>0</vt:i4>
      </vt:variant>
      <vt:variant>
        <vt:i4>5</vt:i4>
      </vt:variant>
      <vt:variant>
        <vt:lpwstr/>
      </vt:variant>
      <vt:variant>
        <vt:lpwstr>_Toc210338930</vt:lpwstr>
      </vt:variant>
      <vt:variant>
        <vt:i4>2031672</vt:i4>
      </vt:variant>
      <vt:variant>
        <vt:i4>110</vt:i4>
      </vt:variant>
      <vt:variant>
        <vt:i4>0</vt:i4>
      </vt:variant>
      <vt:variant>
        <vt:i4>5</vt:i4>
      </vt:variant>
      <vt:variant>
        <vt:lpwstr/>
      </vt:variant>
      <vt:variant>
        <vt:lpwstr>_Toc210338929</vt:lpwstr>
      </vt:variant>
      <vt:variant>
        <vt:i4>2031672</vt:i4>
      </vt:variant>
      <vt:variant>
        <vt:i4>104</vt:i4>
      </vt:variant>
      <vt:variant>
        <vt:i4>0</vt:i4>
      </vt:variant>
      <vt:variant>
        <vt:i4>5</vt:i4>
      </vt:variant>
      <vt:variant>
        <vt:lpwstr/>
      </vt:variant>
      <vt:variant>
        <vt:lpwstr>_Toc210338928</vt:lpwstr>
      </vt:variant>
      <vt:variant>
        <vt:i4>2031672</vt:i4>
      </vt:variant>
      <vt:variant>
        <vt:i4>98</vt:i4>
      </vt:variant>
      <vt:variant>
        <vt:i4>0</vt:i4>
      </vt:variant>
      <vt:variant>
        <vt:i4>5</vt:i4>
      </vt:variant>
      <vt:variant>
        <vt:lpwstr/>
      </vt:variant>
      <vt:variant>
        <vt:lpwstr>_Toc210338927</vt:lpwstr>
      </vt:variant>
      <vt:variant>
        <vt:i4>2031672</vt:i4>
      </vt:variant>
      <vt:variant>
        <vt:i4>92</vt:i4>
      </vt:variant>
      <vt:variant>
        <vt:i4>0</vt:i4>
      </vt:variant>
      <vt:variant>
        <vt:i4>5</vt:i4>
      </vt:variant>
      <vt:variant>
        <vt:lpwstr/>
      </vt:variant>
      <vt:variant>
        <vt:lpwstr>_Toc210338926</vt:lpwstr>
      </vt:variant>
      <vt:variant>
        <vt:i4>2031672</vt:i4>
      </vt:variant>
      <vt:variant>
        <vt:i4>86</vt:i4>
      </vt:variant>
      <vt:variant>
        <vt:i4>0</vt:i4>
      </vt:variant>
      <vt:variant>
        <vt:i4>5</vt:i4>
      </vt:variant>
      <vt:variant>
        <vt:lpwstr/>
      </vt:variant>
      <vt:variant>
        <vt:lpwstr>_Toc210338925</vt:lpwstr>
      </vt:variant>
      <vt:variant>
        <vt:i4>1835064</vt:i4>
      </vt:variant>
      <vt:variant>
        <vt:i4>80</vt:i4>
      </vt:variant>
      <vt:variant>
        <vt:i4>0</vt:i4>
      </vt:variant>
      <vt:variant>
        <vt:i4>5</vt:i4>
      </vt:variant>
      <vt:variant>
        <vt:lpwstr/>
      </vt:variant>
      <vt:variant>
        <vt:lpwstr>_Toc210338917</vt:lpwstr>
      </vt:variant>
      <vt:variant>
        <vt:i4>1835064</vt:i4>
      </vt:variant>
      <vt:variant>
        <vt:i4>74</vt:i4>
      </vt:variant>
      <vt:variant>
        <vt:i4>0</vt:i4>
      </vt:variant>
      <vt:variant>
        <vt:i4>5</vt:i4>
      </vt:variant>
      <vt:variant>
        <vt:lpwstr/>
      </vt:variant>
      <vt:variant>
        <vt:lpwstr>_Toc210338916</vt:lpwstr>
      </vt:variant>
      <vt:variant>
        <vt:i4>1835064</vt:i4>
      </vt:variant>
      <vt:variant>
        <vt:i4>68</vt:i4>
      </vt:variant>
      <vt:variant>
        <vt:i4>0</vt:i4>
      </vt:variant>
      <vt:variant>
        <vt:i4>5</vt:i4>
      </vt:variant>
      <vt:variant>
        <vt:lpwstr/>
      </vt:variant>
      <vt:variant>
        <vt:lpwstr>_Toc210338915</vt:lpwstr>
      </vt:variant>
      <vt:variant>
        <vt:i4>1835064</vt:i4>
      </vt:variant>
      <vt:variant>
        <vt:i4>62</vt:i4>
      </vt:variant>
      <vt:variant>
        <vt:i4>0</vt:i4>
      </vt:variant>
      <vt:variant>
        <vt:i4>5</vt:i4>
      </vt:variant>
      <vt:variant>
        <vt:lpwstr/>
      </vt:variant>
      <vt:variant>
        <vt:lpwstr>_Toc210338914</vt:lpwstr>
      </vt:variant>
      <vt:variant>
        <vt:i4>1835064</vt:i4>
      </vt:variant>
      <vt:variant>
        <vt:i4>56</vt:i4>
      </vt:variant>
      <vt:variant>
        <vt:i4>0</vt:i4>
      </vt:variant>
      <vt:variant>
        <vt:i4>5</vt:i4>
      </vt:variant>
      <vt:variant>
        <vt:lpwstr/>
      </vt:variant>
      <vt:variant>
        <vt:lpwstr>_Toc210338913</vt:lpwstr>
      </vt:variant>
      <vt:variant>
        <vt:i4>1835064</vt:i4>
      </vt:variant>
      <vt:variant>
        <vt:i4>50</vt:i4>
      </vt:variant>
      <vt:variant>
        <vt:i4>0</vt:i4>
      </vt:variant>
      <vt:variant>
        <vt:i4>5</vt:i4>
      </vt:variant>
      <vt:variant>
        <vt:lpwstr/>
      </vt:variant>
      <vt:variant>
        <vt:lpwstr>_Toc210338912</vt:lpwstr>
      </vt:variant>
      <vt:variant>
        <vt:i4>1835064</vt:i4>
      </vt:variant>
      <vt:variant>
        <vt:i4>44</vt:i4>
      </vt:variant>
      <vt:variant>
        <vt:i4>0</vt:i4>
      </vt:variant>
      <vt:variant>
        <vt:i4>5</vt:i4>
      </vt:variant>
      <vt:variant>
        <vt:lpwstr/>
      </vt:variant>
      <vt:variant>
        <vt:lpwstr>_Toc210338911</vt:lpwstr>
      </vt:variant>
      <vt:variant>
        <vt:i4>1835064</vt:i4>
      </vt:variant>
      <vt:variant>
        <vt:i4>38</vt:i4>
      </vt:variant>
      <vt:variant>
        <vt:i4>0</vt:i4>
      </vt:variant>
      <vt:variant>
        <vt:i4>5</vt:i4>
      </vt:variant>
      <vt:variant>
        <vt:lpwstr/>
      </vt:variant>
      <vt:variant>
        <vt:lpwstr>_Toc210338910</vt:lpwstr>
      </vt:variant>
      <vt:variant>
        <vt:i4>1900600</vt:i4>
      </vt:variant>
      <vt:variant>
        <vt:i4>32</vt:i4>
      </vt:variant>
      <vt:variant>
        <vt:i4>0</vt:i4>
      </vt:variant>
      <vt:variant>
        <vt:i4>5</vt:i4>
      </vt:variant>
      <vt:variant>
        <vt:lpwstr/>
      </vt:variant>
      <vt:variant>
        <vt:lpwstr>_Toc210338909</vt:lpwstr>
      </vt:variant>
      <vt:variant>
        <vt:i4>1900600</vt:i4>
      </vt:variant>
      <vt:variant>
        <vt:i4>26</vt:i4>
      </vt:variant>
      <vt:variant>
        <vt:i4>0</vt:i4>
      </vt:variant>
      <vt:variant>
        <vt:i4>5</vt:i4>
      </vt:variant>
      <vt:variant>
        <vt:lpwstr/>
      </vt:variant>
      <vt:variant>
        <vt:lpwstr>_Toc210338908</vt:lpwstr>
      </vt:variant>
      <vt:variant>
        <vt:i4>1900600</vt:i4>
      </vt:variant>
      <vt:variant>
        <vt:i4>20</vt:i4>
      </vt:variant>
      <vt:variant>
        <vt:i4>0</vt:i4>
      </vt:variant>
      <vt:variant>
        <vt:i4>5</vt:i4>
      </vt:variant>
      <vt:variant>
        <vt:lpwstr/>
      </vt:variant>
      <vt:variant>
        <vt:lpwstr>_Toc210338907</vt:lpwstr>
      </vt:variant>
      <vt:variant>
        <vt:i4>1900600</vt:i4>
      </vt:variant>
      <vt:variant>
        <vt:i4>14</vt:i4>
      </vt:variant>
      <vt:variant>
        <vt:i4>0</vt:i4>
      </vt:variant>
      <vt:variant>
        <vt:i4>5</vt:i4>
      </vt:variant>
      <vt:variant>
        <vt:lpwstr/>
      </vt:variant>
      <vt:variant>
        <vt:lpwstr>_Toc210338906</vt:lpwstr>
      </vt:variant>
      <vt:variant>
        <vt:i4>1900600</vt:i4>
      </vt:variant>
      <vt:variant>
        <vt:i4>8</vt:i4>
      </vt:variant>
      <vt:variant>
        <vt:i4>0</vt:i4>
      </vt:variant>
      <vt:variant>
        <vt:i4>5</vt:i4>
      </vt:variant>
      <vt:variant>
        <vt:lpwstr/>
      </vt:variant>
      <vt:variant>
        <vt:lpwstr>_Toc210338905</vt:lpwstr>
      </vt:variant>
      <vt:variant>
        <vt:i4>1900600</vt:i4>
      </vt:variant>
      <vt:variant>
        <vt:i4>2</vt:i4>
      </vt:variant>
      <vt:variant>
        <vt:i4>0</vt:i4>
      </vt:variant>
      <vt:variant>
        <vt:i4>5</vt:i4>
      </vt:variant>
      <vt:variant>
        <vt:lpwstr/>
      </vt:variant>
      <vt:variant>
        <vt:lpwstr>_Toc210338904</vt:lpwstr>
      </vt:variant>
      <vt:variant>
        <vt:i4>7536698</vt:i4>
      </vt:variant>
      <vt:variant>
        <vt:i4>15</vt:i4>
      </vt:variant>
      <vt:variant>
        <vt:i4>0</vt:i4>
      </vt:variant>
      <vt:variant>
        <vt:i4>5</vt:i4>
      </vt:variant>
      <vt:variant>
        <vt:lpwstr>https://www.gov.kz/</vt:lpwstr>
      </vt:variant>
      <vt:variant>
        <vt:lpwstr/>
      </vt:variant>
      <vt:variant>
        <vt:i4>7536698</vt:i4>
      </vt:variant>
      <vt:variant>
        <vt:i4>12</vt:i4>
      </vt:variant>
      <vt:variant>
        <vt:i4>0</vt:i4>
      </vt:variant>
      <vt:variant>
        <vt:i4>5</vt:i4>
      </vt:variant>
      <vt:variant>
        <vt:lpwstr>https://www.gov.kz/</vt:lpwstr>
      </vt:variant>
      <vt:variant>
        <vt:lpwstr/>
      </vt:variant>
      <vt:variant>
        <vt:i4>5767237</vt:i4>
      </vt:variant>
      <vt:variant>
        <vt:i4>9</vt:i4>
      </vt:variant>
      <vt:variant>
        <vt:i4>0</vt:i4>
      </vt:variant>
      <vt:variant>
        <vt:i4>5</vt:i4>
      </vt:variant>
      <vt:variant>
        <vt:lpwstr>https://www.railfreight.com/</vt:lpwstr>
      </vt:variant>
      <vt:variant>
        <vt:lpwstr/>
      </vt:variant>
      <vt:variant>
        <vt:i4>1245185</vt:i4>
      </vt:variant>
      <vt:variant>
        <vt:i4>6</vt:i4>
      </vt:variant>
      <vt:variant>
        <vt:i4>0</vt:i4>
      </vt:variant>
      <vt:variant>
        <vt:i4>5</vt:i4>
      </vt:variant>
      <vt:variant>
        <vt:lpwstr>https://www.railways.kz/</vt:lpwstr>
      </vt:variant>
      <vt:variant>
        <vt:lpwstr/>
      </vt:variant>
      <vt:variant>
        <vt:i4>7536698</vt:i4>
      </vt:variant>
      <vt:variant>
        <vt:i4>3</vt:i4>
      </vt:variant>
      <vt:variant>
        <vt:i4>0</vt:i4>
      </vt:variant>
      <vt:variant>
        <vt:i4>5</vt:i4>
      </vt:variant>
      <vt:variant>
        <vt:lpwstr>https://www.gov.kz/</vt:lpwstr>
      </vt:variant>
      <vt:variant>
        <vt:lpwstr/>
      </vt:variant>
      <vt:variant>
        <vt:i4>1245185</vt:i4>
      </vt:variant>
      <vt:variant>
        <vt:i4>0</vt:i4>
      </vt:variant>
      <vt:variant>
        <vt:i4>0</vt:i4>
      </vt:variant>
      <vt:variant>
        <vt:i4>5</vt:i4>
      </vt:variant>
      <vt:variant>
        <vt:lpwstr>https://www.railways.kz/</vt:lpwstr>
      </vt:variant>
      <vt:variant>
        <vt:lpwstr/>
      </vt:variant>
      <vt:variant>
        <vt:i4>196668</vt:i4>
      </vt:variant>
      <vt:variant>
        <vt:i4>12</vt:i4>
      </vt:variant>
      <vt:variant>
        <vt:i4>0</vt:i4>
      </vt:variant>
      <vt:variant>
        <vt:i4>5</vt:i4>
      </vt:variant>
      <vt:variant>
        <vt:lpwstr>mailto:asidore@worldbank.org</vt:lpwstr>
      </vt:variant>
      <vt:variant>
        <vt:lpwstr/>
      </vt:variant>
      <vt:variant>
        <vt:i4>196668</vt:i4>
      </vt:variant>
      <vt:variant>
        <vt:i4>9</vt:i4>
      </vt:variant>
      <vt:variant>
        <vt:i4>0</vt:i4>
      </vt:variant>
      <vt:variant>
        <vt:i4>5</vt:i4>
      </vt:variant>
      <vt:variant>
        <vt:lpwstr>mailto:asidore@worldbank.org</vt:lpwstr>
      </vt:variant>
      <vt:variant>
        <vt:lpwstr/>
      </vt:variant>
      <vt:variant>
        <vt:i4>6881375</vt:i4>
      </vt:variant>
      <vt:variant>
        <vt:i4>6</vt:i4>
      </vt:variant>
      <vt:variant>
        <vt:i4>0</vt:i4>
      </vt:variant>
      <vt:variant>
        <vt:i4>5</vt:i4>
      </vt:variant>
      <vt:variant>
        <vt:lpwstr>mailto:pbergsten@worldbank.org</vt:lpwstr>
      </vt:variant>
      <vt:variant>
        <vt:lpwstr/>
      </vt:variant>
      <vt:variant>
        <vt:i4>196668</vt:i4>
      </vt:variant>
      <vt:variant>
        <vt:i4>3</vt:i4>
      </vt:variant>
      <vt:variant>
        <vt:i4>0</vt:i4>
      </vt:variant>
      <vt:variant>
        <vt:i4>5</vt:i4>
      </vt:variant>
      <vt:variant>
        <vt:lpwstr>mailto:asidore@worldbank.org</vt:lpwstr>
      </vt:variant>
      <vt:variant>
        <vt:lpwstr/>
      </vt:variant>
      <vt:variant>
        <vt:i4>196668</vt:i4>
      </vt:variant>
      <vt:variant>
        <vt:i4>0</vt:i4>
      </vt:variant>
      <vt:variant>
        <vt:i4>0</vt:i4>
      </vt:variant>
      <vt:variant>
        <vt:i4>5</vt:i4>
      </vt:variant>
      <vt:variant>
        <vt:lpwstr>mailto:asidore@worldbank.org</vt:lpwstr>
      </vt:variant>
      <vt:variant>
        <vt:lpwstr/>
      </vt:variant>
      <vt:variant>
        <vt:i4>2097233</vt:i4>
      </vt:variant>
      <vt:variant>
        <vt:i4>3</vt:i4>
      </vt:variant>
      <vt:variant>
        <vt:i4>0</vt:i4>
      </vt:variant>
      <vt:variant>
        <vt:i4>5</vt:i4>
      </vt:variant>
      <vt:variant>
        <vt:lpwstr/>
      </vt:variant>
      <vt:variant>
        <vt:lpwstr>_bookmark2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 Sapuay</dc:creator>
  <cp:keywords/>
  <dc:description/>
  <cp:lastModifiedBy>SS</cp:lastModifiedBy>
  <cp:revision>3</cp:revision>
  <cp:lastPrinted>2025-09-04T19:45:00Z</cp:lastPrinted>
  <dcterms:created xsi:type="dcterms:W3CDTF">2025-10-08T07:11:00Z</dcterms:created>
  <dcterms:modified xsi:type="dcterms:W3CDTF">2025-10-08T07:12:00Z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2025-08-09T00:00:00Z</vt:filetime>
  </property>
  <property fmtid="{D5CDD505-2E9C-101B-9397-08002B2CF9AE}" pid="3" name="LastSaved">
    <vt:filetime>2025-08-09T00:00:00Z</vt:filetime>
  </property>
  <property fmtid="{D5CDD505-2E9C-101B-9397-08002B2CF9AE}" pid="4" name="Producer">
    <vt:lpwstr>3-Heights™ PDF Merge Split Shell 6.12.1.11 (http://www.pdf-tools.com)</vt:lpwstr>
  </property>
  <property fmtid="{D5CDD505-2E9C-101B-9397-08002B2CF9AE}" pid="5" name="ClassificationContentMarkingFooterShapeIds">
    <vt:lpwstr>41aa7341,2e446dad,1cd096a8,1b6208f4,2f6dfbda,b6d768c,2a5a6d04,3bcef7e7,3fb77e33,22770636,320957fc,736ad74b</vt:lpwstr>
  </property>
  <property fmtid="{D5CDD505-2E9C-101B-9397-08002B2CF9AE}" pid="6" name="ClassificationContentMarkingFooterFontProps">
    <vt:lpwstr>#000000,10,Calibri</vt:lpwstr>
  </property>
  <property fmtid="{D5CDD505-2E9C-101B-9397-08002B2CF9AE}" pid="7" name="ClassificationContentMarkingFooterText">
    <vt:lpwstr>Confidential</vt:lpwstr>
  </property>
  <property fmtid="{D5CDD505-2E9C-101B-9397-08002B2CF9AE}" pid="8" name="MSIP_Label_1f4e14f7-62d0-4ad2-b706-8a54bf79b7df_Enabled">
    <vt:lpwstr>true</vt:lpwstr>
  </property>
  <property fmtid="{D5CDD505-2E9C-101B-9397-08002B2CF9AE}" pid="9" name="MSIP_Label_1f4e14f7-62d0-4ad2-b706-8a54bf79b7df_SetDate">
    <vt:lpwstr>2025-08-26T15:24:40Z</vt:lpwstr>
  </property>
  <property fmtid="{D5CDD505-2E9C-101B-9397-08002B2CF9AE}" pid="10" name="MSIP_Label_1f4e14f7-62d0-4ad2-b706-8a54bf79b7df_Method">
    <vt:lpwstr>Privileged</vt:lpwstr>
  </property>
  <property fmtid="{D5CDD505-2E9C-101B-9397-08002B2CF9AE}" pid="11" name="MSIP_Label_1f4e14f7-62d0-4ad2-b706-8a54bf79b7df_Name">
    <vt:lpwstr>Confidential</vt:lpwstr>
  </property>
  <property fmtid="{D5CDD505-2E9C-101B-9397-08002B2CF9AE}" pid="12" name="MSIP_Label_1f4e14f7-62d0-4ad2-b706-8a54bf79b7df_SiteId">
    <vt:lpwstr>31a2fec0-266b-4c67-b56e-2796d8f59c36</vt:lpwstr>
  </property>
  <property fmtid="{D5CDD505-2E9C-101B-9397-08002B2CF9AE}" pid="13" name="MSIP_Label_1f4e14f7-62d0-4ad2-b706-8a54bf79b7df_ActionId">
    <vt:lpwstr>a0703de7-63b3-4e11-99c2-d042c79ddcfe</vt:lpwstr>
  </property>
  <property fmtid="{D5CDD505-2E9C-101B-9397-08002B2CF9AE}" pid="14" name="MSIP_Label_1f4e14f7-62d0-4ad2-b706-8a54bf79b7df_ContentBits">
    <vt:lpwstr>2</vt:lpwstr>
  </property>
  <property fmtid="{D5CDD505-2E9C-101B-9397-08002B2CF9AE}" pid="15" name="MSIP_Label_1f4e14f7-62d0-4ad2-b706-8a54bf79b7df_Tag">
    <vt:lpwstr>10, 2, 1, 1</vt:lpwstr>
  </property>
  <property fmtid="{D5CDD505-2E9C-101B-9397-08002B2CF9AE}" pid="16" name="ICV">
    <vt:lpwstr>b52df32db6cf468ba5bf9a006479d946</vt:lpwstr>
  </property>
  <property fmtid="{D5CDD505-2E9C-101B-9397-08002B2CF9AE}" pid="17" name="ContentTypeId">
    <vt:lpwstr>0x010100F4C63C3BD852AE468EAEFD0E6C57C64F0200535047783D77C64E89F667E371335912</vt:lpwstr>
  </property>
  <property fmtid="{D5CDD505-2E9C-101B-9397-08002B2CF9AE}" pid="18" name="WBDocs_Local_Document_Type">
    <vt:lpwstr/>
  </property>
  <property fmtid="{D5CDD505-2E9C-101B-9397-08002B2CF9AE}" pid="19" name="MediaServiceImageTags">
    <vt:lpwstr/>
  </property>
  <property fmtid="{D5CDD505-2E9C-101B-9397-08002B2CF9AE}" pid="20" name="WBDocs_Originating_Unit">
    <vt:lpwstr>5;#MIGEP - Economics and Policy Group|5a6d2d41-0214-4ce2-8633-937a9b785297</vt:lpwstr>
  </property>
  <property fmtid="{D5CDD505-2E9C-101B-9397-08002B2CF9AE}" pid="21" name="lcf76f155ced4ddcb4097134ff3c332f">
    <vt:lpwstr/>
  </property>
</Properties>
</file>